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rPr>
          <w:rFonts w:ascii="Times New Roman"/>
          <w:sz w:val="28"/>
        </w:rPr>
      </w:pPr>
    </w:p>
    <w:p>
      <w:pPr>
        <w:pStyle w:val="Heading1"/>
      </w:pPr>
      <w:bookmarkStart w:name="Chapter 18 - Third Parties" w:id="1"/>
      <w:bookmarkEnd w:id="1"/>
      <w:r>
        <w:rPr>
          <w:b w:val="0"/>
        </w:rPr>
      </w: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32000">
                <wp:simplePos x="0" y="0"/>
                <wp:positionH relativeFrom="page">
                  <wp:posOffset>4703826</wp:posOffset>
                </wp:positionH>
                <wp:positionV relativeFrom="paragraph">
                  <wp:posOffset>377436</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84480"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1. - </w:t>
      </w:r>
      <w:r>
        <w:rPr>
          <w:rFonts w:ascii="Arial"/>
          <w:b/>
          <w:spacing w:val="-2"/>
          <w:sz w:val="24"/>
        </w:rPr>
        <w:t>Introduction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Preliminary</w:t>
      </w:r>
    </w:p>
    <w:p>
      <w:pPr>
        <w:pStyle w:val="BodyText"/>
        <w:spacing w:before="41"/>
        <w:rPr>
          <w:rFonts w:ascii="Arial"/>
          <w:b/>
          <w:sz w:val="18"/>
        </w:rPr>
      </w:pPr>
    </w:p>
    <w:p>
      <w:pPr>
        <w:pStyle w:val="Heading2"/>
      </w:pPr>
      <w:r>
        <w:rPr/>
        <w:t>18-</w:t>
      </w:r>
      <w:r>
        <w:rPr>
          <w:spacing w:val="-5"/>
        </w:rPr>
        <w:t>001</w:t>
      </w:r>
    </w:p>
    <w:p>
      <w:pPr>
        <w:pStyle w:val="BodyText"/>
        <w:spacing w:line="235" w:lineRule="auto" w:before="203"/>
        <w:ind w:left="165" w:right="167"/>
        <w:jc w:val="both"/>
      </w:pPr>
      <w:r>
        <w:rPr/>
        <mc:AlternateContent>
          <mc:Choice Requires="wps">
            <w:drawing>
              <wp:anchor distT="0" distB="0" distL="0" distR="0" allowOverlap="1" layoutInCell="1" locked="0" behindDoc="1" simplePos="0" relativeHeight="484032512">
                <wp:simplePos x="0" y="0"/>
                <wp:positionH relativeFrom="page">
                  <wp:posOffset>3496868</wp:posOffset>
                </wp:positionH>
                <wp:positionV relativeFrom="paragraph">
                  <wp:posOffset>763979</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83968" from="275.343994pt,60.155834pt" to="278.679994pt,60.15583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033024">
                <wp:simplePos x="0" y="0"/>
                <wp:positionH relativeFrom="page">
                  <wp:posOffset>1380718</wp:posOffset>
                </wp:positionH>
                <wp:positionV relativeFrom="paragraph">
                  <wp:posOffset>1192604</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83456" from="108.718002pt,93.905838pt" to="112.054002pt,93.90583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033536">
                <wp:simplePos x="0" y="0"/>
                <wp:positionH relativeFrom="page">
                  <wp:posOffset>914400</wp:posOffset>
                </wp:positionH>
                <wp:positionV relativeFrom="paragraph">
                  <wp:posOffset>1335479</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82944" from="72pt,105.155838pt" to="75.336pt,105.15583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034048">
                <wp:simplePos x="0" y="0"/>
                <wp:positionH relativeFrom="page">
                  <wp:posOffset>2490216</wp:posOffset>
                </wp:positionH>
                <wp:positionV relativeFrom="paragraph">
                  <wp:posOffset>1621229</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82432" from="196.080002pt,127.655838pt" to="199.416002pt,127.655838pt" stroked="true" strokeweight=".428pt" strokecolor="#005da1">
                <v:stroke dashstyle="solid"/>
                <w10:wrap type="none"/>
              </v:line>
            </w:pict>
          </mc:Fallback>
        </mc:AlternateContent>
      </w:r>
      <w:r>
        <w:rPr/>
        <w:t>Our concern in this Chapter is with the extent to which persons can either take the benefit of, or be bound by, contracts to which they are not parties. Under the common law doctrine of privity of contract, the general rule is that contracts cannot be enforced either by or against third parties. The </w:t>
      </w:r>
      <w:bookmarkStart w:name="_bookmark0" w:id="2"/>
      <w:bookmarkEnd w:id="2"/>
      <w:r>
        <w:rPr/>
        <w:t>second</w:t>
      </w:r>
      <w:r>
        <w:rPr/>
        <w:t> limb of this rule (under which a contract cannot impose liabilities on anyone except a party to it) is generally regarded as just and sensible. </w:t>
      </w:r>
      <w:r>
        <w:rPr>
          <w:color w:val="005DA1"/>
          <w:vertAlign w:val="superscript"/>
        </w:rPr>
        <w:t>2</w:t>
      </w:r>
      <w:r>
        <w:rPr>
          <w:color w:val="005DA1"/>
          <w:vertAlign w:val="baseline"/>
        </w:rPr>
        <w:t> </w:t>
      </w:r>
      <w:r>
        <w:rPr>
          <w:vertAlign w:val="baseline"/>
        </w:rPr>
        <w:t>But its first limb (under which a contract cannot confer rights on anyone except a party to it) has been the subject of much criticism, culminating in a Report, </w:t>
      </w:r>
      <w:bookmarkStart w:name="_bookmark1" w:id="3"/>
      <w:bookmarkEnd w:id="3"/>
      <w:r>
        <w:rPr>
          <w:vertAlign w:val="baseline"/>
        </w:rPr>
        <w:t>issued</w:t>
      </w:r>
      <w:r>
        <w:rPr>
          <w:vertAlign w:val="baseline"/>
        </w:rPr>
        <w:t> by the Law Commission in 1996, on Privity of Contract: Contracts for the Benefit of Third Parties.</w:t>
      </w:r>
      <w:r>
        <w:rPr>
          <w:spacing w:val="-3"/>
          <w:vertAlign w:val="baseline"/>
        </w:rPr>
        <w:t> </w:t>
      </w:r>
      <w:r>
        <w:rPr>
          <w:color w:val="005DA1"/>
          <w:vertAlign w:val="superscript"/>
        </w:rPr>
        <w:t>3</w:t>
      </w:r>
      <w:r>
        <w:rPr>
          <w:color w:val="005DA1"/>
          <w:spacing w:val="-3"/>
          <w:vertAlign w:val="baseline"/>
        </w:rPr>
        <w:t> </w:t>
      </w:r>
      <w:r>
        <w:rPr>
          <w:vertAlign w:val="baseline"/>
        </w:rPr>
        <w:t>The</w:t>
      </w:r>
      <w:r>
        <w:rPr>
          <w:spacing w:val="-3"/>
          <w:vertAlign w:val="baseline"/>
        </w:rPr>
        <w:t> </w:t>
      </w:r>
      <w:r>
        <w:rPr>
          <w:vertAlign w:val="baseline"/>
        </w:rPr>
        <w:t>recommendations</w:t>
      </w:r>
      <w:r>
        <w:rPr>
          <w:spacing w:val="-3"/>
          <w:vertAlign w:val="baseline"/>
        </w:rPr>
        <w:t> </w:t>
      </w:r>
      <w:r>
        <w:rPr>
          <w:vertAlign w:val="baseline"/>
        </w:rPr>
        <w:t>of</w:t>
      </w:r>
      <w:r>
        <w:rPr>
          <w:spacing w:val="-3"/>
          <w:vertAlign w:val="baseline"/>
        </w:rPr>
        <w:t> </w:t>
      </w:r>
      <w:r>
        <w:rPr>
          <w:vertAlign w:val="baseline"/>
        </w:rPr>
        <w:t>this</w:t>
      </w:r>
      <w:r>
        <w:rPr>
          <w:spacing w:val="-3"/>
          <w:vertAlign w:val="baseline"/>
        </w:rPr>
        <w:t> </w:t>
      </w:r>
      <w:r>
        <w:rPr>
          <w:vertAlign w:val="baseline"/>
        </w:rPr>
        <w:t>Report</w:t>
      </w:r>
      <w:r>
        <w:rPr>
          <w:spacing w:val="-3"/>
          <w:vertAlign w:val="baseline"/>
        </w:rPr>
        <w:t> </w:t>
      </w:r>
      <w:r>
        <w:rPr>
          <w:vertAlign w:val="baseline"/>
        </w:rPr>
        <w:t>have</w:t>
      </w:r>
      <w:r>
        <w:rPr>
          <w:spacing w:val="-3"/>
          <w:vertAlign w:val="baseline"/>
        </w:rPr>
        <w:t> </w:t>
      </w:r>
      <w:r>
        <w:rPr>
          <w:vertAlign w:val="baseline"/>
        </w:rPr>
        <w:t>(where</w:t>
      </w:r>
      <w:r>
        <w:rPr>
          <w:spacing w:val="-3"/>
          <w:vertAlign w:val="baseline"/>
        </w:rPr>
        <w:t> </w:t>
      </w:r>
      <w:r>
        <w:rPr>
          <w:vertAlign w:val="baseline"/>
        </w:rPr>
        <w:t>legislation</w:t>
      </w:r>
      <w:r>
        <w:rPr>
          <w:spacing w:val="-3"/>
          <w:vertAlign w:val="baseline"/>
        </w:rPr>
        <w:t> </w:t>
      </w:r>
      <w:r>
        <w:rPr>
          <w:vertAlign w:val="baseline"/>
        </w:rPr>
        <w:t>for</w:t>
      </w:r>
      <w:r>
        <w:rPr>
          <w:spacing w:val="-3"/>
          <w:vertAlign w:val="baseline"/>
        </w:rPr>
        <w:t> </w:t>
      </w:r>
      <w:r>
        <w:rPr>
          <w:vertAlign w:val="baseline"/>
        </w:rPr>
        <w:t>this</w:t>
      </w:r>
      <w:r>
        <w:rPr>
          <w:spacing w:val="-3"/>
          <w:vertAlign w:val="baseline"/>
        </w:rPr>
        <w:t> </w:t>
      </w:r>
      <w:r>
        <w:rPr>
          <w:vertAlign w:val="baseline"/>
        </w:rPr>
        <w:t>purpose</w:t>
      </w:r>
      <w:r>
        <w:rPr>
          <w:spacing w:val="-3"/>
          <w:vertAlign w:val="baseline"/>
        </w:rPr>
        <w:t> </w:t>
      </w:r>
      <w:r>
        <w:rPr>
          <w:vertAlign w:val="baseline"/>
        </w:rPr>
        <w:t>was</w:t>
      </w:r>
      <w:r>
        <w:rPr>
          <w:spacing w:val="-3"/>
          <w:vertAlign w:val="baseline"/>
        </w:rPr>
        <w:t> </w:t>
      </w:r>
      <w:r>
        <w:rPr>
          <w:vertAlign w:val="baseline"/>
        </w:rPr>
        <w:t>necessary </w:t>
      </w:r>
      <w:r>
        <w:rPr>
          <w:color w:val="005DA1"/>
          <w:vertAlign w:val="superscript"/>
        </w:rPr>
        <w:t>4</w:t>
      </w:r>
      <w:r>
        <w:rPr>
          <w:vertAlign w:val="baseline"/>
        </w:rPr>
        <w:t>) been implemented by the Contracts (Rights of Third Parties) Act 1999. The Act does not precisely </w:t>
      </w:r>
      <w:bookmarkStart w:name="_bookmark2" w:id="4"/>
      <w:bookmarkEnd w:id="4"/>
      <w:r>
        <w:rPr>
          <w:vertAlign w:val="baseline"/>
        </w:rPr>
        <w:t>follow</w:t>
      </w:r>
      <w:r>
        <w:rPr>
          <w:vertAlign w:val="baseline"/>
        </w:rPr>
        <w:t> the wording of the Draft Bill attached to the Law Commission’s Report, but the changes in </w:t>
      </w:r>
      <w:r>
        <w:rPr>
          <w:vertAlign w:val="baseline"/>
        </w:rPr>
        <w:t>the wording do not, in general, </w:t>
      </w:r>
      <w:r>
        <w:rPr>
          <w:color w:val="005DA1"/>
          <w:vertAlign w:val="superscript"/>
        </w:rPr>
        <w:t>5</w:t>
      </w:r>
      <w:r>
        <w:rPr>
          <w:color w:val="005DA1"/>
          <w:vertAlign w:val="baseline"/>
        </w:rPr>
        <w:t> </w:t>
      </w:r>
      <w:r>
        <w:rPr>
          <w:vertAlign w:val="baseline"/>
        </w:rPr>
        <w:t>reflect any major departures from the policy of the recommendations in that Report: their object has rather been to secure the clearer and more effective implementation of that policy. For this reason, it is submitted that reference can appropriately be made to the Report in discussing the provisions of the 1999 Act; and such references will be made in this Chapter.</w:t>
      </w:r>
    </w:p>
    <w:p>
      <w:pPr>
        <w:pStyle w:val="BodyText"/>
      </w:pPr>
    </w:p>
    <w:p>
      <w:pPr>
        <w:pStyle w:val="BodyText"/>
        <w:spacing w:before="33"/>
      </w:pPr>
    </w:p>
    <w:p>
      <w:pPr>
        <w:spacing w:before="0"/>
        <w:ind w:left="165" w:right="0" w:firstLine="0"/>
        <w:jc w:val="left"/>
        <w:rPr>
          <w:rFonts w:ascii="Arial"/>
          <w:b/>
          <w:sz w:val="18"/>
        </w:rPr>
      </w:pPr>
      <w:r>
        <w:rPr>
          <w:rFonts w:ascii="Arial"/>
          <w:b/>
          <w:sz w:val="18"/>
        </w:rPr>
        <w:t>Present structure of the </w:t>
      </w:r>
      <w:r>
        <w:rPr>
          <w:rFonts w:ascii="Arial"/>
          <w:b/>
          <w:spacing w:val="-2"/>
          <w:sz w:val="18"/>
        </w:rPr>
        <w:t>subject</w:t>
      </w:r>
    </w:p>
    <w:p>
      <w:pPr>
        <w:pStyle w:val="BodyText"/>
        <w:spacing w:before="41"/>
        <w:rPr>
          <w:rFonts w:ascii="Arial"/>
          <w:b/>
          <w:sz w:val="18"/>
        </w:rPr>
      </w:pPr>
    </w:p>
    <w:p>
      <w:pPr>
        <w:pStyle w:val="Heading2"/>
      </w:pPr>
      <w:r>
        <w:rPr/>
        <w:t>18-</w:t>
      </w:r>
      <w:r>
        <w:rPr>
          <w:spacing w:val="-5"/>
        </w:rPr>
        <w:t>002</w:t>
      </w:r>
    </w:p>
    <w:p>
      <w:pPr>
        <w:pStyle w:val="BodyText"/>
        <w:spacing w:line="235" w:lineRule="auto" w:before="203"/>
        <w:ind w:left="164" w:right="167"/>
        <w:jc w:val="both"/>
      </w:pPr>
      <w:r>
        <w:rPr/>
        <mc:AlternateContent>
          <mc:Choice Requires="wps">
            <w:drawing>
              <wp:anchor distT="0" distB="0" distL="0" distR="0" allowOverlap="1" layoutInCell="1" locked="0" behindDoc="1" simplePos="0" relativeHeight="484034560">
                <wp:simplePos x="0" y="0"/>
                <wp:positionH relativeFrom="page">
                  <wp:posOffset>1412811</wp:posOffset>
                </wp:positionH>
                <wp:positionV relativeFrom="paragraph">
                  <wp:posOffset>1049897</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81920" from="111.245003pt,82.669121pt" to="114.581003pt,82.66912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035072">
                <wp:simplePos x="0" y="0"/>
                <wp:positionH relativeFrom="page">
                  <wp:posOffset>2033574</wp:posOffset>
                </wp:positionH>
                <wp:positionV relativeFrom="paragraph">
                  <wp:posOffset>1192772</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81408" from="160.123993pt,93.919121pt" to="163.459993pt,93.91912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035584">
                <wp:simplePos x="0" y="0"/>
                <wp:positionH relativeFrom="page">
                  <wp:posOffset>1679194</wp:posOffset>
                </wp:positionH>
                <wp:positionV relativeFrom="paragraph">
                  <wp:posOffset>1478522</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80896" from="132.220001pt,116.419121pt" to="135.556001pt,116.419121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036096">
                <wp:simplePos x="0" y="0"/>
                <wp:positionH relativeFrom="page">
                  <wp:posOffset>2547492</wp:posOffset>
                </wp:positionH>
                <wp:positionV relativeFrom="paragraph">
                  <wp:posOffset>2192897</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80384" from="200.589996pt,172.669113pt" to="203.925996pt,172.669113pt" stroked="true" strokeweight=".428pt" strokecolor="#005da1">
                <v:stroke dashstyle="solid"/>
                <w10:wrap type="none"/>
              </v:line>
            </w:pict>
          </mc:Fallback>
        </mc:AlternateContent>
      </w:r>
      <w:r>
        <w:rPr/>
        <w:t>It is important at the outset to make a point about the nature of the changes made by the 1999 Act, since this determines the present structure of the subject. A crucial passage in the Law Commission’s Report states that “it is important to emphasise that, while our proposed reform will give some third parties the right to enforce contracts, there will remain many contracts where a third party stands to benefit and yet will not have a right of enforceability. Our proposed statute carves out a general and </w:t>
      </w:r>
      <w:bookmarkStart w:name="_bookmark3" w:id="5"/>
      <w:bookmarkEnd w:id="5"/>
      <w:r>
        <w:rPr/>
        <w:t>wide</w:t>
      </w:r>
      <w:r>
        <w:rPr/>
        <w:t>-ranging</w:t>
      </w:r>
      <w:r>
        <w:rPr>
          <w:spacing w:val="-2"/>
        </w:rPr>
        <w:t> </w:t>
      </w:r>
      <w:r>
        <w:rPr/>
        <w:t>exception</w:t>
      </w:r>
      <w:r>
        <w:rPr>
          <w:spacing w:val="-2"/>
        </w:rPr>
        <w:t> </w:t>
      </w:r>
      <w:r>
        <w:rPr/>
        <w:t>to</w:t>
      </w:r>
      <w:r>
        <w:rPr>
          <w:spacing w:val="-2"/>
        </w:rPr>
        <w:t> </w:t>
      </w:r>
      <w:r>
        <w:rPr/>
        <w:t>the</w:t>
      </w:r>
      <w:r>
        <w:rPr>
          <w:spacing w:val="-2"/>
        </w:rPr>
        <w:t> </w:t>
      </w:r>
      <w:r>
        <w:rPr/>
        <w:t>third</w:t>
      </w:r>
      <w:r>
        <w:rPr>
          <w:spacing w:val="-2"/>
        </w:rPr>
        <w:t> </w:t>
      </w:r>
      <w:r>
        <w:rPr/>
        <w:t>party</w:t>
      </w:r>
      <w:r>
        <w:rPr>
          <w:spacing w:val="-2"/>
        </w:rPr>
        <w:t> </w:t>
      </w:r>
      <w:r>
        <w:rPr/>
        <w:t>rule,</w:t>
      </w:r>
      <w:r>
        <w:rPr>
          <w:spacing w:val="-2"/>
        </w:rPr>
        <w:t> </w:t>
      </w:r>
      <w:r>
        <w:rPr/>
        <w:t>but</w:t>
      </w:r>
      <w:r>
        <w:rPr>
          <w:spacing w:val="-2"/>
        </w:rPr>
        <w:t> </w:t>
      </w:r>
      <w:r>
        <w:rPr/>
        <w:t>it</w:t>
      </w:r>
      <w:r>
        <w:rPr>
          <w:spacing w:val="-2"/>
        </w:rPr>
        <w:t> </w:t>
      </w:r>
      <w:r>
        <w:rPr/>
        <w:t>leaves</w:t>
      </w:r>
      <w:r>
        <w:rPr>
          <w:spacing w:val="-2"/>
        </w:rPr>
        <w:t> </w:t>
      </w:r>
      <w:r>
        <w:rPr/>
        <w:t>that</w:t>
      </w:r>
      <w:r>
        <w:rPr>
          <w:spacing w:val="-2"/>
        </w:rPr>
        <w:t> </w:t>
      </w:r>
      <w:r>
        <w:rPr/>
        <w:t>rule</w:t>
      </w:r>
      <w:r>
        <w:rPr>
          <w:spacing w:val="-2"/>
        </w:rPr>
        <w:t> </w:t>
      </w:r>
      <w:r>
        <w:rPr/>
        <w:t>intact</w:t>
      </w:r>
      <w:r>
        <w:rPr>
          <w:spacing w:val="-2"/>
        </w:rPr>
        <w:t> </w:t>
      </w:r>
      <w:r>
        <w:rPr/>
        <w:t>for</w:t>
      </w:r>
      <w:r>
        <w:rPr>
          <w:spacing w:val="-2"/>
        </w:rPr>
        <w:t> </w:t>
      </w:r>
      <w:r>
        <w:rPr/>
        <w:t>cases</w:t>
      </w:r>
      <w:r>
        <w:rPr>
          <w:spacing w:val="-2"/>
        </w:rPr>
        <w:t> </w:t>
      </w:r>
      <w:r>
        <w:rPr/>
        <w:t>not</w:t>
      </w:r>
      <w:r>
        <w:rPr>
          <w:spacing w:val="-2"/>
        </w:rPr>
        <w:t> </w:t>
      </w:r>
      <w:r>
        <w:rPr/>
        <w:t>covered</w:t>
      </w:r>
      <w:r>
        <w:rPr>
          <w:spacing w:val="-2"/>
        </w:rPr>
        <w:t> </w:t>
      </w:r>
      <w:r>
        <w:rPr/>
        <w:t>by</w:t>
      </w:r>
      <w:r>
        <w:rPr>
          <w:spacing w:val="-2"/>
        </w:rPr>
        <w:t> </w:t>
      </w:r>
      <w:r>
        <w:rPr/>
        <w:t>the </w:t>
      </w:r>
      <w:bookmarkStart w:name="_bookmark4" w:id="6"/>
      <w:bookmarkEnd w:id="6"/>
      <w:r>
        <w:rPr/>
        <w:t>statute.”</w:t>
      </w:r>
      <w:r>
        <w:rPr/>
        <w:t> </w:t>
      </w:r>
      <w:r>
        <w:rPr>
          <w:color w:val="005DA1"/>
          <w:vertAlign w:val="superscript"/>
        </w:rPr>
        <w:t>6</w:t>
      </w:r>
      <w:r>
        <w:rPr>
          <w:color w:val="005DA1"/>
          <w:vertAlign w:val="baseline"/>
        </w:rPr>
        <w:t> </w:t>
      </w:r>
      <w:r>
        <w:rPr>
          <w:vertAlign w:val="baseline"/>
        </w:rPr>
        <w:t>The rights conferred on third parties by the 1999 Act therefore have the character of a new statutory exception </w:t>
      </w:r>
      <w:r>
        <w:rPr>
          <w:color w:val="005DA1"/>
          <w:vertAlign w:val="superscript"/>
        </w:rPr>
        <w:t>7</w:t>
      </w:r>
      <w:r>
        <w:rPr>
          <w:color w:val="005DA1"/>
          <w:vertAlign w:val="baseline"/>
        </w:rPr>
        <w:t> </w:t>
      </w:r>
      <w:r>
        <w:rPr>
          <w:vertAlign w:val="baseline"/>
        </w:rPr>
        <w:t>to the common law doctrine of privity; and the 1999 Act will be treated as </w:t>
      </w:r>
      <w:r>
        <w:rPr>
          <w:vertAlign w:val="baseline"/>
        </w:rPr>
        <w:t>such</w:t>
      </w:r>
      <w:r>
        <w:rPr>
          <w:spacing w:val="40"/>
          <w:vertAlign w:val="baseline"/>
        </w:rPr>
        <w:t> </w:t>
      </w:r>
      <w:bookmarkStart w:name="_bookmark5" w:id="7"/>
      <w:bookmarkEnd w:id="7"/>
      <w:r>
        <w:rPr>
          <w:vertAlign w:val="baseline"/>
        </w:rPr>
        <w:t>an</w:t>
      </w:r>
      <w:r>
        <w:rPr>
          <w:vertAlign w:val="baseline"/>
        </w:rPr>
        <w:t> exception in the present Chapter, though because of its importance a separate section will be devoted</w:t>
      </w:r>
      <w:r>
        <w:rPr>
          <w:spacing w:val="-2"/>
          <w:vertAlign w:val="baseline"/>
        </w:rPr>
        <w:t> </w:t>
      </w:r>
      <w:r>
        <w:rPr>
          <w:vertAlign w:val="baseline"/>
        </w:rPr>
        <w:t>to</w:t>
      </w:r>
      <w:r>
        <w:rPr>
          <w:spacing w:val="-2"/>
          <w:vertAlign w:val="baseline"/>
        </w:rPr>
        <w:t> </w:t>
      </w:r>
      <w:r>
        <w:rPr>
          <w:vertAlign w:val="baseline"/>
        </w:rPr>
        <w:t>it.</w:t>
      </w:r>
      <w:r>
        <w:rPr>
          <w:spacing w:val="-2"/>
          <w:vertAlign w:val="baseline"/>
        </w:rPr>
        <w:t> </w:t>
      </w:r>
      <w:r>
        <w:rPr>
          <w:color w:val="005DA1"/>
          <w:vertAlign w:val="superscript"/>
        </w:rPr>
        <w:t>8</w:t>
      </w:r>
      <w:r>
        <w:rPr>
          <w:color w:val="005DA1"/>
          <w:spacing w:val="-2"/>
          <w:vertAlign w:val="baseline"/>
        </w:rPr>
        <w:t> </w:t>
      </w:r>
      <w:r>
        <w:rPr>
          <w:vertAlign w:val="baseline"/>
        </w:rPr>
        <w:t>The</w:t>
      </w:r>
      <w:r>
        <w:rPr>
          <w:spacing w:val="-2"/>
          <w:vertAlign w:val="baseline"/>
        </w:rPr>
        <w:t> </w:t>
      </w:r>
      <w:r>
        <w:rPr>
          <w:vertAlign w:val="baseline"/>
        </w:rPr>
        <w:t>new</w:t>
      </w:r>
      <w:r>
        <w:rPr>
          <w:spacing w:val="-2"/>
          <w:vertAlign w:val="baseline"/>
        </w:rPr>
        <w:t> </w:t>
      </w:r>
      <w:r>
        <w:rPr>
          <w:vertAlign w:val="baseline"/>
        </w:rPr>
        <w:t>exception</w:t>
      </w:r>
      <w:r>
        <w:rPr>
          <w:spacing w:val="-2"/>
          <w:vertAlign w:val="baseline"/>
        </w:rPr>
        <w:t> </w:t>
      </w:r>
      <w:r>
        <w:rPr>
          <w:vertAlign w:val="baseline"/>
        </w:rPr>
        <w:t>is,</w:t>
      </w:r>
      <w:r>
        <w:rPr>
          <w:spacing w:val="-2"/>
          <w:vertAlign w:val="baseline"/>
        </w:rPr>
        <w:t> </w:t>
      </w:r>
      <w:r>
        <w:rPr>
          <w:vertAlign w:val="baseline"/>
        </w:rPr>
        <w:t>however,</w:t>
      </w:r>
      <w:r>
        <w:rPr>
          <w:spacing w:val="-2"/>
          <w:vertAlign w:val="baseline"/>
        </w:rPr>
        <w:t> </w:t>
      </w:r>
      <w:r>
        <w:rPr>
          <w:vertAlign w:val="baseline"/>
        </w:rPr>
        <w:t>limited</w:t>
      </w:r>
      <w:r>
        <w:rPr>
          <w:spacing w:val="-2"/>
          <w:vertAlign w:val="baseline"/>
        </w:rPr>
        <w:t> </w:t>
      </w:r>
      <w:r>
        <w:rPr>
          <w:vertAlign w:val="baseline"/>
        </w:rPr>
        <w:t>in</w:t>
      </w:r>
      <w:r>
        <w:rPr>
          <w:spacing w:val="-2"/>
          <w:vertAlign w:val="baseline"/>
        </w:rPr>
        <w:t> </w:t>
      </w:r>
      <w:r>
        <w:rPr>
          <w:vertAlign w:val="baseline"/>
        </w:rPr>
        <w:t>two</w:t>
      </w:r>
      <w:r>
        <w:rPr>
          <w:spacing w:val="-2"/>
          <w:vertAlign w:val="baseline"/>
        </w:rPr>
        <w:t> </w:t>
      </w:r>
      <w:r>
        <w:rPr>
          <w:vertAlign w:val="baseline"/>
        </w:rPr>
        <w:t>ways.</w:t>
      </w:r>
      <w:r>
        <w:rPr>
          <w:spacing w:val="-2"/>
          <w:vertAlign w:val="baseline"/>
        </w:rPr>
        <w:t> </w:t>
      </w:r>
      <w:r>
        <w:rPr>
          <w:vertAlign w:val="baseline"/>
        </w:rPr>
        <w:t>First,</w:t>
      </w:r>
      <w:r>
        <w:rPr>
          <w:spacing w:val="-2"/>
          <w:vertAlign w:val="baseline"/>
        </w:rPr>
        <w:t> </w:t>
      </w:r>
      <w:r>
        <w:rPr>
          <w:vertAlign w:val="baseline"/>
        </w:rPr>
        <w:t>a</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situations</w:t>
      </w:r>
      <w:r>
        <w:rPr>
          <w:spacing w:val="-2"/>
          <w:vertAlign w:val="baseline"/>
        </w:rPr>
        <w:t> </w:t>
      </w:r>
      <w:r>
        <w:rPr>
          <w:vertAlign w:val="baseline"/>
        </w:rPr>
        <w:t>which have in the past been perceived as giving rise to problems resulting from the doctrine of privity are simply outside the scope of the new statutory exception and so are not affected by the provisions of the 1999 Act at all: this is, for example, true of many of the cases in which third parties who have </w:t>
      </w:r>
      <w:bookmarkStart w:name="_bookmark6" w:id="8"/>
      <w:bookmarkEnd w:id="8"/>
      <w:r>
        <w:rPr>
          <w:vertAlign w:val="baseline"/>
        </w:rPr>
        <w:t>suffered</w:t>
      </w:r>
      <w:r>
        <w:rPr>
          <w:spacing w:val="-1"/>
          <w:vertAlign w:val="baseline"/>
        </w:rPr>
        <w:t> </w:t>
      </w:r>
      <w:r>
        <w:rPr>
          <w:vertAlign w:val="baseline"/>
        </w:rPr>
        <w:t>loss</w:t>
      </w:r>
      <w:r>
        <w:rPr>
          <w:spacing w:val="-1"/>
          <w:vertAlign w:val="baseline"/>
        </w:rPr>
        <w:t> </w:t>
      </w:r>
      <w:r>
        <w:rPr>
          <w:vertAlign w:val="baseline"/>
        </w:rPr>
        <w:t>in</w:t>
      </w:r>
      <w:r>
        <w:rPr>
          <w:spacing w:val="-1"/>
          <w:vertAlign w:val="baseline"/>
        </w:rPr>
        <w:t> </w:t>
      </w:r>
      <w:r>
        <w:rPr>
          <w:vertAlign w:val="baseline"/>
        </w:rPr>
        <w:t>consequence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between</w:t>
      </w:r>
      <w:r>
        <w:rPr>
          <w:spacing w:val="-1"/>
          <w:vertAlign w:val="baseline"/>
        </w:rPr>
        <w:t> </w:t>
      </w:r>
      <w:r>
        <w:rPr>
          <w:vertAlign w:val="baseline"/>
        </w:rPr>
        <w:t>others</w:t>
      </w:r>
      <w:r>
        <w:rPr>
          <w:spacing w:val="-1"/>
          <w:vertAlign w:val="baseline"/>
        </w:rPr>
        <w:t> </w:t>
      </w:r>
      <w:r>
        <w:rPr>
          <w:vertAlign w:val="baseline"/>
        </w:rPr>
        <w:t>have</w:t>
      </w:r>
      <w:r>
        <w:rPr>
          <w:spacing w:val="-1"/>
          <w:vertAlign w:val="baseline"/>
        </w:rPr>
        <w:t> </w:t>
      </w:r>
      <w:r>
        <w:rPr>
          <w:vertAlign w:val="baseline"/>
        </w:rPr>
        <w:t>sought</w:t>
      </w:r>
      <w:r>
        <w:rPr>
          <w:spacing w:val="-1"/>
          <w:vertAlign w:val="baseline"/>
        </w:rPr>
        <w:t> </w:t>
      </w:r>
      <w:r>
        <w:rPr>
          <w:vertAlign w:val="baseline"/>
        </w:rPr>
        <w:t>a</w:t>
      </w:r>
      <w:r>
        <w:rPr>
          <w:spacing w:val="-1"/>
          <w:vertAlign w:val="baseline"/>
        </w:rPr>
        <w:t> </w:t>
      </w:r>
      <w:r>
        <w:rPr>
          <w:vertAlign w:val="baseline"/>
        </w:rPr>
        <w:t>remedy</w:t>
      </w:r>
      <w:r>
        <w:rPr>
          <w:spacing w:val="-1"/>
          <w:vertAlign w:val="baseline"/>
        </w:rPr>
        <w:t> </w:t>
      </w:r>
      <w:r>
        <w:rPr>
          <w:vertAlign w:val="baseline"/>
        </w:rPr>
        <w:t>in</w:t>
      </w:r>
      <w:r>
        <w:rPr>
          <w:spacing w:val="-1"/>
          <w:vertAlign w:val="baseline"/>
        </w:rPr>
        <w:t> </w:t>
      </w:r>
      <w:r>
        <w:rPr>
          <w:vertAlign w:val="baseline"/>
        </w:rPr>
        <w:t>tort </w:t>
      </w:r>
      <w:bookmarkStart w:name="_bookmark7" w:id="9"/>
      <w:bookmarkEnd w:id="9"/>
      <w:r>
        <w:rPr>
          <w:vertAlign w:val="baseline"/>
        </w:rPr>
        <w:t>against</w:t>
      </w:r>
      <w:r>
        <w:rPr>
          <w:vertAlign w:val="baseline"/>
        </w:rPr>
        <w:t> the party in breach. </w:t>
      </w:r>
      <w:r>
        <w:rPr>
          <w:color w:val="005DA1"/>
          <w:vertAlign w:val="superscript"/>
        </w:rPr>
        <w:t>9</w:t>
      </w:r>
      <w:r>
        <w:rPr>
          <w:color w:val="005DA1"/>
          <w:vertAlign w:val="baseline"/>
        </w:rPr>
        <w:t> </w:t>
      </w:r>
      <w:r>
        <w:rPr>
          <w:vertAlign w:val="baseline"/>
        </w:rPr>
        <w:t>Secondly, the “wide-ranging exception” created by the 1999 Act is, in </w:t>
      </w:r>
      <w:bookmarkStart w:name="_bookmark8" w:id="10"/>
      <w:bookmarkEnd w:id="10"/>
      <w:r>
        <w:rPr>
          <w:vertAlign w:val="baseline"/>
        </w:rPr>
        <w:t>turn,</w:t>
      </w:r>
      <w:r>
        <w:rPr>
          <w:vertAlign w:val="baseline"/>
        </w:rPr>
        <w:t> under that Act, subject to exceptions </w:t>
      </w:r>
      <w:r>
        <w:rPr>
          <w:color w:val="005DA1"/>
          <w:u w:val="single" w:color="005DA1"/>
          <w:vertAlign w:val="superscript"/>
        </w:rPr>
        <w:t>10</w:t>
      </w:r>
      <w:r>
        <w:rPr>
          <w:color w:val="005DA1"/>
          <w:vertAlign w:val="baseline"/>
        </w:rPr>
        <w:t> </w:t>
      </w:r>
      <w:r>
        <w:rPr>
          <w:vertAlign w:val="baseline"/>
        </w:rPr>
        <w:t>to which the third party’s new statutory rights do not extend; and the effect of this is that in some </w:t>
      </w:r>
      <w:r>
        <w:rPr>
          <w:color w:val="005DA1"/>
          <w:u w:val="single" w:color="005DA1"/>
          <w:vertAlign w:val="superscript"/>
        </w:rPr>
        <w:t>11</w:t>
      </w:r>
      <w:r>
        <w:rPr>
          <w:color w:val="005DA1"/>
          <w:vertAlign w:val="baseline"/>
        </w:rPr>
        <w:t> </w:t>
      </w:r>
      <w:r>
        <w:rPr>
          <w:vertAlign w:val="baseline"/>
        </w:rPr>
        <w:t>of these cases the common law doctrine of privity </w:t>
      </w:r>
      <w:bookmarkStart w:name="_bookmark9" w:id="11"/>
      <w:bookmarkEnd w:id="11"/>
      <w:r>
        <w:rPr>
          <w:vertAlign w:val="baseline"/>
        </w:rPr>
        <w:t>continues</w:t>
      </w:r>
      <w:r>
        <w:rPr>
          <w:vertAlign w:val="baseline"/>
        </w:rPr>
        <w:t> to apply. The 1999 Act also does not affect any rights which the third party has apart from its provisions </w:t>
      </w:r>
      <w:r>
        <w:rPr>
          <w:color w:val="005DA1"/>
          <w:u w:val="single" w:color="005DA1"/>
          <w:vertAlign w:val="superscript"/>
        </w:rPr>
        <w:t>12</w:t>
      </w:r>
      <w:r>
        <w:rPr>
          <w:vertAlign w:val="baseline"/>
        </w:rPr>
        <w:t>: thus it does not deprive the third party of rights which he has because the case falls </w:t>
      </w:r>
      <w:bookmarkStart w:name="_bookmark10" w:id="12"/>
      <w:bookmarkEnd w:id="12"/>
      <w:r>
        <w:rPr>
          <w:vertAlign w:val="baseline"/>
        </w:rPr>
        <w:t>either</w:t>
      </w:r>
      <w:r>
        <w:rPr>
          <w:vertAlign w:val="baseline"/>
        </w:rPr>
        <w:t> outside the scope of the common law doctrine or within one of the exceptions to it recognised either</w:t>
      </w:r>
      <w:r>
        <w:rPr>
          <w:spacing w:val="-1"/>
          <w:vertAlign w:val="baseline"/>
        </w:rPr>
        <w:t> </w:t>
      </w:r>
      <w:r>
        <w:rPr>
          <w:vertAlign w:val="baseline"/>
        </w:rPr>
        <w:t>at</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or</w:t>
      </w:r>
      <w:r>
        <w:rPr>
          <w:spacing w:val="-1"/>
          <w:vertAlign w:val="baseline"/>
        </w:rPr>
        <w:t> </w:t>
      </w:r>
      <w:r>
        <w:rPr>
          <w:vertAlign w:val="baseline"/>
        </w:rPr>
        <w:t>in</w:t>
      </w:r>
      <w:r>
        <w:rPr>
          <w:spacing w:val="-1"/>
          <w:vertAlign w:val="baseline"/>
        </w:rPr>
        <w:t> </w:t>
      </w:r>
      <w:r>
        <w:rPr>
          <w:vertAlign w:val="baseline"/>
        </w:rPr>
        <w:t>equity</w:t>
      </w:r>
      <w:r>
        <w:rPr>
          <w:spacing w:val="-1"/>
          <w:vertAlign w:val="baseline"/>
        </w:rPr>
        <w:t> </w:t>
      </w:r>
      <w:r>
        <w:rPr>
          <w:vertAlign w:val="baseline"/>
        </w:rPr>
        <w:t>or</w:t>
      </w:r>
      <w:r>
        <w:rPr>
          <w:spacing w:val="-1"/>
          <w:vertAlign w:val="baseline"/>
        </w:rPr>
        <w:t> </w:t>
      </w:r>
      <w:r>
        <w:rPr>
          <w:vertAlign w:val="baseline"/>
        </w:rPr>
        <w:t>under</w:t>
      </w:r>
      <w:r>
        <w:rPr>
          <w:spacing w:val="-1"/>
          <w:vertAlign w:val="baseline"/>
        </w:rPr>
        <w:t> </w:t>
      </w:r>
      <w:r>
        <w:rPr>
          <w:vertAlign w:val="baseline"/>
        </w:rPr>
        <w:t>other</w:t>
      </w:r>
      <w:r>
        <w:rPr>
          <w:spacing w:val="-1"/>
          <w:vertAlign w:val="baseline"/>
        </w:rPr>
        <w:t> </w:t>
      </w:r>
      <w:r>
        <w:rPr>
          <w:vertAlign w:val="baseline"/>
        </w:rPr>
        <w:t>legislation.</w:t>
      </w:r>
      <w:r>
        <w:rPr>
          <w:spacing w:val="-2"/>
          <w:vertAlign w:val="baseline"/>
        </w:rPr>
        <w:t> </w:t>
      </w:r>
      <w:r>
        <w:rPr>
          <w:color w:val="005DA1"/>
          <w:u w:val="single" w:color="005DA1"/>
          <w:vertAlign w:val="superscript"/>
        </w:rPr>
        <w:t>13</w:t>
      </w:r>
      <w:r>
        <w:rPr>
          <w:color w:val="005DA1"/>
          <w:spacing w:val="-1"/>
          <w:vertAlign w:val="baseline"/>
        </w:rPr>
        <w:t> </w:t>
      </w:r>
      <w:r>
        <w:rPr>
          <w:vertAlign w:val="baseline"/>
        </w:rPr>
        <w:t>The</w:t>
      </w:r>
      <w:r>
        <w:rPr>
          <w:spacing w:val="-1"/>
          <w:vertAlign w:val="baseline"/>
        </w:rPr>
        <w:t> </w:t>
      </w:r>
      <w:r>
        <w:rPr>
          <w:vertAlign w:val="baseline"/>
        </w:rPr>
        <w:t>scope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doctrine and</w:t>
      </w:r>
      <w:r>
        <w:rPr>
          <w:spacing w:val="11"/>
          <w:vertAlign w:val="baseline"/>
        </w:rPr>
        <w:t> </w:t>
      </w:r>
      <w:r>
        <w:rPr>
          <w:vertAlign w:val="baseline"/>
        </w:rPr>
        <w:t>these</w:t>
      </w:r>
      <w:r>
        <w:rPr>
          <w:spacing w:val="11"/>
          <w:vertAlign w:val="baseline"/>
        </w:rPr>
        <w:t> </w:t>
      </w:r>
      <w:r>
        <w:rPr>
          <w:vertAlign w:val="baseline"/>
        </w:rPr>
        <w:t>other</w:t>
      </w:r>
      <w:r>
        <w:rPr>
          <w:spacing w:val="11"/>
          <w:vertAlign w:val="baseline"/>
        </w:rPr>
        <w:t> </w:t>
      </w:r>
      <w:r>
        <w:rPr>
          <w:vertAlign w:val="baseline"/>
        </w:rPr>
        <w:t>exceptions</w:t>
      </w:r>
      <w:r>
        <w:rPr>
          <w:spacing w:val="11"/>
          <w:vertAlign w:val="baseline"/>
        </w:rPr>
        <w:t> </w:t>
      </w:r>
      <w:r>
        <w:rPr>
          <w:vertAlign w:val="baseline"/>
        </w:rPr>
        <w:t>therefore</w:t>
      </w:r>
      <w:r>
        <w:rPr>
          <w:spacing w:val="11"/>
          <w:vertAlign w:val="baseline"/>
        </w:rPr>
        <w:t> </w:t>
      </w:r>
      <w:r>
        <w:rPr>
          <w:vertAlign w:val="baseline"/>
        </w:rPr>
        <w:t>continue</w:t>
      </w:r>
      <w:r>
        <w:rPr>
          <w:spacing w:val="11"/>
          <w:vertAlign w:val="baseline"/>
        </w:rPr>
        <w:t> </w:t>
      </w:r>
      <w:r>
        <w:rPr>
          <w:vertAlign w:val="baseline"/>
        </w:rPr>
        <w:t>to</w:t>
      </w:r>
      <w:r>
        <w:rPr>
          <w:spacing w:val="11"/>
          <w:vertAlign w:val="baseline"/>
        </w:rPr>
        <w:t> </w:t>
      </w:r>
      <w:r>
        <w:rPr>
          <w:vertAlign w:val="baseline"/>
        </w:rPr>
        <w:t>call</w:t>
      </w:r>
      <w:r>
        <w:rPr>
          <w:spacing w:val="11"/>
          <w:vertAlign w:val="baseline"/>
        </w:rPr>
        <w:t> </w:t>
      </w:r>
      <w:r>
        <w:rPr>
          <w:vertAlign w:val="baseline"/>
        </w:rPr>
        <w:t>for</w:t>
      </w:r>
      <w:r>
        <w:rPr>
          <w:spacing w:val="11"/>
          <w:vertAlign w:val="baseline"/>
        </w:rPr>
        <w:t> </w:t>
      </w:r>
      <w:r>
        <w:rPr>
          <w:vertAlign w:val="baseline"/>
        </w:rPr>
        <w:t>discussion,</w:t>
      </w:r>
      <w:r>
        <w:rPr>
          <w:spacing w:val="11"/>
          <w:vertAlign w:val="baseline"/>
        </w:rPr>
        <w:t> </w:t>
      </w:r>
      <w:r>
        <w:rPr>
          <w:vertAlign w:val="baseline"/>
        </w:rPr>
        <w:t>particularly</w:t>
      </w:r>
      <w:r>
        <w:rPr>
          <w:spacing w:val="11"/>
          <w:vertAlign w:val="baseline"/>
        </w:rPr>
        <w:t> </w:t>
      </w:r>
      <w:r>
        <w:rPr>
          <w:vertAlign w:val="baseline"/>
        </w:rPr>
        <w:t>because</w:t>
      </w:r>
      <w:r>
        <w:rPr>
          <w:spacing w:val="11"/>
          <w:vertAlign w:val="baseline"/>
        </w:rPr>
        <w:t> </w:t>
      </w:r>
      <w:r>
        <w:rPr>
          <w:vertAlign w:val="baseline"/>
        </w:rPr>
        <w:t>the</w:t>
      </w:r>
      <w:r>
        <w:rPr>
          <w:spacing w:val="11"/>
          <w:vertAlign w:val="baseline"/>
        </w:rPr>
        <w:t> </w:t>
      </w:r>
      <w:r>
        <w:rPr>
          <w:spacing w:val="-2"/>
          <w:vertAlign w:val="baseline"/>
        </w:rPr>
        <w:t>content</w:t>
      </w:r>
    </w:p>
    <w:p>
      <w:pPr>
        <w:pStyle w:val="BodyText"/>
        <w:spacing w:after="0" w:line="235" w:lineRule="auto"/>
        <w:jc w:val="both"/>
        <w:sectPr>
          <w:headerReference w:type="default" r:id="rId5"/>
          <w:type w:val="continuous"/>
          <w:pgSz w:w="11900" w:h="16840"/>
          <w:pgMar w:header="971" w:footer="0" w:top="1160" w:bottom="280" w:left="1275" w:right="1275"/>
          <w:pgNumType w:start="1"/>
        </w:sectPr>
      </w:pPr>
    </w:p>
    <w:p>
      <w:pPr>
        <w:pStyle w:val="BodyText"/>
        <w:spacing w:before="24"/>
      </w:pPr>
    </w:p>
    <w:p>
      <w:pPr>
        <w:pStyle w:val="BodyText"/>
        <w:spacing w:line="235" w:lineRule="auto" w:before="1"/>
        <w:ind w:left="165" w:right="167"/>
        <w:jc w:val="both"/>
      </w:pPr>
      <w:bookmarkStart w:name="_bookmark11" w:id="13"/>
      <w:bookmarkEnd w:id="13"/>
      <w:r>
        <w:rPr/>
      </w:r>
      <w:r>
        <w:rPr/>
        <w:t>of rights available apart from the 1999 Act in some ways differs from that of the rights available under it. </w:t>
      </w:r>
      <w:r>
        <w:rPr>
          <w:color w:val="005DA1"/>
          <w:u w:val="single" w:color="005DA1"/>
          <w:vertAlign w:val="superscript"/>
        </w:rPr>
        <w:t>14</w:t>
      </w:r>
      <w:r>
        <w:rPr>
          <w:color w:val="005DA1"/>
          <w:vertAlign w:val="baseline"/>
        </w:rPr>
        <w:t> </w:t>
      </w:r>
      <w:r>
        <w:rPr>
          <w:vertAlign w:val="baseline"/>
        </w:rPr>
        <w:t>The 1999 Act also (in accordance with the Law Commission’s recommendations </w:t>
      </w:r>
      <w:r>
        <w:rPr>
          <w:color w:val="005DA1"/>
          <w:u w:val="single" w:color="005DA1"/>
          <w:vertAlign w:val="superscript"/>
        </w:rPr>
        <w:t>15</w:t>
      </w:r>
      <w:r>
        <w:rPr>
          <w:vertAlign w:val="baseline"/>
        </w:rPr>
        <w:t>) does </w:t>
      </w:r>
      <w:r>
        <w:rPr>
          <w:vertAlign w:val="baseline"/>
        </w:rPr>
        <w:t>not affect the common law rule that a contract cannot impose liabilities on a third party or (in general) </w:t>
      </w:r>
      <w:bookmarkStart w:name="_bookmark12" w:id="14"/>
      <w:bookmarkEnd w:id="14"/>
      <w:r>
        <w:rPr>
          <w:vertAlign w:val="baseline"/>
        </w:rPr>
        <w:t>otherwise</w:t>
      </w:r>
      <w:r>
        <w:rPr>
          <w:vertAlign w:val="baseline"/>
        </w:rPr>
        <w:t> bind him, so that this aspect of the common law doctrine, too, continues to call for discussion. Nor does the Act affect any rights of the promisee to enforce any term of the contract </w:t>
      </w:r>
      <w:r>
        <w:rPr>
          <w:color w:val="005DA1"/>
          <w:u w:val="single" w:color="005DA1"/>
          <w:vertAlign w:val="superscript"/>
        </w:rPr>
        <w:t>16</w:t>
      </w:r>
      <w:r>
        <w:rPr>
          <w:vertAlign w:val="baseline"/>
        </w:rPr>
        <w:t>: such questions as whether the promisee can recover damages in respect of the third party’s loss will therefore continue to be governed by the rules which have been (and no doubt will further be) developed as a matter of common law. There is finally the point that the 1999 Act also does not apply </w:t>
      </w:r>
      <w:bookmarkStart w:name="_bookmark13" w:id="15"/>
      <w:bookmarkEnd w:id="15"/>
      <w:r>
        <w:rPr>
          <w:vertAlign w:val="baseline"/>
        </w:rPr>
        <w:t>to</w:t>
      </w:r>
      <w:r>
        <w:rPr>
          <w:vertAlign w:val="baseline"/>
        </w:rPr>
        <w:t> contracts made before the end of the period of six months beginning on the day on which it was it </w:t>
      </w:r>
      <w:bookmarkStart w:name="_bookmark14" w:id="16"/>
      <w:bookmarkEnd w:id="16"/>
      <w:r>
        <w:rPr>
          <w:vertAlign w:val="baseline"/>
        </w:rPr>
        <w:t>passed</w:t>
      </w:r>
      <w:r>
        <w:rPr>
          <w:vertAlign w:val="baseline"/>
        </w:rPr>
        <w:t> and came into force, </w:t>
      </w:r>
      <w:r>
        <w:rPr>
          <w:color w:val="005DA1"/>
          <w:u w:val="single" w:color="005DA1"/>
          <w:vertAlign w:val="superscript"/>
        </w:rPr>
        <w:t>17</w:t>
      </w:r>
      <w:r>
        <w:rPr>
          <w:color w:val="005DA1"/>
          <w:vertAlign w:val="baseline"/>
        </w:rPr>
        <w:t> </w:t>
      </w:r>
      <w:r>
        <w:rPr>
          <w:vertAlign w:val="baseline"/>
        </w:rPr>
        <w:t>except where a contract </w:t>
      </w:r>
      <w:r>
        <w:rPr>
          <w:color w:val="005DA1"/>
          <w:u w:val="single" w:color="005DA1"/>
          <w:vertAlign w:val="superscript"/>
        </w:rPr>
        <w:t>18</w:t>
      </w:r>
      <w:r>
        <w:rPr>
          <w:color w:val="005DA1"/>
          <w:vertAlign w:val="baseline"/>
        </w:rPr>
        <w:t> </w:t>
      </w:r>
      <w:r>
        <w:rPr>
          <w:vertAlign w:val="baseline"/>
        </w:rPr>
        <w:t>made within that period expressly provides that the Act is to apply to it. </w:t>
      </w:r>
      <w:r>
        <w:rPr>
          <w:color w:val="005DA1"/>
          <w:u w:val="single" w:color="005DA1"/>
          <w:vertAlign w:val="superscript"/>
        </w:rPr>
        <w:t>19</w:t>
      </w:r>
      <w:r>
        <w:rPr>
          <w:color w:val="005DA1"/>
          <w:vertAlign w:val="baseline"/>
        </w:rPr>
        <w:t> </w:t>
      </w:r>
      <w:r>
        <w:rPr>
          <w:vertAlign w:val="baseline"/>
        </w:rPr>
        <w:t>The rules of law which were established before the 1999 Act therefore </w:t>
      </w:r>
      <w:bookmarkStart w:name="_bookmark15" w:id="17"/>
      <w:bookmarkEnd w:id="17"/>
      <w:r>
        <w:rPr>
          <w:vertAlign w:val="baseline"/>
        </w:rPr>
        <w:t>continue</w:t>
      </w:r>
      <w:r>
        <w:rPr>
          <w:vertAlign w:val="baseline"/>
        </w:rPr>
        <w:t> to apply to contracts made before the date specified in the Act or in any such contract. They also continue to apply in a significant number of other situations, described above, </w:t>
      </w:r>
      <w:r>
        <w:rPr>
          <w:color w:val="005DA1"/>
          <w:u w:val="single" w:color="005DA1"/>
          <w:vertAlign w:val="superscript"/>
        </w:rPr>
        <w:t>20</w:t>
      </w:r>
      <w:r>
        <w:rPr>
          <w:color w:val="005DA1"/>
          <w:vertAlign w:val="baseline"/>
        </w:rPr>
        <w:t> </w:t>
      </w:r>
      <w:r>
        <w:rPr>
          <w:vertAlign w:val="baseline"/>
        </w:rPr>
        <w:t>to which the Act does not apply. These rules therefore still require discussion, even though a considerable number of the cases on which they are based would, if their facts occurred now, be decided differently (where they had denied the third party the right to enforce a term of the contract) or be decided on different grounds (where they had given the third party such a right). The result of all these points is that the 1999 Act may have improved, but that it has scarcely simplified, the law on this topic.</w:t>
      </w:r>
    </w:p>
    <w:p>
      <w:pPr>
        <w:pStyle w:val="BodyText"/>
      </w:pPr>
    </w:p>
    <w:p>
      <w:pPr>
        <w:pStyle w:val="BodyText"/>
        <w:spacing w:before="33"/>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182243</wp:posOffset>
                </wp:positionV>
                <wp:extent cx="572452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49867pt;width:450.75pt;height:.1pt;mso-position-horizontal-relative:page;mso-position-vertical-relative:paragraph;z-index:-15724032;mso-wrap-distance-left:0;mso-wrap-distance-right:0" id="docshape2" coordorigin="1440,287" coordsize="9015,0" path="m1440,287l10454,287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37120">
                <wp:simplePos x="0" y="0"/>
                <wp:positionH relativeFrom="page">
                  <wp:posOffset>914400</wp:posOffset>
                </wp:positionH>
                <wp:positionV relativeFrom="paragraph">
                  <wp:posOffset>97116</wp:posOffset>
                </wp:positionV>
                <wp:extent cx="495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9360"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9"/>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4037632">
                <wp:simplePos x="0" y="0"/>
                <wp:positionH relativeFrom="page">
                  <wp:posOffset>914400</wp:posOffset>
                </wp:positionH>
                <wp:positionV relativeFrom="paragraph">
                  <wp:posOffset>94601</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8848" from="72pt,7.44893pt" to="75.892pt,7.44893pt" stroked="true" strokeweight=".5pt" strokecolor="#005da1">
                <v:stroke dashstyle="solid"/>
                <w10:wrap type="none"/>
              </v:line>
            </w:pict>
          </mc:Fallback>
        </mc:AlternateContent>
      </w:r>
      <w:bookmarkStart w:name="_bookmark16" w:id="18"/>
      <w:bookmarkEnd w:id="18"/>
      <w:r>
        <w:rPr/>
      </w:r>
      <w:hyperlink w:history="true" w:anchor="_bookmark0">
        <w:r>
          <w:rPr>
            <w:color w:val="005DA1"/>
            <w:spacing w:val="-6"/>
            <w:position w:val="5"/>
            <w:sz w:val="14"/>
          </w:rPr>
          <w:t>2</w:t>
        </w:r>
      </w:hyperlink>
      <w:r>
        <w:rPr>
          <w:spacing w:val="-6"/>
          <w:position w:val="5"/>
          <w:sz w:val="14"/>
        </w:rPr>
        <w:t>.</w:t>
      </w:r>
      <w:r>
        <w:rPr>
          <w:position w:val="5"/>
          <w:sz w:val="14"/>
        </w:rPr>
        <w:tab/>
      </w:r>
      <w:r>
        <w:rPr/>
        <w:t>See below, para.18-139. The rule that a contract cannot in other respects bind a third party </w:t>
      </w:r>
      <w:r>
        <w:rPr/>
        <w:t>can be inconvenient in cases involving exemption clauses (and is therefore modified in a number of ways discussed in section 5 of Ch.15). It is further qualified in a number of ways to be</w:t>
      </w:r>
      <w:r>
        <w:rPr>
          <w:spacing w:val="40"/>
        </w:rPr>
        <w:t> </w:t>
      </w:r>
      <w:r>
        <w:rPr/>
        <w:t>discussed in section 5 of the present Chapter.</w:t>
      </w:r>
    </w:p>
    <w:p>
      <w:pPr>
        <w:pStyle w:val="BodyText"/>
        <w:spacing w:before="8"/>
      </w:pPr>
    </w:p>
    <w:p>
      <w:pPr>
        <w:pStyle w:val="BodyText"/>
        <w:tabs>
          <w:tab w:pos="705" w:val="left" w:leader="none"/>
        </w:tabs>
        <w:spacing w:line="235" w:lineRule="auto"/>
        <w:ind w:left="705" w:right="168" w:hanging="541"/>
      </w:pPr>
      <w:r>
        <w:rPr/>
        <mc:AlternateContent>
          <mc:Choice Requires="wps">
            <w:drawing>
              <wp:anchor distT="0" distB="0" distL="0" distR="0" allowOverlap="1" layoutInCell="1" locked="0" behindDoc="1" simplePos="0" relativeHeight="484038144">
                <wp:simplePos x="0" y="0"/>
                <wp:positionH relativeFrom="page">
                  <wp:posOffset>914400</wp:posOffset>
                </wp:positionH>
                <wp:positionV relativeFrom="paragraph">
                  <wp:posOffset>94916</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8336" from="72pt,7.473734pt" to="75.892pt,7.473734pt" stroked="true" strokeweight=".5pt" strokecolor="#005da1">
                <v:stroke dashstyle="solid"/>
                <w10:wrap type="none"/>
              </v:line>
            </w:pict>
          </mc:Fallback>
        </mc:AlternateContent>
      </w:r>
      <w:bookmarkStart w:name="_bookmark17" w:id="19"/>
      <w:bookmarkEnd w:id="19"/>
      <w:r>
        <w:rPr/>
      </w:r>
      <w:hyperlink w:history="true" w:anchor="_bookmark1">
        <w:r>
          <w:rPr>
            <w:color w:val="005DA1"/>
            <w:spacing w:val="-6"/>
            <w:position w:val="5"/>
            <w:sz w:val="14"/>
          </w:rPr>
          <w:t>3</w:t>
        </w:r>
      </w:hyperlink>
      <w:r>
        <w:rPr>
          <w:spacing w:val="-6"/>
          <w:position w:val="5"/>
          <w:sz w:val="14"/>
        </w:rPr>
        <w:t>.</w:t>
      </w:r>
      <w:r>
        <w:rPr>
          <w:position w:val="5"/>
          <w:sz w:val="14"/>
        </w:rPr>
        <w:tab/>
      </w:r>
      <w:r>
        <w:rPr/>
        <w:t>Law Com. No.242 (hereafter “Report”). For an earlier proposal, see Law Revision Committee, 6th Interim Report (Cmnd. 5449) Section D.</w:t>
      </w:r>
    </w:p>
    <w:p>
      <w:pPr>
        <w:pStyle w:val="BodyText"/>
        <w:spacing w:before="6"/>
      </w:pPr>
    </w:p>
    <w:p>
      <w:pPr>
        <w:pStyle w:val="BodyText"/>
        <w:tabs>
          <w:tab w:pos="705" w:val="left" w:leader="none"/>
        </w:tabs>
        <w:ind w:left="165"/>
      </w:pPr>
      <w:r>
        <w:rPr/>
        <mc:AlternateContent>
          <mc:Choice Requires="wps">
            <w:drawing>
              <wp:anchor distT="0" distB="0" distL="0" distR="0" allowOverlap="1" layoutInCell="1" locked="0" behindDoc="1" simplePos="0" relativeHeight="484038656">
                <wp:simplePos x="0" y="0"/>
                <wp:positionH relativeFrom="page">
                  <wp:posOffset>914400</wp:posOffset>
                </wp:positionH>
                <wp:positionV relativeFrom="paragraph">
                  <wp:posOffset>96985</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7824" from="72pt,7.636625pt" to="75.892pt,7.636625pt" stroked="true" strokeweight=".5pt" strokecolor="#005da1">
                <v:stroke dashstyle="solid"/>
                <w10:wrap type="none"/>
              </v:line>
            </w:pict>
          </mc:Fallback>
        </mc:AlternateContent>
      </w:r>
      <w:bookmarkStart w:name="_bookmark18" w:id="20"/>
      <w:bookmarkEnd w:id="20"/>
      <w:r>
        <w:rPr/>
      </w:r>
      <w:hyperlink w:history="true" w:anchor="_bookmark1">
        <w:r>
          <w:rPr>
            <w:color w:val="005DA1"/>
            <w:spacing w:val="-5"/>
            <w:position w:val="5"/>
            <w:sz w:val="14"/>
          </w:rPr>
          <w:t>4</w:t>
        </w:r>
      </w:hyperlink>
      <w:r>
        <w:rPr>
          <w:spacing w:val="-5"/>
          <w:position w:val="5"/>
          <w:sz w:val="14"/>
        </w:rPr>
        <w:t>.</w:t>
      </w:r>
      <w:r>
        <w:rPr>
          <w:position w:val="5"/>
          <w:sz w:val="14"/>
        </w:rPr>
        <w:tab/>
      </w:r>
      <w:r>
        <w:rPr/>
        <w:t>For a situation in which this was</w:t>
      </w:r>
      <w:r>
        <w:rPr>
          <w:spacing w:val="-1"/>
        </w:rPr>
        <w:t> </w:t>
      </w:r>
      <w:r>
        <w:rPr>
          <w:rFonts w:ascii="Arial"/>
          <w:i/>
        </w:rPr>
        <w:t>not </w:t>
      </w:r>
      <w:r>
        <w:rPr/>
        <w:t>necessary, see Report, para.6.8 n.8, below, para.18-</w:t>
      </w:r>
      <w:r>
        <w:rPr>
          <w:spacing w:val="-4"/>
        </w:rPr>
        <w:t>102.</w:t>
      </w:r>
    </w:p>
    <w:p>
      <w:pPr>
        <w:pStyle w:val="BodyText"/>
        <w:spacing w:before="9"/>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4039168">
                <wp:simplePos x="0" y="0"/>
                <wp:positionH relativeFrom="page">
                  <wp:posOffset>914400</wp:posOffset>
                </wp:positionH>
                <wp:positionV relativeFrom="paragraph">
                  <wp:posOffset>94469</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7312" from="72pt,7.438578pt" to="75.892pt,7.438578pt" stroked="true" strokeweight=".5pt" strokecolor="#005da1">
                <v:stroke dashstyle="solid"/>
                <w10:wrap type="none"/>
              </v:line>
            </w:pict>
          </mc:Fallback>
        </mc:AlternateContent>
      </w:r>
      <w:bookmarkStart w:name="_bookmark19" w:id="21"/>
      <w:bookmarkEnd w:id="21"/>
      <w:r>
        <w:rPr/>
      </w:r>
      <w:hyperlink w:history="true" w:anchor="_bookmark2">
        <w:r>
          <w:rPr>
            <w:color w:val="005DA1"/>
            <w:spacing w:val="-6"/>
            <w:position w:val="5"/>
            <w:sz w:val="14"/>
          </w:rPr>
          <w:t>5</w:t>
        </w:r>
      </w:hyperlink>
      <w:r>
        <w:rPr>
          <w:spacing w:val="-6"/>
          <w:position w:val="5"/>
          <w:sz w:val="14"/>
        </w:rPr>
        <w:t>.</w:t>
      </w:r>
      <w:r>
        <w:rPr>
          <w:position w:val="5"/>
          <w:sz w:val="14"/>
        </w:rPr>
        <w:tab/>
      </w:r>
      <w:r>
        <w:rPr/>
        <w:t>The exception is s.8 of the Act, subjecting the third party’s rights to arbitration agreements, contrary to the views expressed in paras 14.14 to 14.19 of the Report: see para.18-100 below, and Vol.II, para.32-039.</w:t>
      </w:r>
    </w:p>
    <w:p>
      <w:pPr>
        <w:pStyle w:val="BodyText"/>
        <w:spacing w:before="8"/>
      </w:pPr>
    </w:p>
    <w:p>
      <w:pPr>
        <w:pStyle w:val="BodyText"/>
        <w:tabs>
          <w:tab w:pos="705" w:val="left" w:leader="none"/>
        </w:tabs>
        <w:spacing w:line="235" w:lineRule="auto" w:before="1"/>
        <w:ind w:left="705" w:right="168" w:hanging="541"/>
      </w:pPr>
      <w:r>
        <w:rPr/>
        <mc:AlternateContent>
          <mc:Choice Requires="wps">
            <w:drawing>
              <wp:anchor distT="0" distB="0" distL="0" distR="0" allowOverlap="1" layoutInCell="1" locked="0" behindDoc="1" simplePos="0" relativeHeight="484039680">
                <wp:simplePos x="0" y="0"/>
                <wp:positionH relativeFrom="page">
                  <wp:posOffset>914400</wp:posOffset>
                </wp:positionH>
                <wp:positionV relativeFrom="paragraph">
                  <wp:posOffset>95026</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6800" from="72pt,7.482426pt" to="75.892pt,7.482426pt" stroked="true" strokeweight=".5pt" strokecolor="#005da1">
                <v:stroke dashstyle="solid"/>
                <w10:wrap type="none"/>
              </v:line>
            </w:pict>
          </mc:Fallback>
        </mc:AlternateContent>
      </w:r>
      <w:bookmarkStart w:name="_bookmark20" w:id="22"/>
      <w:bookmarkEnd w:id="22"/>
      <w:r>
        <w:rPr/>
      </w:r>
      <w:hyperlink w:history="true" w:anchor="_bookmark3">
        <w:r>
          <w:rPr>
            <w:color w:val="005DA1"/>
            <w:spacing w:val="-6"/>
            <w:position w:val="5"/>
            <w:sz w:val="14"/>
          </w:rPr>
          <w:t>6</w:t>
        </w:r>
      </w:hyperlink>
      <w:r>
        <w:rPr>
          <w:spacing w:val="-6"/>
          <w:position w:val="5"/>
          <w:sz w:val="14"/>
        </w:rPr>
        <w:t>.</w:t>
      </w:r>
      <w:r>
        <w:rPr>
          <w:position w:val="5"/>
          <w:sz w:val="14"/>
        </w:rPr>
        <w:tab/>
      </w:r>
      <w:r>
        <w:rPr/>
        <w:t>Report para.5.16; the importance of the point appears from the fact that it is repeated in almost identical terms in para.13.2 of the Report.</w:t>
      </w:r>
    </w:p>
    <w:p>
      <w:pPr>
        <w:pStyle w:val="BodyText"/>
        <w:spacing w:before="9"/>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4040192">
                <wp:simplePos x="0" y="0"/>
                <wp:positionH relativeFrom="page">
                  <wp:posOffset>914400</wp:posOffset>
                </wp:positionH>
                <wp:positionV relativeFrom="paragraph">
                  <wp:posOffset>94555</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6288" from="72pt,7.445316pt" to="75.892pt,7.445316pt" stroked="true" strokeweight=".5pt" strokecolor="#005da1">
                <v:stroke dashstyle="solid"/>
                <w10:wrap type="none"/>
              </v:line>
            </w:pict>
          </mc:Fallback>
        </mc:AlternateContent>
      </w:r>
      <w:bookmarkStart w:name="_bookmark21" w:id="23"/>
      <w:bookmarkEnd w:id="23"/>
      <w:r>
        <w:rPr/>
      </w:r>
      <w:hyperlink w:history="true" w:anchor="_bookmark4">
        <w:r>
          <w:rPr>
            <w:color w:val="005DA1"/>
            <w:spacing w:val="-6"/>
            <w:position w:val="5"/>
            <w:sz w:val="14"/>
          </w:rPr>
          <w:t>7</w:t>
        </w:r>
      </w:hyperlink>
      <w:r>
        <w:rPr>
          <w:spacing w:val="-6"/>
          <w:position w:val="5"/>
          <w:sz w:val="14"/>
        </w:rPr>
        <w:t>.</w:t>
      </w:r>
      <w:r>
        <w:rPr>
          <w:position w:val="5"/>
          <w:sz w:val="14"/>
        </w:rPr>
        <w:tab/>
      </w:r>
      <w:r>
        <w:rPr>
          <w:sz w:val="20"/>
        </w:rPr>
        <w:t>See Lord Bingham’s reference in </w:t>
      </w:r>
      <w:r>
        <w:rPr>
          <w:rFonts w:ascii="Arial" w:hAnsi="Arial"/>
          <w:i/>
          <w:sz w:val="20"/>
        </w:rPr>
        <w:t>Heaton v Axa Equity &amp; Law Life Assurance plc [2002] UKHL 15; [2002] 2 A.C. 392 </w:t>
      </w:r>
      <w:r>
        <w:rPr>
          <w:sz w:val="20"/>
        </w:rPr>
        <w:t>at [9] to “the limited class of contracts which either at common law or by virtue of the Contracts (Rights of Third Parties) Act 1999 was enforceable by … a third party.”</w:t>
      </w:r>
      <w:r>
        <w:rPr>
          <w:spacing w:val="40"/>
          <w:sz w:val="20"/>
        </w:rPr>
        <w:t> </w:t>
      </w:r>
      <w:r>
        <w:rPr>
          <w:sz w:val="20"/>
        </w:rPr>
        <w:t>cf. </w:t>
      </w:r>
      <w:r>
        <w:rPr>
          <w:rFonts w:ascii="Arial" w:hAnsi="Arial"/>
          <w:i/>
          <w:sz w:val="20"/>
        </w:rPr>
        <w:t>Alfred McAlpine Construction Ltd v Panatown Ltd [2001] 1 A.C. 518 </w:t>
      </w:r>
      <w:r>
        <w:rPr>
          <w:sz w:val="20"/>
        </w:rPr>
        <w:t>at 535 per Lord Clyde, saying</w:t>
      </w:r>
      <w:r>
        <w:rPr>
          <w:spacing w:val="40"/>
          <w:sz w:val="20"/>
        </w:rPr>
        <w:t> </w:t>
      </w:r>
      <w:r>
        <w:rPr>
          <w:sz w:val="20"/>
        </w:rPr>
        <w:t>that</w:t>
      </w:r>
      <w:r>
        <w:rPr>
          <w:spacing w:val="40"/>
          <w:sz w:val="20"/>
        </w:rPr>
        <w:t> </w:t>
      </w:r>
      <w:r>
        <w:rPr>
          <w:sz w:val="20"/>
        </w:rPr>
        <w:t>the</w:t>
      </w:r>
      <w:r>
        <w:rPr>
          <w:spacing w:val="40"/>
          <w:sz w:val="20"/>
        </w:rPr>
        <w:t> </w:t>
      </w:r>
      <w:r>
        <w:rPr>
          <w:sz w:val="20"/>
        </w:rPr>
        <w:t>1999</w:t>
      </w:r>
      <w:r>
        <w:rPr>
          <w:spacing w:val="40"/>
          <w:sz w:val="20"/>
        </w:rPr>
        <w:t> </w:t>
      </w:r>
      <w:r>
        <w:rPr>
          <w:sz w:val="20"/>
        </w:rPr>
        <w:t>Act</w:t>
      </w:r>
      <w:r>
        <w:rPr>
          <w:spacing w:val="40"/>
          <w:sz w:val="20"/>
        </w:rPr>
        <w:t> </w:t>
      </w:r>
      <w:r>
        <w:rPr>
          <w:sz w:val="20"/>
        </w:rPr>
        <w:t>had</w:t>
      </w:r>
      <w:r>
        <w:rPr>
          <w:spacing w:val="40"/>
          <w:sz w:val="20"/>
        </w:rPr>
        <w:t> </w:t>
      </w:r>
      <w:r>
        <w:rPr>
          <w:sz w:val="20"/>
        </w:rPr>
        <w:t>“made</w:t>
      </w:r>
      <w:r>
        <w:rPr>
          <w:spacing w:val="40"/>
          <w:sz w:val="20"/>
        </w:rPr>
        <w:t> </w:t>
      </w:r>
      <w:r>
        <w:rPr>
          <w:sz w:val="20"/>
        </w:rPr>
        <w:t>some</w:t>
      </w:r>
      <w:r>
        <w:rPr>
          <w:spacing w:val="40"/>
          <w:sz w:val="20"/>
        </w:rPr>
        <w:t> </w:t>
      </w:r>
      <w:r>
        <w:rPr>
          <w:sz w:val="20"/>
        </w:rPr>
        <w:t>inroads</w:t>
      </w:r>
      <w:r>
        <w:rPr>
          <w:spacing w:val="40"/>
          <w:sz w:val="20"/>
        </w:rPr>
        <w:t> </w:t>
      </w:r>
      <w:r>
        <w:rPr>
          <w:sz w:val="20"/>
        </w:rPr>
        <w:t>on</w:t>
      </w:r>
      <w:r>
        <w:rPr>
          <w:spacing w:val="40"/>
          <w:sz w:val="20"/>
        </w:rPr>
        <w:t> </w:t>
      </w:r>
      <w:r>
        <w:rPr>
          <w:sz w:val="20"/>
        </w:rPr>
        <w:t>the</w:t>
      </w:r>
      <w:r>
        <w:rPr>
          <w:spacing w:val="40"/>
          <w:sz w:val="20"/>
        </w:rPr>
        <w:t> </w:t>
      </w:r>
      <w:r>
        <w:rPr>
          <w:sz w:val="20"/>
        </w:rPr>
        <w:t>principle</w:t>
      </w:r>
      <w:r>
        <w:rPr>
          <w:spacing w:val="40"/>
          <w:sz w:val="20"/>
        </w:rPr>
        <w:t> </w:t>
      </w:r>
      <w:r>
        <w:rPr>
          <w:sz w:val="20"/>
        </w:rPr>
        <w:t>of</w:t>
      </w:r>
      <w:r>
        <w:rPr>
          <w:spacing w:val="40"/>
          <w:sz w:val="20"/>
        </w:rPr>
        <w:t> </w:t>
      </w:r>
      <w:r>
        <w:rPr>
          <w:sz w:val="20"/>
        </w:rPr>
        <w:t>privity”</w:t>
      </w:r>
      <w:r>
        <w:rPr>
          <w:spacing w:val="40"/>
          <w:sz w:val="20"/>
        </w:rPr>
        <w:t> </w:t>
      </w:r>
      <w:r>
        <w:rPr>
          <w:sz w:val="20"/>
        </w:rPr>
        <w:t>and</w:t>
      </w:r>
      <w:r>
        <w:rPr>
          <w:spacing w:val="40"/>
          <w:sz w:val="20"/>
        </w:rPr>
        <w:t> </w:t>
      </w:r>
      <w:r>
        <w:rPr>
          <w:sz w:val="20"/>
        </w:rPr>
        <w:t>Lord Browne-Wilkinson, ibid. at p.575, saying that the Act had “fundamentally affected” the law </w:t>
      </w:r>
      <w:r>
        <w:rPr>
          <w:sz w:val="20"/>
        </w:rPr>
        <w:t>on this topic. It is respectfully submitted that these are more accurate statements than Lord Goff’s reference ibid at p.544 to the “abolition” by the Act of the doctrine of privity, and his similar statement in </w:t>
      </w:r>
      <w:r>
        <w:rPr>
          <w:rFonts w:ascii="Arial" w:hAnsi="Arial"/>
          <w:i/>
          <w:sz w:val="20"/>
        </w:rPr>
        <w:t>Johnson v Gore Wood &amp; Co [2002] 2 A.C. 1</w:t>
      </w:r>
      <w:r>
        <w:rPr>
          <w:rFonts w:ascii="Arial" w:hAnsi="Arial"/>
          <w:i/>
          <w:spacing w:val="-1"/>
          <w:sz w:val="20"/>
        </w:rPr>
        <w:t> </w:t>
      </w:r>
      <w:r>
        <w:rPr>
          <w:sz w:val="20"/>
        </w:rPr>
        <w:t>at 40 (“recently abolished by statute”). See also </w:t>
      </w:r>
      <w:r>
        <w:rPr>
          <w:rFonts w:ascii="Arial" w:hAnsi="Arial"/>
          <w:i/>
          <w:sz w:val="20"/>
        </w:rPr>
        <w:t>Ramco (UK) Ltd v International Insurance Co of Hanover [2004] EWCA Civ 675, [2004] 2 All E.R. (Comm) 866 </w:t>
      </w:r>
      <w:r>
        <w:rPr>
          <w:sz w:val="20"/>
        </w:rPr>
        <w:t>at [32], treating the third party’s right of enforcement under the 1999 Act as an exception to the common law doctrine of privity.</w:t>
      </w:r>
    </w:p>
    <w:p>
      <w:pPr>
        <w:pStyle w:val="BodyText"/>
        <w:spacing w:before="1"/>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4040704">
                <wp:simplePos x="0" y="0"/>
                <wp:positionH relativeFrom="page">
                  <wp:posOffset>914400</wp:posOffset>
                </wp:positionH>
                <wp:positionV relativeFrom="paragraph">
                  <wp:posOffset>97380</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5776" from="72pt,7.667778pt" to="75.892pt,7.667778pt" stroked="true" strokeweight=".5pt" strokecolor="#005da1">
                <v:stroke dashstyle="solid"/>
                <w10:wrap type="none"/>
              </v:line>
            </w:pict>
          </mc:Fallback>
        </mc:AlternateContent>
      </w:r>
      <w:bookmarkStart w:name="_bookmark22" w:id="24"/>
      <w:bookmarkEnd w:id="24"/>
      <w:r>
        <w:rPr/>
      </w:r>
      <w:hyperlink w:history="true" w:anchor="_bookmark5">
        <w:r>
          <w:rPr>
            <w:color w:val="005DA1"/>
            <w:spacing w:val="-5"/>
            <w:position w:val="5"/>
            <w:sz w:val="14"/>
          </w:rPr>
          <w:t>8</w:t>
        </w:r>
      </w:hyperlink>
      <w:r>
        <w:rPr>
          <w:spacing w:val="-5"/>
          <w:position w:val="5"/>
          <w:sz w:val="14"/>
        </w:rPr>
        <w:t>.</w:t>
      </w:r>
      <w:r>
        <w:rPr>
          <w:position w:val="5"/>
          <w:sz w:val="14"/>
        </w:rPr>
        <w:tab/>
      </w:r>
      <w:r>
        <w:rPr/>
        <w:t>Below,</w:t>
      </w:r>
      <w:r>
        <w:rPr>
          <w:spacing w:val="-2"/>
        </w:rPr>
        <w:t> </w:t>
      </w:r>
      <w:r>
        <w:rPr/>
        <w:t>paras 18-090 et </w:t>
      </w:r>
      <w:r>
        <w:rPr>
          <w:spacing w:val="-4"/>
        </w:rPr>
        <w:t>seq.</w:t>
      </w:r>
    </w:p>
    <w:p>
      <w:pPr>
        <w:pStyle w:val="BodyText"/>
        <w:spacing w:before="4"/>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4041216">
                <wp:simplePos x="0" y="0"/>
                <wp:positionH relativeFrom="page">
                  <wp:posOffset>914400</wp:posOffset>
                </wp:positionH>
                <wp:positionV relativeFrom="paragraph">
                  <wp:posOffset>97405</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5264" from="72pt,7.669731pt" to="75.892pt,7.669731pt" stroked="true" strokeweight=".5pt" strokecolor="#005da1">
                <v:stroke dashstyle="solid"/>
                <w10:wrap type="none"/>
              </v:line>
            </w:pict>
          </mc:Fallback>
        </mc:AlternateContent>
      </w:r>
      <w:bookmarkStart w:name="_bookmark23" w:id="25"/>
      <w:bookmarkEnd w:id="25"/>
      <w:r>
        <w:rPr/>
      </w:r>
      <w:hyperlink w:history="true" w:anchor="_bookmark6">
        <w:r>
          <w:rPr>
            <w:color w:val="005DA1"/>
            <w:spacing w:val="-5"/>
            <w:position w:val="5"/>
            <w:sz w:val="14"/>
          </w:rPr>
          <w:t>9</w:t>
        </w:r>
      </w:hyperlink>
      <w:r>
        <w:rPr>
          <w:spacing w:val="-5"/>
          <w:position w:val="5"/>
          <w:sz w:val="14"/>
        </w:rPr>
        <w:t>.</w:t>
      </w:r>
      <w:r>
        <w:rPr>
          <w:position w:val="5"/>
          <w:sz w:val="14"/>
        </w:rPr>
        <w:tab/>
      </w:r>
      <w:r>
        <w:rPr/>
        <w:t>For further discussion of this point, see below, paras 18-024 et </w:t>
      </w:r>
      <w:r>
        <w:rPr>
          <w:spacing w:val="-4"/>
        </w:rPr>
        <w:t>seq.</w:t>
      </w:r>
    </w:p>
    <w:p>
      <w:pPr>
        <w:pStyle w:val="BodyText"/>
        <w:spacing w:after="0"/>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7">
        <w:r>
          <w:rPr>
            <w:color w:val="005DA1"/>
            <w:spacing w:val="-5"/>
            <w:position w:val="5"/>
            <w:sz w:val="14"/>
            <w:u w:val="single" w:color="005DA1"/>
          </w:rPr>
          <w:t>10</w:t>
        </w:r>
      </w:hyperlink>
      <w:r>
        <w:rPr>
          <w:spacing w:val="-5"/>
          <w:position w:val="5"/>
          <w:sz w:val="14"/>
        </w:rPr>
        <w:t>.</w:t>
      </w:r>
      <w:r>
        <w:rPr>
          <w:position w:val="5"/>
          <w:sz w:val="14"/>
        </w:rPr>
        <w:tab/>
      </w:r>
      <w:r>
        <w:rPr/>
        <w:t>See s.6 of the Act, discussed in paras 18-116-18-118, </w:t>
      </w:r>
      <w:r>
        <w:rPr>
          <w:spacing w:val="-2"/>
        </w:rPr>
        <w:t>below.</w:t>
      </w:r>
    </w:p>
    <w:p>
      <w:pPr>
        <w:pStyle w:val="BodyText"/>
        <w:spacing w:before="9"/>
      </w:pPr>
    </w:p>
    <w:p>
      <w:pPr>
        <w:pStyle w:val="BodyText"/>
        <w:spacing w:line="235" w:lineRule="auto"/>
        <w:ind w:left="705" w:right="167" w:hanging="541"/>
        <w:jc w:val="both"/>
      </w:pPr>
      <w:bookmarkStart w:name="_bookmark24" w:id="26"/>
      <w:bookmarkEnd w:id="26"/>
      <w:r>
        <w:rPr/>
      </w:r>
      <w:hyperlink w:history="true" w:anchor="_bookmark8">
        <w:r>
          <w:rPr>
            <w:color w:val="005DA1"/>
            <w:position w:val="5"/>
            <w:sz w:val="14"/>
            <w:u w:val="single" w:color="005DA1"/>
          </w:rPr>
          <w:t>11</w:t>
        </w:r>
      </w:hyperlink>
      <w:r>
        <w:rPr>
          <w:position w:val="5"/>
          <w:sz w:val="14"/>
        </w:rPr>
        <w:t>.</w:t>
      </w:r>
      <w:r>
        <w:rPr>
          <w:spacing w:val="80"/>
          <w:position w:val="5"/>
          <w:sz w:val="14"/>
        </w:rPr>
        <w:t>  </w:t>
      </w:r>
      <w:r>
        <w:rPr/>
        <w:t>See</w:t>
      </w:r>
      <w:r>
        <w:rPr>
          <w:spacing w:val="-1"/>
        </w:rPr>
        <w:t> </w:t>
      </w:r>
      <w:r>
        <w:rPr/>
        <w:t>e.g.</w:t>
      </w:r>
      <w:r>
        <w:rPr>
          <w:spacing w:val="-1"/>
        </w:rPr>
        <w:t> </w:t>
      </w:r>
      <w:r>
        <w:rPr/>
        <w:t>ss.6(2)</w:t>
      </w:r>
      <w:r>
        <w:rPr>
          <w:spacing w:val="-1"/>
        </w:rPr>
        <w:t> </w:t>
      </w:r>
      <w:r>
        <w:rPr/>
        <w:t>and</w:t>
      </w:r>
      <w:r>
        <w:rPr>
          <w:spacing w:val="-1"/>
        </w:rPr>
        <w:t> </w:t>
      </w:r>
      <w:r>
        <w:rPr/>
        <w:t>6(3);</w:t>
      </w:r>
      <w:r>
        <w:rPr>
          <w:spacing w:val="-1"/>
        </w:rPr>
        <w:t> </w:t>
      </w:r>
      <w:r>
        <w:rPr/>
        <w:t>under</w:t>
      </w:r>
      <w:r>
        <w:rPr>
          <w:spacing w:val="-1"/>
        </w:rPr>
        <w:t> </w:t>
      </w:r>
      <w:r>
        <w:rPr/>
        <w:t>some</w:t>
      </w:r>
      <w:r>
        <w:rPr>
          <w:spacing w:val="-1"/>
        </w:rPr>
        <w:t> </w:t>
      </w:r>
      <w:r>
        <w:rPr/>
        <w:t>of</w:t>
      </w:r>
      <w:r>
        <w:rPr>
          <w:spacing w:val="-1"/>
        </w:rPr>
        <w:t> </w:t>
      </w:r>
      <w:r>
        <w:rPr/>
        <w:t>the</w:t>
      </w:r>
      <w:r>
        <w:rPr>
          <w:spacing w:val="-1"/>
        </w:rPr>
        <w:t> </w:t>
      </w:r>
      <w:r>
        <w:rPr/>
        <w:t>other</w:t>
      </w:r>
      <w:r>
        <w:rPr>
          <w:spacing w:val="-1"/>
        </w:rPr>
        <w:t> </w:t>
      </w:r>
      <w:r>
        <w:rPr/>
        <w:t>exceptions</w:t>
      </w:r>
      <w:r>
        <w:rPr>
          <w:spacing w:val="-1"/>
        </w:rPr>
        <w:t> </w:t>
      </w:r>
      <w:r>
        <w:rPr/>
        <w:t>created</w:t>
      </w:r>
      <w:r>
        <w:rPr>
          <w:spacing w:val="-1"/>
        </w:rPr>
        <w:t> </w:t>
      </w:r>
      <w:r>
        <w:rPr/>
        <w:t>by</w:t>
      </w:r>
      <w:r>
        <w:rPr>
          <w:spacing w:val="-1"/>
        </w:rPr>
        <w:t> </w:t>
      </w:r>
      <w:r>
        <w:rPr/>
        <w:t>the</w:t>
      </w:r>
      <w:r>
        <w:rPr>
          <w:spacing w:val="-1"/>
        </w:rPr>
        <w:t> </w:t>
      </w:r>
      <w:r>
        <w:rPr/>
        <w:t>1999</w:t>
      </w:r>
      <w:r>
        <w:rPr>
          <w:spacing w:val="-1"/>
        </w:rPr>
        <w:t> </w:t>
      </w:r>
      <w:r>
        <w:rPr/>
        <w:t>Act,</w:t>
      </w:r>
      <w:r>
        <w:rPr>
          <w:spacing w:val="-1"/>
        </w:rPr>
        <w:t> </w:t>
      </w:r>
      <w:r>
        <w:rPr/>
        <w:t>the</w:t>
      </w:r>
      <w:r>
        <w:rPr>
          <w:spacing w:val="-1"/>
        </w:rPr>
        <w:t> </w:t>
      </w:r>
      <w:r>
        <w:rPr/>
        <w:t>third party will be able to get rights by another legal route: e.g. under those stated in ss.6(1) and </w:t>
      </w:r>
      <w:r>
        <w:rPr/>
        <w:t>(5): see para.18-117, below.</w:t>
      </w:r>
    </w:p>
    <w:p>
      <w:pPr>
        <w:pStyle w:val="BodyText"/>
        <w:spacing w:before="5"/>
      </w:pPr>
    </w:p>
    <w:p>
      <w:pPr>
        <w:pStyle w:val="BodyText"/>
        <w:tabs>
          <w:tab w:pos="705" w:val="left" w:leader="none"/>
        </w:tabs>
        <w:ind w:left="165"/>
      </w:pPr>
      <w:bookmarkStart w:name="_bookmark25" w:id="27"/>
      <w:bookmarkEnd w:id="27"/>
      <w:r>
        <w:rPr/>
      </w:r>
      <w:hyperlink w:history="true" w:anchor="_bookmark9">
        <w:r>
          <w:rPr>
            <w:color w:val="005DA1"/>
            <w:spacing w:val="-5"/>
            <w:position w:val="5"/>
            <w:sz w:val="14"/>
            <w:u w:val="single" w:color="005DA1"/>
          </w:rPr>
          <w:t>12</w:t>
        </w:r>
      </w:hyperlink>
      <w:r>
        <w:rPr>
          <w:spacing w:val="-5"/>
          <w:position w:val="5"/>
          <w:sz w:val="14"/>
        </w:rPr>
        <w:t>.</w:t>
      </w:r>
      <w:r>
        <w:rPr>
          <w:position w:val="5"/>
          <w:sz w:val="14"/>
        </w:rPr>
        <w:tab/>
      </w:r>
      <w:r>
        <w:rPr/>
        <w:t>s.7(1), below para.18-119; Report, </w:t>
      </w:r>
      <w:r>
        <w:rPr>
          <w:spacing w:val="-2"/>
        </w:rPr>
        <w:t>para.12.12.</w:t>
      </w:r>
    </w:p>
    <w:p>
      <w:pPr>
        <w:pStyle w:val="BodyText"/>
        <w:spacing w:before="8"/>
      </w:pPr>
    </w:p>
    <w:p>
      <w:pPr>
        <w:spacing w:line="235" w:lineRule="auto" w:before="1"/>
        <w:ind w:left="705" w:right="167" w:hanging="541"/>
        <w:jc w:val="both"/>
        <w:rPr>
          <w:sz w:val="20"/>
        </w:rPr>
      </w:pPr>
      <w:bookmarkStart w:name="_bookmark26" w:id="28"/>
      <w:bookmarkEnd w:id="28"/>
      <w:r>
        <w:rPr/>
      </w:r>
      <w:hyperlink w:history="true" w:anchor="_bookmark10">
        <w:r>
          <w:rPr>
            <w:color w:val="005DA1"/>
            <w:position w:val="5"/>
            <w:sz w:val="14"/>
            <w:u w:val="single" w:color="005DA1"/>
          </w:rPr>
          <w:t>13</w:t>
        </w:r>
      </w:hyperlink>
      <w:r>
        <w:rPr>
          <w:position w:val="5"/>
          <w:sz w:val="14"/>
        </w:rPr>
        <w:t>.</w:t>
      </w:r>
      <w:r>
        <w:rPr>
          <w:spacing w:val="80"/>
          <w:position w:val="5"/>
          <w:sz w:val="14"/>
        </w:rPr>
        <w:t>  </w:t>
      </w:r>
      <w:r>
        <w:rPr>
          <w:sz w:val="20"/>
        </w:rPr>
        <w:t>Below, paras 18-080-18-089; 18-126-18-138. For an illustration of a situation in which the third party had rights both under the 1999 Act and under one of the judge-made exceptions to </w:t>
      </w:r>
      <w:r>
        <w:rPr>
          <w:sz w:val="20"/>
        </w:rPr>
        <w:t>the doctrine of privity, see </w:t>
      </w:r>
      <w:r>
        <w:rPr>
          <w:rFonts w:ascii="Arial"/>
          <w:i/>
          <w:sz w:val="20"/>
        </w:rPr>
        <w:t>Nisshin Shipping Co Ltd v Cleaves &amp; Co Ltd [2003] EWHC 2602; [2004]</w:t>
      </w:r>
      <w:r>
        <w:rPr>
          <w:rFonts w:ascii="Arial"/>
          <w:i/>
          <w:spacing w:val="40"/>
          <w:sz w:val="20"/>
        </w:rPr>
        <w:t> </w:t>
      </w:r>
      <w:r>
        <w:rPr>
          <w:rFonts w:ascii="Arial"/>
          <w:i/>
          <w:sz w:val="20"/>
        </w:rPr>
        <w:t>1 All E.R. (Comm) 481</w:t>
      </w:r>
      <w:r>
        <w:rPr>
          <w:sz w:val="20"/>
        </w:rPr>
        <w:t>.</w:t>
      </w:r>
    </w:p>
    <w:p>
      <w:pPr>
        <w:pStyle w:val="BodyText"/>
        <w:spacing w:before="8"/>
      </w:pPr>
    </w:p>
    <w:p>
      <w:pPr>
        <w:pStyle w:val="BodyText"/>
        <w:tabs>
          <w:tab w:pos="705" w:val="left" w:leader="none"/>
        </w:tabs>
        <w:spacing w:line="235" w:lineRule="auto"/>
        <w:ind w:left="705" w:right="168" w:hanging="541"/>
      </w:pPr>
      <w:bookmarkStart w:name="_bookmark27" w:id="29"/>
      <w:bookmarkEnd w:id="29"/>
      <w:r>
        <w:rPr/>
      </w:r>
      <w:hyperlink w:history="true" w:anchor="_bookmark11">
        <w:r>
          <w:rPr>
            <w:color w:val="005DA1"/>
            <w:spacing w:val="-4"/>
            <w:position w:val="5"/>
            <w:sz w:val="14"/>
            <w:u w:val="single" w:color="005DA1"/>
          </w:rPr>
          <w:t>14</w:t>
        </w:r>
      </w:hyperlink>
      <w:r>
        <w:rPr>
          <w:spacing w:val="-4"/>
          <w:position w:val="5"/>
          <w:sz w:val="14"/>
        </w:rPr>
        <w:t>.</w:t>
      </w:r>
      <w:r>
        <w:rPr>
          <w:position w:val="5"/>
          <w:sz w:val="14"/>
        </w:rPr>
        <w:tab/>
      </w:r>
      <w:r>
        <w:rPr/>
        <w:t>e.g.,</w:t>
      </w:r>
      <w:r>
        <w:rPr>
          <w:spacing w:val="-2"/>
        </w:rPr>
        <w:t> </w:t>
      </w:r>
      <w:r>
        <w:rPr/>
        <w:t>ss.2</w:t>
      </w:r>
      <w:r>
        <w:rPr>
          <w:spacing w:val="-2"/>
        </w:rPr>
        <w:t> </w:t>
      </w:r>
      <w:r>
        <w:rPr/>
        <w:t>and</w:t>
      </w:r>
      <w:r>
        <w:rPr>
          <w:spacing w:val="-2"/>
        </w:rPr>
        <w:t> </w:t>
      </w:r>
      <w:r>
        <w:rPr/>
        <w:t>3</w:t>
      </w:r>
      <w:r>
        <w:rPr>
          <w:spacing w:val="-2"/>
        </w:rPr>
        <w:t> </w:t>
      </w:r>
      <w:r>
        <w:rPr/>
        <w:t>of</w:t>
      </w:r>
      <w:r>
        <w:rPr>
          <w:spacing w:val="-2"/>
        </w:rPr>
        <w:t> </w:t>
      </w:r>
      <w:r>
        <w:rPr/>
        <w:t>the</w:t>
      </w:r>
      <w:r>
        <w:rPr>
          <w:spacing w:val="-2"/>
        </w:rPr>
        <w:t> </w:t>
      </w:r>
      <w:r>
        <w:rPr/>
        <w:t>1999</w:t>
      </w:r>
      <w:r>
        <w:rPr>
          <w:spacing w:val="-2"/>
        </w:rPr>
        <w:t> </w:t>
      </w:r>
      <w:r>
        <w:rPr/>
        <w:t>Act</w:t>
      </w:r>
      <w:r>
        <w:rPr>
          <w:spacing w:val="-2"/>
        </w:rPr>
        <w:t> </w:t>
      </w:r>
      <w:r>
        <w:rPr/>
        <w:t>will</w:t>
      </w:r>
      <w:r>
        <w:rPr>
          <w:spacing w:val="-2"/>
        </w:rPr>
        <w:t> </w:t>
      </w:r>
      <w:r>
        <w:rPr/>
        <w:t>not</w:t>
      </w:r>
      <w:r>
        <w:rPr>
          <w:spacing w:val="-2"/>
        </w:rPr>
        <w:t> </w:t>
      </w:r>
      <w:r>
        <w:rPr/>
        <w:t>apply</w:t>
      </w:r>
      <w:r>
        <w:rPr>
          <w:spacing w:val="-2"/>
        </w:rPr>
        <w:t> </w:t>
      </w:r>
      <w:r>
        <w:rPr/>
        <w:t>where</w:t>
      </w:r>
      <w:r>
        <w:rPr>
          <w:spacing w:val="-2"/>
        </w:rPr>
        <w:t> </w:t>
      </w:r>
      <w:r>
        <w:rPr/>
        <w:t>the</w:t>
      </w:r>
      <w:r>
        <w:rPr>
          <w:spacing w:val="-2"/>
        </w:rPr>
        <w:t> </w:t>
      </w:r>
      <w:r>
        <w:rPr/>
        <w:t>third</w:t>
      </w:r>
      <w:r>
        <w:rPr>
          <w:spacing w:val="-2"/>
        </w:rPr>
        <w:t> </w:t>
      </w:r>
      <w:r>
        <w:rPr/>
        <w:t>party</w:t>
      </w:r>
      <w:r>
        <w:rPr>
          <w:spacing w:val="-2"/>
        </w:rPr>
        <w:t> </w:t>
      </w:r>
      <w:r>
        <w:rPr/>
        <w:t>has</w:t>
      </w:r>
      <w:r>
        <w:rPr>
          <w:spacing w:val="-2"/>
        </w:rPr>
        <w:t> </w:t>
      </w:r>
      <w:r>
        <w:rPr/>
        <w:t>rights</w:t>
      </w:r>
      <w:r>
        <w:rPr>
          <w:spacing w:val="-2"/>
        </w:rPr>
        <w:t> </w:t>
      </w:r>
      <w:r>
        <w:rPr/>
        <w:t>apart</w:t>
      </w:r>
      <w:r>
        <w:rPr>
          <w:spacing w:val="-2"/>
        </w:rPr>
        <w:t> </w:t>
      </w:r>
      <w:r>
        <w:rPr/>
        <w:t>from</w:t>
      </w:r>
      <w:r>
        <w:rPr>
          <w:spacing w:val="-2"/>
        </w:rPr>
        <w:t> </w:t>
      </w:r>
      <w:r>
        <w:rPr/>
        <w:t>the</w:t>
      </w:r>
      <w:r>
        <w:rPr>
          <w:spacing w:val="-2"/>
        </w:rPr>
        <w:t> </w:t>
      </w:r>
      <w:r>
        <w:rPr/>
        <w:t>Act; see further para.18-121, below.</w:t>
      </w:r>
    </w:p>
    <w:p>
      <w:pPr>
        <w:pStyle w:val="BodyText"/>
        <w:spacing w:before="5"/>
      </w:pPr>
    </w:p>
    <w:p>
      <w:pPr>
        <w:pStyle w:val="BodyText"/>
        <w:tabs>
          <w:tab w:pos="705" w:val="left" w:leader="none"/>
        </w:tabs>
        <w:spacing w:before="1"/>
        <w:ind w:left="165"/>
      </w:pPr>
      <w:bookmarkStart w:name="_bookmark28" w:id="30"/>
      <w:bookmarkEnd w:id="30"/>
      <w:r>
        <w:rPr/>
      </w:r>
      <w:hyperlink w:history="true" w:anchor="_bookmark11">
        <w:r>
          <w:rPr>
            <w:color w:val="005DA1"/>
            <w:spacing w:val="-5"/>
            <w:position w:val="5"/>
            <w:sz w:val="14"/>
            <w:u w:val="single" w:color="005DA1"/>
          </w:rPr>
          <w:t>15</w:t>
        </w:r>
      </w:hyperlink>
      <w:r>
        <w:rPr>
          <w:spacing w:val="-5"/>
          <w:position w:val="5"/>
          <w:sz w:val="14"/>
        </w:rPr>
        <w:t>.</w:t>
      </w:r>
      <w:r>
        <w:rPr>
          <w:position w:val="5"/>
          <w:sz w:val="14"/>
        </w:rPr>
        <w:tab/>
      </w:r>
      <w:r>
        <w:rPr/>
        <w:t>Report,</w:t>
      </w:r>
      <w:r>
        <w:rPr>
          <w:spacing w:val="-2"/>
        </w:rPr>
        <w:t> </w:t>
      </w:r>
      <w:r>
        <w:rPr/>
        <w:t>paras 10.32, </w:t>
      </w:r>
      <w:r>
        <w:rPr>
          <w:spacing w:val="-4"/>
        </w:rPr>
        <w:t>7.6.</w:t>
      </w:r>
    </w:p>
    <w:p>
      <w:pPr>
        <w:pStyle w:val="BodyText"/>
        <w:spacing w:before="4"/>
      </w:pPr>
    </w:p>
    <w:p>
      <w:pPr>
        <w:tabs>
          <w:tab w:pos="705" w:val="left" w:leader="none"/>
        </w:tabs>
        <w:spacing w:before="1"/>
        <w:ind w:left="165" w:right="0" w:firstLine="0"/>
        <w:jc w:val="left"/>
        <w:rPr>
          <w:sz w:val="20"/>
        </w:rPr>
      </w:pPr>
      <w:bookmarkStart w:name="_bookmark29" w:id="31"/>
      <w:bookmarkEnd w:id="31"/>
      <w:r>
        <w:rPr/>
      </w:r>
      <w:hyperlink w:history="true" w:anchor="_bookmark12">
        <w:r>
          <w:rPr>
            <w:color w:val="005DA1"/>
            <w:spacing w:val="-5"/>
            <w:position w:val="5"/>
            <w:sz w:val="14"/>
            <w:u w:val="single" w:color="005DA1"/>
          </w:rPr>
          <w:t>16</w:t>
        </w:r>
      </w:hyperlink>
      <w:r>
        <w:rPr>
          <w:spacing w:val="-5"/>
          <w:position w:val="5"/>
          <w:sz w:val="14"/>
        </w:rPr>
        <w:t>.</w:t>
      </w:r>
      <w:r>
        <w:rPr>
          <w:position w:val="5"/>
          <w:sz w:val="14"/>
        </w:rPr>
        <w:tab/>
      </w:r>
      <w:r>
        <w:rPr>
          <w:sz w:val="20"/>
        </w:rPr>
        <w:t>1999 Act, </w:t>
      </w:r>
      <w:r>
        <w:rPr>
          <w:spacing w:val="-4"/>
          <w:sz w:val="20"/>
        </w:rPr>
        <w:t>s.4.</w:t>
      </w:r>
    </w:p>
    <w:p>
      <w:pPr>
        <w:pStyle w:val="BodyText"/>
        <w:spacing w:before="8"/>
      </w:pPr>
    </w:p>
    <w:p>
      <w:pPr>
        <w:spacing w:line="235" w:lineRule="auto" w:before="0"/>
        <w:ind w:left="705" w:right="167" w:hanging="541"/>
        <w:jc w:val="both"/>
        <w:rPr>
          <w:rFonts w:ascii="Arial" w:hAnsi="Arial"/>
          <w:i/>
          <w:sz w:val="20"/>
        </w:rPr>
      </w:pPr>
      <w:bookmarkStart w:name="_bookmark30" w:id="32"/>
      <w:bookmarkEnd w:id="32"/>
      <w:r>
        <w:rPr/>
      </w:r>
      <w:hyperlink w:history="true" w:anchor="_bookmark13">
        <w:r>
          <w:rPr>
            <w:color w:val="005DA1"/>
            <w:position w:val="5"/>
            <w:sz w:val="14"/>
            <w:u w:val="single" w:color="005DA1"/>
          </w:rPr>
          <w:t>17</w:t>
        </w:r>
      </w:hyperlink>
      <w:r>
        <w:rPr>
          <w:position w:val="5"/>
          <w:sz w:val="14"/>
        </w:rPr>
        <w:t>.</w:t>
      </w:r>
      <w:r>
        <w:rPr>
          <w:spacing w:val="73"/>
          <w:position w:val="5"/>
          <w:sz w:val="14"/>
        </w:rPr>
        <w:t>   </w:t>
      </w:r>
      <w:r>
        <w:rPr>
          <w:sz w:val="20"/>
        </w:rPr>
        <w:t>On</w:t>
      </w:r>
      <w:r>
        <w:rPr>
          <w:spacing w:val="12"/>
          <w:sz w:val="20"/>
        </w:rPr>
        <w:t> </w:t>
      </w:r>
      <w:r>
        <w:rPr>
          <w:sz w:val="20"/>
        </w:rPr>
        <w:t>November</w:t>
      </w:r>
      <w:r>
        <w:rPr>
          <w:spacing w:val="12"/>
          <w:sz w:val="20"/>
        </w:rPr>
        <w:t> </w:t>
      </w:r>
      <w:r>
        <w:rPr>
          <w:sz w:val="20"/>
        </w:rPr>
        <w:t>11,</w:t>
      </w:r>
      <w:r>
        <w:rPr>
          <w:spacing w:val="12"/>
          <w:sz w:val="20"/>
        </w:rPr>
        <w:t> </w:t>
      </w:r>
      <w:r>
        <w:rPr>
          <w:sz w:val="20"/>
        </w:rPr>
        <w:t>1999,</w:t>
      </w:r>
      <w:r>
        <w:rPr>
          <w:spacing w:val="12"/>
          <w:sz w:val="20"/>
        </w:rPr>
        <w:t> </w:t>
      </w:r>
      <w:r>
        <w:rPr>
          <w:sz w:val="20"/>
        </w:rPr>
        <w:t>when</w:t>
      </w:r>
      <w:r>
        <w:rPr>
          <w:spacing w:val="12"/>
          <w:sz w:val="20"/>
        </w:rPr>
        <w:t> </w:t>
      </w:r>
      <w:r>
        <w:rPr>
          <w:sz w:val="20"/>
        </w:rPr>
        <w:t>the</w:t>
      </w:r>
      <w:r>
        <w:rPr>
          <w:spacing w:val="12"/>
          <w:sz w:val="20"/>
        </w:rPr>
        <w:t> </w:t>
      </w:r>
      <w:r>
        <w:rPr>
          <w:sz w:val="20"/>
        </w:rPr>
        <w:t>Act</w:t>
      </w:r>
      <w:r>
        <w:rPr>
          <w:spacing w:val="12"/>
          <w:sz w:val="20"/>
        </w:rPr>
        <w:t> </w:t>
      </w:r>
      <w:r>
        <w:rPr>
          <w:sz w:val="20"/>
        </w:rPr>
        <w:t>received</w:t>
      </w:r>
      <w:r>
        <w:rPr>
          <w:spacing w:val="12"/>
          <w:sz w:val="20"/>
        </w:rPr>
        <w:t> </w:t>
      </w:r>
      <w:r>
        <w:rPr>
          <w:sz w:val="20"/>
        </w:rPr>
        <w:t>the</w:t>
      </w:r>
      <w:r>
        <w:rPr>
          <w:spacing w:val="12"/>
          <w:sz w:val="20"/>
        </w:rPr>
        <w:t> </w:t>
      </w:r>
      <w:r>
        <w:rPr>
          <w:sz w:val="20"/>
        </w:rPr>
        <w:t>Royal</w:t>
      </w:r>
      <w:r>
        <w:rPr>
          <w:spacing w:val="12"/>
          <w:sz w:val="20"/>
        </w:rPr>
        <w:t> </w:t>
      </w:r>
      <w:r>
        <w:rPr>
          <w:sz w:val="20"/>
        </w:rPr>
        <w:t>Assent:</w:t>
      </w:r>
      <w:r>
        <w:rPr>
          <w:spacing w:val="12"/>
          <w:sz w:val="20"/>
        </w:rPr>
        <w:t> </w:t>
      </w:r>
      <w:r>
        <w:rPr>
          <w:sz w:val="20"/>
        </w:rPr>
        <w:t>see</w:t>
      </w:r>
      <w:r>
        <w:rPr>
          <w:spacing w:val="12"/>
          <w:sz w:val="20"/>
        </w:rPr>
        <w:t> </w:t>
      </w:r>
      <w:r>
        <w:rPr>
          <w:sz w:val="20"/>
        </w:rPr>
        <w:t>s.10(2).</w:t>
      </w:r>
      <w:r>
        <w:rPr>
          <w:spacing w:val="12"/>
          <w:sz w:val="20"/>
        </w:rPr>
        <w:t> </w:t>
      </w:r>
      <w:r>
        <w:rPr>
          <w:sz w:val="20"/>
        </w:rPr>
        <w:t>Hence,</w:t>
      </w:r>
      <w:r>
        <w:rPr>
          <w:spacing w:val="12"/>
          <w:sz w:val="20"/>
        </w:rPr>
        <w:t> </w:t>
      </w:r>
      <w:r>
        <w:rPr>
          <w:sz w:val="20"/>
        </w:rPr>
        <w:t>subject to the exception mentioned at n.19 below, the Act does not apply to a contract made </w:t>
      </w:r>
      <w:r>
        <w:rPr>
          <w:sz w:val="20"/>
        </w:rPr>
        <w:t>before</w:t>
      </w:r>
      <w:r>
        <w:rPr>
          <w:spacing w:val="40"/>
          <w:sz w:val="20"/>
        </w:rPr>
        <w:t> </w:t>
      </w:r>
      <w:r>
        <w:rPr>
          <w:sz w:val="20"/>
        </w:rPr>
        <w:t>May</w:t>
      </w:r>
      <w:r>
        <w:rPr>
          <w:spacing w:val="21"/>
          <w:sz w:val="20"/>
        </w:rPr>
        <w:t> </w:t>
      </w:r>
      <w:r>
        <w:rPr>
          <w:sz w:val="20"/>
        </w:rPr>
        <w:t>11,</w:t>
      </w:r>
      <w:r>
        <w:rPr>
          <w:spacing w:val="23"/>
          <w:sz w:val="20"/>
        </w:rPr>
        <w:t> </w:t>
      </w:r>
      <w:r>
        <w:rPr>
          <w:sz w:val="20"/>
        </w:rPr>
        <w:t>1999:</w:t>
      </w:r>
      <w:r>
        <w:rPr>
          <w:spacing w:val="23"/>
          <w:sz w:val="20"/>
        </w:rPr>
        <w:t> </w:t>
      </w:r>
      <w:r>
        <w:rPr>
          <w:sz w:val="20"/>
        </w:rPr>
        <w:t>see</w:t>
      </w:r>
      <w:r>
        <w:rPr>
          <w:spacing w:val="23"/>
          <w:sz w:val="20"/>
        </w:rPr>
        <w:t> </w:t>
      </w:r>
      <w:r>
        <w:rPr>
          <w:rFonts w:ascii="Arial" w:hAnsi="Arial"/>
          <w:i/>
          <w:sz w:val="20"/>
        </w:rPr>
        <w:t>Mulchrone</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Swiss</w:t>
      </w:r>
      <w:r>
        <w:rPr>
          <w:rFonts w:ascii="Arial" w:hAnsi="Arial"/>
          <w:i/>
          <w:spacing w:val="23"/>
          <w:sz w:val="20"/>
        </w:rPr>
        <w:t> </w:t>
      </w:r>
      <w:r>
        <w:rPr>
          <w:rFonts w:ascii="Arial" w:hAnsi="Arial"/>
          <w:i/>
          <w:sz w:val="20"/>
        </w:rPr>
        <w:t>Life</w:t>
      </w:r>
      <w:r>
        <w:rPr>
          <w:rFonts w:ascii="Arial" w:hAnsi="Arial"/>
          <w:i/>
          <w:spacing w:val="23"/>
          <w:sz w:val="20"/>
        </w:rPr>
        <w:t> </w:t>
      </w:r>
      <w:r>
        <w:rPr>
          <w:rFonts w:ascii="Arial" w:hAnsi="Arial"/>
          <w:i/>
          <w:sz w:val="20"/>
        </w:rPr>
        <w:t>(UK)</w:t>
      </w:r>
      <w:r>
        <w:rPr>
          <w:rFonts w:ascii="Arial" w:hAnsi="Arial"/>
          <w:i/>
          <w:spacing w:val="23"/>
          <w:sz w:val="20"/>
        </w:rPr>
        <w:t> </w:t>
      </w:r>
      <w:r>
        <w:rPr>
          <w:rFonts w:ascii="Arial" w:hAnsi="Arial"/>
          <w:i/>
          <w:sz w:val="20"/>
        </w:rPr>
        <w:t>plc</w:t>
      </w:r>
      <w:r>
        <w:rPr>
          <w:rFonts w:ascii="Arial" w:hAnsi="Arial"/>
          <w:i/>
          <w:spacing w:val="23"/>
          <w:sz w:val="20"/>
        </w:rPr>
        <w:t> </w:t>
      </w:r>
      <w:r>
        <w:rPr>
          <w:rFonts w:ascii="Arial" w:hAnsi="Arial"/>
          <w:i/>
          <w:sz w:val="20"/>
        </w:rPr>
        <w:t>[2005]</w:t>
      </w:r>
      <w:r>
        <w:rPr>
          <w:rFonts w:ascii="Arial" w:hAnsi="Arial"/>
          <w:i/>
          <w:spacing w:val="23"/>
          <w:sz w:val="20"/>
        </w:rPr>
        <w:t> </w:t>
      </w:r>
      <w:r>
        <w:rPr>
          <w:rFonts w:ascii="Arial" w:hAnsi="Arial"/>
          <w:i/>
          <w:sz w:val="20"/>
        </w:rPr>
        <w:t>EWHC</w:t>
      </w:r>
      <w:r>
        <w:rPr>
          <w:rFonts w:ascii="Arial" w:hAnsi="Arial"/>
          <w:i/>
          <w:spacing w:val="23"/>
          <w:sz w:val="20"/>
        </w:rPr>
        <w:t> </w:t>
      </w:r>
      <w:r>
        <w:rPr>
          <w:rFonts w:ascii="Arial" w:hAnsi="Arial"/>
          <w:i/>
          <w:sz w:val="20"/>
        </w:rPr>
        <w:t>1808,</w:t>
      </w:r>
      <w:r>
        <w:rPr>
          <w:rFonts w:ascii="Arial" w:hAnsi="Arial"/>
          <w:i/>
          <w:spacing w:val="23"/>
          <w:sz w:val="20"/>
        </w:rPr>
        <w:t> </w:t>
      </w:r>
      <w:r>
        <w:rPr>
          <w:rFonts w:ascii="Arial" w:hAnsi="Arial"/>
          <w:i/>
          <w:sz w:val="20"/>
        </w:rPr>
        <w:t>[2006]</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pacing w:val="-4"/>
          <w:sz w:val="20"/>
        </w:rPr>
        <w:t>Rep.</w:t>
      </w:r>
    </w:p>
    <w:p>
      <w:pPr>
        <w:pStyle w:val="BodyText"/>
        <w:spacing w:line="225" w:lineRule="exact"/>
        <w:ind w:left="705"/>
        <w:jc w:val="both"/>
      </w:pPr>
      <w:r>
        <w:rPr>
          <w:rFonts w:ascii="Arial"/>
          <w:i/>
        </w:rPr>
        <w:t>I.R. 339 </w:t>
      </w:r>
      <w:r>
        <w:rPr/>
        <w:t>where the contract was made before the latter date, so that the Act did not </w:t>
      </w:r>
      <w:r>
        <w:rPr>
          <w:spacing w:val="-2"/>
        </w:rPr>
        <w:t>apply.</w:t>
      </w:r>
    </w:p>
    <w:p>
      <w:pPr>
        <w:pStyle w:val="BodyText"/>
        <w:spacing w:before="5"/>
      </w:pPr>
    </w:p>
    <w:p>
      <w:pPr>
        <w:tabs>
          <w:tab w:pos="705" w:val="left" w:leader="none"/>
        </w:tabs>
        <w:spacing w:before="1"/>
        <w:ind w:left="165" w:right="0" w:firstLine="0"/>
        <w:jc w:val="left"/>
        <w:rPr>
          <w:sz w:val="20"/>
        </w:rPr>
      </w:pPr>
      <w:bookmarkStart w:name="_bookmark31" w:id="33"/>
      <w:bookmarkEnd w:id="33"/>
      <w:r>
        <w:rPr/>
      </w:r>
      <w:hyperlink w:history="true" w:anchor="_bookmark13">
        <w:r>
          <w:rPr>
            <w:color w:val="005DA1"/>
            <w:spacing w:val="-5"/>
            <w:position w:val="5"/>
            <w:sz w:val="14"/>
            <w:u w:val="single" w:color="005DA1"/>
          </w:rPr>
          <w:t>18</w:t>
        </w:r>
      </w:hyperlink>
      <w:r>
        <w:rPr>
          <w:spacing w:val="-5"/>
          <w:position w:val="5"/>
          <w:sz w:val="14"/>
        </w:rPr>
        <w:t>.</w:t>
      </w:r>
      <w:r>
        <w:rPr>
          <w:position w:val="5"/>
          <w:sz w:val="14"/>
        </w:rPr>
        <w:tab/>
      </w:r>
      <w:r>
        <w:rPr>
          <w:sz w:val="20"/>
        </w:rPr>
        <w:t>See</w:t>
      </w:r>
      <w:r>
        <w:rPr>
          <w:spacing w:val="-2"/>
          <w:sz w:val="20"/>
        </w:rPr>
        <w:t> s.10(3).</w:t>
      </w:r>
    </w:p>
    <w:p>
      <w:pPr>
        <w:pStyle w:val="BodyText"/>
        <w:spacing w:before="4"/>
      </w:pPr>
    </w:p>
    <w:p>
      <w:pPr>
        <w:tabs>
          <w:tab w:pos="705" w:val="left" w:leader="none"/>
        </w:tabs>
        <w:spacing w:before="1"/>
        <w:ind w:left="165" w:right="0" w:firstLine="0"/>
        <w:jc w:val="left"/>
        <w:rPr>
          <w:sz w:val="20"/>
        </w:rPr>
      </w:pPr>
      <w:bookmarkStart w:name="_bookmark32" w:id="34"/>
      <w:bookmarkEnd w:id="34"/>
      <w:r>
        <w:rPr/>
      </w:r>
      <w:hyperlink w:history="true" w:anchor="_bookmark14">
        <w:r>
          <w:rPr>
            <w:color w:val="005DA1"/>
            <w:spacing w:val="-5"/>
            <w:position w:val="5"/>
            <w:sz w:val="14"/>
            <w:u w:val="single" w:color="005DA1"/>
          </w:rPr>
          <w:t>19</w:t>
        </w:r>
      </w:hyperlink>
      <w:r>
        <w:rPr>
          <w:spacing w:val="-5"/>
          <w:position w:val="5"/>
          <w:sz w:val="14"/>
        </w:rPr>
        <w:t>.</w:t>
      </w:r>
      <w:r>
        <w:rPr>
          <w:position w:val="5"/>
          <w:sz w:val="14"/>
        </w:rPr>
        <w:tab/>
      </w:r>
      <w:r>
        <w:rPr>
          <w:spacing w:val="-2"/>
          <w:sz w:val="20"/>
        </w:rPr>
        <w:t>ibid.</w:t>
      </w:r>
    </w:p>
    <w:p>
      <w:pPr>
        <w:pStyle w:val="BodyText"/>
        <w:spacing w:before="4"/>
      </w:pPr>
    </w:p>
    <w:p>
      <w:pPr>
        <w:tabs>
          <w:tab w:pos="705" w:val="left" w:leader="none"/>
        </w:tabs>
        <w:spacing w:before="1"/>
        <w:ind w:left="165" w:right="0" w:firstLine="0"/>
        <w:jc w:val="left"/>
        <w:rPr>
          <w:sz w:val="20"/>
        </w:rPr>
      </w:pPr>
      <w:bookmarkStart w:name="_bookmark33" w:id="35"/>
      <w:bookmarkEnd w:id="35"/>
      <w:r>
        <w:rPr/>
      </w:r>
      <w:hyperlink w:history="true" w:anchor="_bookmark15">
        <w:r>
          <w:rPr>
            <w:color w:val="005DA1"/>
            <w:spacing w:val="-5"/>
            <w:position w:val="5"/>
            <w:sz w:val="14"/>
            <w:u w:val="single" w:color="005DA1"/>
          </w:rPr>
          <w:t>20</w:t>
        </w:r>
      </w:hyperlink>
      <w:r>
        <w:rPr>
          <w:spacing w:val="-5"/>
          <w:position w:val="5"/>
          <w:sz w:val="14"/>
        </w:rPr>
        <w:t>.</w:t>
      </w:r>
      <w:r>
        <w:rPr>
          <w:position w:val="5"/>
          <w:sz w:val="14"/>
        </w:rPr>
        <w:tab/>
      </w:r>
      <w:r>
        <w:rPr>
          <w:sz w:val="20"/>
        </w:rPr>
        <w:t>At nn.9, </w:t>
      </w:r>
      <w:r>
        <w:rPr>
          <w:spacing w:val="-5"/>
          <w:sz w:val="20"/>
        </w:rPr>
        <w:t>11.</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rPr>
          <w:sz w:val="18"/>
        </w:rPr>
      </w:pPr>
    </w:p>
    <w:p>
      <w:pPr>
        <w:pStyle w:val="BodyText"/>
        <w:rPr>
          <w:sz w:val="18"/>
        </w:rPr>
      </w:pPr>
    </w:p>
    <w:p>
      <w:pPr>
        <w:pStyle w:val="BodyText"/>
        <w:spacing w:before="20"/>
        <w:rPr>
          <w:sz w:val="18"/>
        </w:rPr>
      </w:pPr>
    </w:p>
    <w:p>
      <w:pPr>
        <w:spacing w:before="0"/>
        <w:ind w:left="165" w:right="0" w:firstLine="0"/>
        <w:jc w:val="left"/>
        <w:rPr>
          <w:rFonts w:ascii="Arial"/>
          <w:b/>
          <w:sz w:val="18"/>
        </w:rPr>
      </w:pPr>
      <w:r>
        <w:rPr>
          <w:rFonts w:ascii="Arial"/>
          <w:b/>
          <w:spacing w:val="-2"/>
          <w:sz w:val="18"/>
        </w:rPr>
        <w:t>Statement</w:t>
      </w:r>
    </w:p>
    <w:p>
      <w:pPr>
        <w:pStyle w:val="BodyText"/>
        <w:spacing w:before="41"/>
        <w:rPr>
          <w:rFonts w:ascii="Arial"/>
          <w:b/>
          <w:sz w:val="18"/>
        </w:rPr>
      </w:pPr>
    </w:p>
    <w:p>
      <w:pPr>
        <w:pStyle w:val="Heading2"/>
      </w:pPr>
      <w:r>
        <w:rPr/>
        <w:t>18-</w:t>
      </w:r>
      <w:r>
        <w:rPr>
          <w:spacing w:val="-5"/>
        </w:rPr>
        <w:t>003</w:t>
      </w:r>
    </w:p>
    <w:p>
      <w:pPr>
        <w:pStyle w:val="BodyText"/>
        <w:spacing w:line="235" w:lineRule="auto" w:before="203"/>
        <w:ind w:left="165" w:right="167"/>
        <w:jc w:val="both"/>
      </w:pPr>
      <w:r>
        <w:rPr/>
        <w:t>The</w:t>
      </w:r>
      <w:r>
        <w:rPr>
          <w:spacing w:val="-2"/>
        </w:rPr>
        <w:t> </w:t>
      </w:r>
      <w:r>
        <w:rPr/>
        <w:t>common</w:t>
      </w:r>
      <w:r>
        <w:rPr>
          <w:spacing w:val="-2"/>
        </w:rPr>
        <w:t> </w:t>
      </w:r>
      <w:r>
        <w:rPr/>
        <w:t>law</w:t>
      </w:r>
      <w:r>
        <w:rPr>
          <w:spacing w:val="-2"/>
        </w:rPr>
        <w:t> </w:t>
      </w:r>
      <w:r>
        <w:rPr/>
        <w:t>doctrine</w:t>
      </w:r>
      <w:r>
        <w:rPr>
          <w:spacing w:val="-2"/>
        </w:rPr>
        <w:t> </w:t>
      </w:r>
      <w:r>
        <w:rPr/>
        <w:t>of</w:t>
      </w:r>
      <w:r>
        <w:rPr>
          <w:spacing w:val="-2"/>
        </w:rPr>
        <w:t> </w:t>
      </w:r>
      <w:r>
        <w:rPr/>
        <w:t>privity</w:t>
      </w:r>
      <w:r>
        <w:rPr>
          <w:spacing w:val="-2"/>
        </w:rPr>
        <w:t> </w:t>
      </w:r>
      <w:r>
        <w:rPr/>
        <w:t>of</w:t>
      </w:r>
      <w:r>
        <w:rPr>
          <w:spacing w:val="-2"/>
        </w:rPr>
        <w:t> </w:t>
      </w:r>
      <w:r>
        <w:rPr/>
        <w:t>contract</w:t>
      </w:r>
      <w:r>
        <w:rPr>
          <w:spacing w:val="-2"/>
        </w:rPr>
        <w:t> </w:t>
      </w:r>
      <w:r>
        <w:rPr/>
        <w:t>means</w:t>
      </w:r>
      <w:r>
        <w:rPr>
          <w:spacing w:val="-2"/>
        </w:rPr>
        <w:t> </w:t>
      </w:r>
      <w:r>
        <w:rPr/>
        <w:t>that</w:t>
      </w:r>
      <w:r>
        <w:rPr>
          <w:spacing w:val="-2"/>
        </w:rPr>
        <w:t> </w:t>
      </w:r>
      <w:r>
        <w:rPr/>
        <w:t>a</w:t>
      </w:r>
      <w:r>
        <w:rPr>
          <w:spacing w:val="-2"/>
        </w:rPr>
        <w:t> </w:t>
      </w:r>
      <w:r>
        <w:rPr/>
        <w:t>contract</w:t>
      </w:r>
      <w:r>
        <w:rPr>
          <w:spacing w:val="-2"/>
        </w:rPr>
        <w:t> </w:t>
      </w:r>
      <w:r>
        <w:rPr/>
        <w:t>cannot</w:t>
      </w:r>
      <w:r>
        <w:rPr>
          <w:spacing w:val="-2"/>
        </w:rPr>
        <w:t> </w:t>
      </w:r>
      <w:r>
        <w:rPr/>
        <w:t>(as</w:t>
      </w:r>
      <w:r>
        <w:rPr>
          <w:spacing w:val="-2"/>
        </w:rPr>
        <w:t> </w:t>
      </w:r>
      <w:r>
        <w:rPr/>
        <w:t>a</w:t>
      </w:r>
      <w:r>
        <w:rPr>
          <w:spacing w:val="-2"/>
        </w:rPr>
        <w:t> </w:t>
      </w:r>
      <w:r>
        <w:rPr/>
        <w:t>general</w:t>
      </w:r>
      <w:r>
        <w:rPr>
          <w:spacing w:val="-2"/>
        </w:rPr>
        <w:t> </w:t>
      </w:r>
      <w:r>
        <w:rPr/>
        <w:t>rule)</w:t>
      </w:r>
      <w:r>
        <w:rPr>
          <w:spacing w:val="-2"/>
        </w:rPr>
        <w:t> </w:t>
      </w:r>
      <w:r>
        <w:rPr/>
        <w:t>confer rights or impose obligations arising under it on any person except the parties to it. Two </w:t>
      </w:r>
      <w:r>
        <w:rPr/>
        <w:t>questions</w:t>
      </w:r>
      <w:r>
        <w:rPr>
          <w:spacing w:val="40"/>
        </w:rPr>
        <w:t> </w:t>
      </w:r>
      <w:r>
        <w:rPr/>
        <w:t>arise from this statement: who are the parties to the agreement? and has the claimant provided consideration for the promise which he is seeking to enforce?</w:t>
      </w:r>
    </w:p>
    <w:p>
      <w:pPr>
        <w:pStyle w:val="BodyText"/>
      </w:pPr>
    </w:p>
    <w:p>
      <w:pPr>
        <w:pStyle w:val="BodyText"/>
        <w:spacing w:before="38"/>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185755</wp:posOffset>
                </wp:positionV>
                <wp:extent cx="572452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6402pt;width:450.75pt;height:.1pt;mso-position-horizontal-relative:page;mso-position-vertical-relative:paragraph;z-index:-15718912;mso-wrap-distance-left:0;mso-wrap-distance-right:0" id="docshape5"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42240">
                <wp:simplePos x="0" y="0"/>
                <wp:positionH relativeFrom="page">
                  <wp:posOffset>914400</wp:posOffset>
                </wp:positionH>
                <wp:positionV relativeFrom="paragraph">
                  <wp:posOffset>97116</wp:posOffset>
                </wp:positionV>
                <wp:extent cx="495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4240"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headerReference w:type="default" r:id="rId6"/>
          <w:pgSz w:w="11900" w:h="16840"/>
          <w:pgMar w:header="992" w:footer="0" w:top="4240" w:bottom="280" w:left="1275" w:right="1275"/>
        </w:sectPr>
      </w:pPr>
    </w:p>
    <w:p>
      <w:pPr>
        <w:pStyle w:val="Heading2"/>
        <w:spacing w:before="194"/>
        <w:ind w:left="2998"/>
      </w:pPr>
      <w:r>
        <w:rPr/>
        <w:t>(a) - Parties to the </w:t>
      </w:r>
      <w:r>
        <w:rPr>
          <w:spacing w:val="-2"/>
        </w:rPr>
        <w:t>Agreement</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165" w:right="0" w:firstLine="0"/>
        <w:jc w:val="left"/>
        <w:rPr>
          <w:rFonts w:ascii="Arial"/>
          <w:b/>
          <w:sz w:val="18"/>
        </w:rPr>
      </w:pPr>
      <w:r>
        <w:rPr>
          <w:rFonts w:ascii="Arial"/>
          <w:b/>
          <w:sz w:val="18"/>
        </w:rPr>
        <w:t>Who are the </w:t>
      </w:r>
      <w:r>
        <w:rPr>
          <w:rFonts w:ascii="Arial"/>
          <w:b/>
          <w:spacing w:val="-2"/>
          <w:sz w:val="18"/>
        </w:rPr>
        <w:t>parties?</w:t>
      </w:r>
    </w:p>
    <w:p>
      <w:pPr>
        <w:pStyle w:val="BodyText"/>
        <w:spacing w:before="41"/>
        <w:rPr>
          <w:rFonts w:ascii="Arial"/>
          <w:b/>
          <w:sz w:val="18"/>
        </w:rPr>
      </w:pPr>
    </w:p>
    <w:p>
      <w:pPr>
        <w:pStyle w:val="Heading2"/>
      </w:pPr>
      <w:r>
        <w:rPr/>
        <w:t>18-</w:t>
      </w:r>
      <w:r>
        <w:rPr>
          <w:spacing w:val="-5"/>
        </w:rPr>
        <w:t>004</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Normally, the answer to this question is obvious enough: the parties to the agreement are the </w:t>
      </w:r>
      <w:bookmarkStart w:name="_bookmark34" w:id="36"/>
      <w:bookmarkEnd w:id="36"/>
      <w:r>
        <w:rPr/>
        <w:t>persons</w:t>
      </w:r>
      <w:r>
        <w:rPr>
          <w:spacing w:val="63"/>
        </w:rPr>
        <w:t> </w:t>
      </w:r>
      <w:r>
        <w:rPr/>
        <w:t>from</w:t>
      </w:r>
      <w:r>
        <w:rPr>
          <w:spacing w:val="63"/>
        </w:rPr>
        <w:t> </w:t>
      </w:r>
      <w:r>
        <w:rPr/>
        <w:t>whose</w:t>
      </w:r>
      <w:r>
        <w:rPr>
          <w:spacing w:val="63"/>
        </w:rPr>
        <w:t> </w:t>
      </w:r>
      <w:r>
        <w:rPr/>
        <w:t>communications</w:t>
      </w:r>
      <w:r>
        <w:rPr>
          <w:spacing w:val="63"/>
        </w:rPr>
        <w:t> </w:t>
      </w:r>
      <w:r>
        <w:rPr/>
        <w:t>with</w:t>
      </w:r>
      <w:r>
        <w:rPr>
          <w:spacing w:val="63"/>
        </w:rPr>
        <w:t> </w:t>
      </w:r>
      <w:r>
        <w:rPr/>
        <w:t>each</w:t>
      </w:r>
      <w:r>
        <w:rPr>
          <w:spacing w:val="63"/>
        </w:rPr>
        <w:t> </w:t>
      </w:r>
      <w:r>
        <w:rPr/>
        <w:t>other</w:t>
      </w:r>
      <w:r>
        <w:rPr>
          <w:spacing w:val="63"/>
        </w:rPr>
        <w:t> </w:t>
      </w:r>
      <w:r>
        <w:rPr/>
        <w:t>the</w:t>
      </w:r>
      <w:r>
        <w:rPr>
          <w:spacing w:val="63"/>
        </w:rPr>
        <w:t> </w:t>
      </w:r>
      <w:r>
        <w:rPr/>
        <w:t>agreement</w:t>
      </w:r>
      <w:r>
        <w:rPr>
          <w:spacing w:val="63"/>
        </w:rPr>
        <w:t> </w:t>
      </w:r>
      <w:r>
        <w:rPr/>
        <w:t>between</w:t>
      </w:r>
      <w:r>
        <w:rPr>
          <w:spacing w:val="63"/>
        </w:rPr>
        <w:t> </w:t>
      </w:r>
      <w:r>
        <w:rPr/>
        <w:t>them</w:t>
      </w:r>
      <w:r>
        <w:rPr>
          <w:spacing w:val="63"/>
        </w:rPr>
        <w:t> </w:t>
      </w:r>
      <w:r>
        <w:rPr/>
        <w:t>has</w:t>
      </w:r>
      <w:r>
        <w:rPr>
          <w:spacing w:val="63"/>
        </w:rPr>
        <w:t> </w:t>
      </w:r>
      <w:r>
        <w:rPr>
          <w:spacing w:val="-4"/>
        </w:rPr>
        <w:t>been</w:t>
      </w:r>
    </w:p>
    <w:p>
      <w:pPr>
        <w:pStyle w:val="BodyText"/>
        <w:spacing w:before="115"/>
        <w:ind w:left="165"/>
        <w:jc w:val="both"/>
      </w:pPr>
      <w:bookmarkStart w:name="_bookmark35" w:id="37"/>
      <w:bookmarkEnd w:id="37"/>
      <w:r>
        <w:rPr/>
      </w:r>
      <w:r>
        <w:rPr/>
        <w:t>reached.</w:t>
      </w:r>
      <w:r>
        <w:rPr>
          <w:spacing w:val="44"/>
        </w:rPr>
        <w:t> </w:t>
      </w:r>
      <w:r>
        <w:rPr/>
        <w:t>There</w:t>
      </w:r>
      <w:r>
        <w:rPr>
          <w:spacing w:val="44"/>
        </w:rPr>
        <w:t> </w:t>
      </w:r>
      <w:r>
        <w:rPr/>
        <w:t>may,</w:t>
      </w:r>
      <w:r>
        <w:rPr>
          <w:spacing w:val="44"/>
        </w:rPr>
        <w:t> </w:t>
      </w:r>
      <w:r>
        <w:rPr/>
        <w:t>indeed,</w:t>
      </w:r>
      <w:r>
        <w:rPr>
          <w:spacing w:val="45"/>
        </w:rPr>
        <w:t> </w:t>
      </w:r>
      <w:r>
        <w:rPr/>
        <w:t>be</w:t>
      </w:r>
      <w:r>
        <w:rPr>
          <w:spacing w:val="44"/>
        </w:rPr>
        <w:t> </w:t>
      </w:r>
      <w:r>
        <w:rPr/>
        <w:t>factual</w:t>
      </w:r>
      <w:r>
        <w:rPr>
          <w:spacing w:val="44"/>
        </w:rPr>
        <w:t> </w:t>
      </w:r>
      <w:r>
        <w:rPr/>
        <w:t>difficulties</w:t>
      </w:r>
      <w:r>
        <w:rPr>
          <w:spacing w:val="44"/>
        </w:rPr>
        <w:t> </w:t>
      </w:r>
      <w:r>
        <w:rPr/>
        <w:t>in</w:t>
      </w:r>
      <w:r>
        <w:rPr>
          <w:spacing w:val="45"/>
        </w:rPr>
        <w:t> </w:t>
      </w:r>
      <w:r>
        <w:rPr/>
        <w:t>identifying</w:t>
      </w:r>
      <w:r>
        <w:rPr>
          <w:spacing w:val="44"/>
        </w:rPr>
        <w:t> </w:t>
      </w:r>
      <w:r>
        <w:rPr/>
        <w:t>these</w:t>
      </w:r>
      <w:r>
        <w:rPr>
          <w:spacing w:val="44"/>
        </w:rPr>
        <w:t> </w:t>
      </w:r>
      <w:r>
        <w:rPr/>
        <w:t>persons</w:t>
      </w:r>
      <w:r>
        <w:rPr>
          <w:spacing w:val="44"/>
        </w:rPr>
        <w:t> </w:t>
      </w:r>
      <w:r>
        <w:rPr>
          <w:color w:val="005DA1"/>
          <w:u w:val="single" w:color="005DA1"/>
          <w:vertAlign w:val="superscript"/>
        </w:rPr>
        <w:t>21</w:t>
      </w:r>
      <w:r>
        <w:rPr>
          <w:color w:val="005DA1"/>
          <w:spacing w:val="66"/>
          <w:w w:val="150"/>
          <w:vertAlign w:val="baseline"/>
        </w:rPr>
        <w:t>  </w:t>
      </w:r>
      <w:r>
        <w:rPr>
          <w:color w:val="005DA1"/>
          <w:spacing w:val="25"/>
          <w:position w:val="-2"/>
          <w:vertAlign w:val="baseline"/>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vertAlign w:val="baseline"/>
        </w:rPr>
        <w:t>;</w:t>
      </w:r>
      <w:r>
        <w:rPr>
          <w:spacing w:val="46"/>
          <w:vertAlign w:val="baseline"/>
        </w:rPr>
        <w:t> </w:t>
      </w:r>
      <w:r>
        <w:rPr>
          <w:vertAlign w:val="baseline"/>
        </w:rPr>
        <w:t>but</w:t>
      </w:r>
      <w:r>
        <w:rPr>
          <w:spacing w:val="44"/>
          <w:vertAlign w:val="baseline"/>
        </w:rPr>
        <w:t> </w:t>
      </w:r>
      <w:r>
        <w:rPr>
          <w:spacing w:val="-4"/>
          <w:vertAlign w:val="baseline"/>
        </w:rPr>
        <w:t>such</w:t>
      </w:r>
    </w:p>
    <w:p>
      <w:pPr>
        <w:pStyle w:val="BodyText"/>
        <w:spacing w:line="235" w:lineRule="auto" w:before="119"/>
        <w:ind w:left="165" w:right="167"/>
        <w:jc w:val="both"/>
      </w:pPr>
      <w:r>
        <w:rPr/>
        <w:t>difficulties do not generally </w:t>
      </w:r>
      <w:r>
        <w:rPr>
          <w:color w:val="005DA1"/>
          <w:u w:val="single" w:color="005DA1"/>
          <w:vertAlign w:val="superscript"/>
        </w:rPr>
        <w:t>22</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vertAlign w:val="baseline"/>
        </w:rPr>
        <w:t> </w:t>
      </w:r>
      <w:r>
        <w:rPr>
          <w:vertAlign w:val="baseline"/>
        </w:rPr>
        <w:t>raise any questions of legal principle. Problems as to the </w:t>
      </w:r>
      <w:r>
        <w:rPr>
          <w:vertAlign w:val="baseline"/>
        </w:rPr>
        <w:t>legal analysis of established or admitted facts can, however, arise in situations in which there is clearly an agreement, while it is doubtful exactly who the parties to it are; and difficulty in deciding who the parties to a particular contract are may also arise when there are several contracts which affect the same subject-matter and involve more than two parties. The rights of all the parties to such contracts </w:t>
      </w:r>
      <w:bookmarkStart w:name="_bookmark36" w:id="38"/>
      <w:bookmarkEnd w:id="38"/>
      <w:r>
        <w:rPr>
          <w:vertAlign w:val="baseline"/>
        </w:rPr>
        <w:t>arise</w:t>
      </w:r>
      <w:r>
        <w:rPr>
          <w:vertAlign w:val="baseline"/>
        </w:rPr>
        <w:t> independently of the Contracts (Rights of Third Parties) Act 1999 and are not limited by its provisions. </w:t>
      </w:r>
      <w:r>
        <w:rPr>
          <w:color w:val="005DA1"/>
          <w:u w:val="single" w:color="005DA1"/>
          <w:vertAlign w:val="superscript"/>
        </w:rPr>
        <w:t>23</w:t>
      </w:r>
      <w:r>
        <w:rPr>
          <w:color w:val="005DA1"/>
          <w:vertAlign w:val="baseline"/>
        </w:rPr>
        <w:t> </w:t>
      </w:r>
      <w:r>
        <w:rPr>
          <w:vertAlign w:val="baseline"/>
        </w:rPr>
        <w:t>Situations in which such contracts may arise are discussed in the following paragraphs.</w:t>
      </w:r>
    </w:p>
    <w:p>
      <w:pPr>
        <w:pStyle w:val="BodyText"/>
      </w:pPr>
    </w:p>
    <w:p>
      <w:pPr>
        <w:pStyle w:val="BodyText"/>
        <w:spacing w:before="36"/>
      </w:pPr>
    </w:p>
    <w:p>
      <w:pPr>
        <w:spacing w:before="0"/>
        <w:ind w:left="165" w:right="0" w:firstLine="0"/>
        <w:jc w:val="left"/>
        <w:rPr>
          <w:rFonts w:ascii="Arial"/>
          <w:b/>
          <w:sz w:val="18"/>
        </w:rPr>
      </w:pPr>
      <w:bookmarkStart w:name="_bookmark37" w:id="39"/>
      <w:bookmarkEnd w:id="39"/>
      <w:r>
        <w:rPr/>
      </w:r>
      <w:r>
        <w:rPr>
          <w:rFonts w:ascii="Arial"/>
          <w:b/>
          <w:sz w:val="18"/>
        </w:rPr>
        <w:t>Collateral contracts</w:t>
      </w:r>
      <w:r>
        <w:rPr>
          <w:rFonts w:ascii="Arial"/>
          <w:b/>
          <w:spacing w:val="-1"/>
          <w:sz w:val="18"/>
        </w:rPr>
        <w:t> </w:t>
      </w:r>
      <w:r>
        <w:rPr>
          <w:rFonts w:ascii="Arial"/>
          <w:b/>
          <w:color w:val="005DA1"/>
          <w:spacing w:val="-5"/>
          <w:sz w:val="18"/>
          <w:u w:val="single" w:color="005DA1"/>
          <w:vertAlign w:val="superscript"/>
        </w:rPr>
        <w:t>24</w:t>
      </w:r>
    </w:p>
    <w:p>
      <w:pPr>
        <w:pStyle w:val="BodyText"/>
        <w:spacing w:before="41"/>
        <w:rPr>
          <w:rFonts w:ascii="Arial"/>
          <w:b/>
          <w:sz w:val="18"/>
        </w:rPr>
      </w:pPr>
    </w:p>
    <w:p>
      <w:pPr>
        <w:pStyle w:val="Heading2"/>
        <w:spacing w:before="1"/>
      </w:pPr>
      <w:r>
        <w:rPr/>
        <w:t>18-</w:t>
      </w:r>
      <w:r>
        <w:rPr>
          <w:spacing w:val="-5"/>
        </w:rPr>
        <w:t>005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38" w:id="40"/>
      <w:bookmarkEnd w:id="40"/>
      <w:r>
        <w:rPr>
          <w:rFonts w:ascii="Times New Roman"/>
          <w:spacing w:val="6"/>
        </w:rPr>
      </w:r>
      <w:r>
        <w:rPr/>
        <w:t>A</w:t>
      </w:r>
      <w:r>
        <w:rPr>
          <w:spacing w:val="-2"/>
        </w:rPr>
        <w:t> </w:t>
      </w:r>
      <w:r>
        <w:rPr/>
        <w:t>contract</w:t>
      </w:r>
      <w:r>
        <w:rPr>
          <w:spacing w:val="-2"/>
        </w:rPr>
        <w:t> </w:t>
      </w:r>
      <w:r>
        <w:rPr/>
        <w:t>between</w:t>
      </w:r>
      <w:r>
        <w:rPr>
          <w:spacing w:val="-2"/>
        </w:rPr>
        <w:t> </w:t>
      </w:r>
      <w:r>
        <w:rPr/>
        <w:t>two</w:t>
      </w:r>
      <w:r>
        <w:rPr>
          <w:spacing w:val="-2"/>
        </w:rPr>
        <w:t> </w:t>
      </w:r>
      <w:r>
        <w:rPr/>
        <w:t>persons</w:t>
      </w:r>
      <w:r>
        <w:rPr>
          <w:spacing w:val="-2"/>
        </w:rPr>
        <w:t> </w:t>
      </w:r>
      <w:r>
        <w:rPr/>
        <w:t>may</w:t>
      </w:r>
      <w:r>
        <w:rPr>
          <w:spacing w:val="-2"/>
        </w:rPr>
        <w:t> </w:t>
      </w:r>
      <w:r>
        <w:rPr/>
        <w:t>be</w:t>
      </w:r>
      <w:r>
        <w:rPr>
          <w:spacing w:val="-2"/>
        </w:rPr>
        <w:t> </w:t>
      </w:r>
      <w:r>
        <w:rPr/>
        <w:t>accompanied</w:t>
      </w:r>
      <w:r>
        <w:rPr>
          <w:spacing w:val="-2"/>
        </w:rPr>
        <w:t> </w:t>
      </w:r>
      <w:r>
        <w:rPr/>
        <w:t>by</w:t>
      </w:r>
      <w:r>
        <w:rPr>
          <w:spacing w:val="-2"/>
        </w:rPr>
        <w:t> </w:t>
      </w:r>
      <w:r>
        <w:rPr/>
        <w:t>a</w:t>
      </w:r>
      <w:r>
        <w:rPr>
          <w:spacing w:val="-2"/>
        </w:rPr>
        <w:t> </w:t>
      </w:r>
      <w:r>
        <w:rPr/>
        <w:t>collateral</w:t>
      </w:r>
      <w:r>
        <w:rPr>
          <w:spacing w:val="-2"/>
        </w:rPr>
        <w:t> </w:t>
      </w:r>
      <w:r>
        <w:rPr/>
        <w:t>contract</w:t>
      </w:r>
      <w:r>
        <w:rPr>
          <w:spacing w:val="-2"/>
        </w:rPr>
        <w:t> </w:t>
      </w:r>
      <w:r>
        <w:rPr/>
        <w:t>between</w:t>
      </w:r>
      <w:r>
        <w:rPr>
          <w:spacing w:val="-2"/>
        </w:rPr>
        <w:t> </w:t>
      </w:r>
      <w:r>
        <w:rPr/>
        <w:t>one</w:t>
      </w:r>
      <w:r>
        <w:rPr>
          <w:spacing w:val="-2"/>
        </w:rPr>
        <w:t> </w:t>
      </w:r>
      <w:r>
        <w:rPr/>
        <w:t>of</w:t>
      </w:r>
      <w:r>
        <w:rPr>
          <w:spacing w:val="-2"/>
        </w:rPr>
        <w:t> </w:t>
      </w:r>
      <w:r>
        <w:rPr/>
        <w:t>them and a third person relating to the same subject-matter. In </w:t>
      </w:r>
      <w:r>
        <w:rPr>
          <w:rFonts w:ascii="Arial"/>
          <w:i/>
        </w:rPr>
        <w:t>Shanklin Pier v Detel Products Ltd </w:t>
      </w:r>
      <w:r>
        <w:rPr>
          <w:color w:val="005DA1"/>
          <w:u w:val="single" w:color="005DA1"/>
          <w:vertAlign w:val="superscript"/>
        </w:rPr>
        <w:t>25</w:t>
      </w:r>
      <w:r>
        <w:rPr>
          <w:color w:val="005DA1"/>
          <w:vertAlign w:val="baseline"/>
        </w:rPr>
        <w:t> </w:t>
      </w:r>
      <w:r>
        <w:rPr>
          <w:vertAlign w:val="baseline"/>
        </w:rPr>
        <w:t>the claimants had employed contractors to paint a pier and instructed them for this purpose to buy paint </w:t>
      </w:r>
      <w:bookmarkStart w:name="_bookmark39" w:id="41"/>
      <w:bookmarkEnd w:id="41"/>
      <w:r>
        <w:rPr>
          <w:vertAlign w:val="baseline"/>
        </w:rPr>
        <w:t>made</w:t>
      </w:r>
      <w:r>
        <w:rPr>
          <w:spacing w:val="63"/>
          <w:vertAlign w:val="baseline"/>
        </w:rPr>
        <w:t> </w:t>
      </w:r>
      <w:r>
        <w:rPr>
          <w:vertAlign w:val="baseline"/>
        </w:rPr>
        <w:t>by</w:t>
      </w:r>
      <w:r>
        <w:rPr>
          <w:spacing w:val="63"/>
          <w:vertAlign w:val="baseline"/>
        </w:rPr>
        <w:t> </w:t>
      </w:r>
      <w:r>
        <w:rPr>
          <w:vertAlign w:val="baseline"/>
        </w:rPr>
        <w:t>the</w:t>
      </w:r>
      <w:r>
        <w:rPr>
          <w:spacing w:val="63"/>
          <w:vertAlign w:val="baseline"/>
        </w:rPr>
        <w:t> </w:t>
      </w:r>
      <w:r>
        <w:rPr>
          <w:vertAlign w:val="baseline"/>
        </w:rPr>
        <w:t>defendants.</w:t>
      </w:r>
      <w:r>
        <w:rPr>
          <w:spacing w:val="63"/>
          <w:vertAlign w:val="baseline"/>
        </w:rPr>
        <w:t> </w:t>
      </w:r>
      <w:r>
        <w:rPr>
          <w:vertAlign w:val="baseline"/>
        </w:rPr>
        <w:t>This</w:t>
      </w:r>
      <w:r>
        <w:rPr>
          <w:spacing w:val="63"/>
          <w:vertAlign w:val="baseline"/>
        </w:rPr>
        <w:t> </w:t>
      </w:r>
      <w:r>
        <w:rPr>
          <w:vertAlign w:val="baseline"/>
        </w:rPr>
        <w:t>instruction</w:t>
      </w:r>
      <w:r>
        <w:rPr>
          <w:spacing w:val="63"/>
          <w:vertAlign w:val="baseline"/>
        </w:rPr>
        <w:t> </w:t>
      </w:r>
      <w:r>
        <w:rPr>
          <w:vertAlign w:val="baseline"/>
        </w:rPr>
        <w:t>was</w:t>
      </w:r>
      <w:r>
        <w:rPr>
          <w:spacing w:val="63"/>
          <w:vertAlign w:val="baseline"/>
        </w:rPr>
        <w:t> </w:t>
      </w:r>
      <w:r>
        <w:rPr>
          <w:vertAlign w:val="baseline"/>
        </w:rPr>
        <w:t>given</w:t>
      </w:r>
      <w:r>
        <w:rPr>
          <w:spacing w:val="63"/>
          <w:vertAlign w:val="baseline"/>
        </w:rPr>
        <w:t> </w:t>
      </w:r>
      <w:r>
        <w:rPr>
          <w:vertAlign w:val="baseline"/>
        </w:rPr>
        <w:t>in</w:t>
      </w:r>
      <w:r>
        <w:rPr>
          <w:spacing w:val="63"/>
          <w:vertAlign w:val="baseline"/>
        </w:rPr>
        <w:t> </w:t>
      </w:r>
      <w:r>
        <w:rPr>
          <w:vertAlign w:val="baseline"/>
        </w:rPr>
        <w:t>reliance</w:t>
      </w:r>
      <w:r>
        <w:rPr>
          <w:spacing w:val="63"/>
          <w:vertAlign w:val="baseline"/>
        </w:rPr>
        <w:t> </w:t>
      </w:r>
      <w:r>
        <w:rPr>
          <w:vertAlign w:val="baseline"/>
        </w:rPr>
        <w:t>on</w:t>
      </w:r>
      <w:r>
        <w:rPr>
          <w:spacing w:val="63"/>
          <w:vertAlign w:val="baseline"/>
        </w:rPr>
        <w:t> </w:t>
      </w:r>
      <w:r>
        <w:rPr>
          <w:vertAlign w:val="baseline"/>
        </w:rPr>
        <w:t>a</w:t>
      </w:r>
      <w:r>
        <w:rPr>
          <w:spacing w:val="63"/>
          <w:vertAlign w:val="baseline"/>
        </w:rPr>
        <w:t> </w:t>
      </w:r>
      <w:r>
        <w:rPr>
          <w:vertAlign w:val="baseline"/>
        </w:rPr>
        <w:t>statement</w:t>
      </w:r>
      <w:r>
        <w:rPr>
          <w:spacing w:val="63"/>
          <w:vertAlign w:val="baseline"/>
        </w:rPr>
        <w:t> </w:t>
      </w:r>
      <w:r>
        <w:rPr>
          <w:vertAlign w:val="baseline"/>
        </w:rPr>
        <w:t>made</w:t>
      </w:r>
      <w:r>
        <w:rPr>
          <w:spacing w:val="63"/>
          <w:vertAlign w:val="baseline"/>
        </w:rPr>
        <w:t> </w:t>
      </w:r>
      <w:r>
        <w:rPr>
          <w:vertAlign w:val="baseline"/>
        </w:rPr>
        <w:t>by</w:t>
      </w:r>
      <w:r>
        <w:rPr>
          <w:spacing w:val="63"/>
          <w:vertAlign w:val="baseline"/>
        </w:rPr>
        <w:t> </w:t>
      </w:r>
      <w:r>
        <w:rPr>
          <w:spacing w:val="-5"/>
          <w:vertAlign w:val="baseline"/>
        </w:rPr>
        <w:t>the</w:t>
      </w:r>
    </w:p>
    <w:p>
      <w:pPr>
        <w:pStyle w:val="BodyText"/>
        <w:spacing w:line="235" w:lineRule="auto" w:before="119"/>
        <w:ind w:left="164" w:right="167"/>
        <w:jc w:val="both"/>
      </w:pPr>
      <w:r>
        <w:rPr/>
        <w:t>defendants to the claimants that the paint would last for seven years. </w:t>
      </w:r>
      <w:r>
        <w:rPr>
          <w:color w:val="005DA1"/>
          <w:u w:val="single" w:color="005DA1"/>
          <w:vertAlign w:val="superscript"/>
        </w:rPr>
        <w:t>26</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vertAlign w:val="baseline"/>
        </w:rPr>
        <w:t> </w:t>
      </w:r>
      <w:r>
        <w:rPr>
          <w:vertAlign w:val="baseline"/>
        </w:rPr>
        <w:t>In fact it lasted for only three months. Although the main contract for the sale of paint was between the contractors and </w:t>
      </w:r>
      <w:r>
        <w:rPr>
          <w:vertAlign w:val="baseline"/>
        </w:rPr>
        <w:t>the defendants, it was held that there was also a collateral contract between the claimants and the defendants that the paint would last for seven years. The same reasoning may apply where a person buys goods from a dealer and is given a “guarantee” in the name of the manufacturer. Here the main </w:t>
      </w:r>
      <w:bookmarkStart w:name="_bookmark40" w:id="42"/>
      <w:bookmarkEnd w:id="42"/>
      <w:r>
        <w:rPr>
          <w:vertAlign w:val="baseline"/>
        </w:rPr>
        <w:t>contract</w:t>
      </w:r>
      <w:r>
        <w:rPr>
          <w:vertAlign w:val="baseline"/>
        </w:rPr>
        <w:t> of sale is between the customer and the dealer, but it seems that the “guarantee” could also be regarded as a collateral contract between the manufacturer and the customer. </w:t>
      </w:r>
      <w:r>
        <w:rPr>
          <w:color w:val="005DA1"/>
          <w:u w:val="single" w:color="005DA1"/>
          <w:vertAlign w:val="superscript"/>
        </w:rPr>
        <w:t>27</w:t>
      </w:r>
      <w:r>
        <w:rPr>
          <w:color w:val="005DA1"/>
          <w:vertAlign w:val="baseline"/>
        </w:rPr>
        <w:t> </w:t>
      </w:r>
      <w:r>
        <w:rPr>
          <w:vertAlign w:val="baseline"/>
        </w:rPr>
        <w:t>Special</w:t>
      </w:r>
      <w:r>
        <w:rPr>
          <w:spacing w:val="40"/>
          <w:vertAlign w:val="baseline"/>
        </w:rPr>
        <w:t> </w:t>
      </w:r>
      <w:bookmarkStart w:name="_bookmark41" w:id="43"/>
      <w:bookmarkEnd w:id="43"/>
      <w:r>
        <w:rPr>
          <w:vertAlign w:val="baseline"/>
        </w:rPr>
        <w:t>legislation</w:t>
      </w:r>
      <w:r>
        <w:rPr>
          <w:vertAlign w:val="baseline"/>
        </w:rPr>
        <w:t> applies to certain guarantees given to a “consumer” in relation to a contract between such</w:t>
      </w:r>
      <w:r>
        <w:rPr>
          <w:spacing w:val="40"/>
          <w:vertAlign w:val="baseline"/>
        </w:rPr>
        <w:t> </w:t>
      </w:r>
      <w:bookmarkStart w:name="_bookmark42" w:id="44"/>
      <w:bookmarkEnd w:id="44"/>
      <w:r>
        <w:rPr>
          <w:vertAlign w:val="baseline"/>
        </w:rPr>
        <w:t>a</w:t>
      </w:r>
      <w:r>
        <w:rPr>
          <w:vertAlign w:val="baseline"/>
        </w:rPr>
        <w:t> person and a “trader”. Under s.30 of the Consumer Rights Act 2015, </w:t>
      </w:r>
      <w:r>
        <w:rPr>
          <w:color w:val="005DA1"/>
          <w:u w:val="single" w:color="005DA1"/>
          <w:vertAlign w:val="superscript"/>
        </w:rPr>
        <w:t>28</w:t>
      </w:r>
      <w:r>
        <w:rPr>
          <w:color w:val="005DA1"/>
          <w:vertAlign w:val="baseline"/>
        </w:rPr>
        <w:t> </w:t>
      </w:r>
      <w:r>
        <w:rPr>
          <w:vertAlign w:val="baseline"/>
        </w:rPr>
        <w:t>where such a guarantee is </w:t>
      </w:r>
      <w:bookmarkStart w:name="_bookmark43" w:id="45"/>
      <w:bookmarkEnd w:id="45"/>
      <w:r>
        <w:rPr>
          <w:vertAlign w:val="baseline"/>
        </w:rPr>
        <w:t>given</w:t>
      </w:r>
      <w:r>
        <w:rPr>
          <w:vertAlign w:val="baseline"/>
        </w:rPr>
        <w:t> in relation to a contract for the supply of goods by a “trader” to a “consumer”, </w:t>
      </w:r>
      <w:r>
        <w:rPr>
          <w:color w:val="005DA1"/>
          <w:u w:val="single" w:color="005DA1"/>
          <w:vertAlign w:val="superscript"/>
        </w:rPr>
        <w:t>29</w:t>
      </w:r>
      <w:r>
        <w:rPr>
          <w:color w:val="005DA1"/>
          <w:vertAlign w:val="baseline"/>
        </w:rPr>
        <w:t> </w:t>
      </w:r>
      <w:r>
        <w:rPr>
          <w:vertAlign w:val="baseline"/>
        </w:rPr>
        <w:t>then the </w:t>
      </w:r>
      <w:bookmarkStart w:name="_bookmark44" w:id="46"/>
      <w:bookmarkEnd w:id="46"/>
      <w:r>
        <w:rPr>
          <w:vertAlign w:val="baseline"/>
        </w:rPr>
        <w:t>guarantee</w:t>
      </w:r>
      <w:r>
        <w:rPr>
          <w:vertAlign w:val="baseline"/>
        </w:rPr>
        <w:t> “takes effect as a contractual obligation owed by the guarantor” </w:t>
      </w:r>
      <w:r>
        <w:rPr>
          <w:color w:val="005DA1"/>
          <w:u w:val="single" w:color="005DA1"/>
          <w:vertAlign w:val="superscript"/>
        </w:rPr>
        <w:t>30</w:t>
      </w:r>
      <w:r>
        <w:rPr>
          <w:color w:val="005DA1"/>
          <w:vertAlign w:val="baseline"/>
        </w:rPr>
        <w:t> </w:t>
      </w:r>
      <w:r>
        <w:rPr>
          <w:vertAlign w:val="baseline"/>
        </w:rPr>
        <w:t>even though the latter is </w:t>
      </w:r>
      <w:bookmarkStart w:name="_bookmark45" w:id="47"/>
      <w:bookmarkEnd w:id="47"/>
      <w:r>
        <w:rPr>
          <w:vertAlign w:val="baseline"/>
        </w:rPr>
        <w:t>not</w:t>
      </w:r>
      <w:r>
        <w:rPr>
          <w:vertAlign w:val="baseline"/>
        </w:rPr>
        <w:t> a party to the supply contract. </w:t>
      </w:r>
      <w:r>
        <w:rPr>
          <w:color w:val="005DA1"/>
          <w:u w:val="single" w:color="005DA1"/>
          <w:vertAlign w:val="superscript"/>
        </w:rPr>
        <w:t>31</w:t>
      </w:r>
      <w:r>
        <w:rPr>
          <w:color w:val="005DA1"/>
          <w:vertAlign w:val="baseline"/>
        </w:rPr>
        <w:t> </w:t>
      </w:r>
      <w:r>
        <w:rPr>
          <w:vertAlign w:val="baseline"/>
        </w:rPr>
        <w:t>There is no need, in such a case, for the consumer to satisfy the common law requirements (such as consideration or contractual intention) </w:t>
      </w:r>
      <w:r>
        <w:rPr>
          <w:color w:val="005DA1"/>
          <w:u w:val="single" w:color="005DA1"/>
          <w:vertAlign w:val="superscript"/>
        </w:rPr>
        <w:t>32</w:t>
      </w:r>
      <w:r>
        <w:rPr>
          <w:color w:val="005DA1"/>
          <w:vertAlign w:val="baseline"/>
        </w:rPr>
        <w:t> </w:t>
      </w:r>
      <w:r>
        <w:rPr>
          <w:vertAlign w:val="baseline"/>
        </w:rPr>
        <w:t>for the creation of a </w:t>
      </w:r>
      <w:bookmarkStart w:name="_bookmark46" w:id="48"/>
      <w:bookmarkEnd w:id="48"/>
      <w:r>
        <w:rPr>
          <w:vertAlign w:val="baseline"/>
        </w:rPr>
        <w:t>collateral</w:t>
      </w:r>
      <w:r>
        <w:rPr>
          <w:vertAlign w:val="baseline"/>
        </w:rPr>
        <w:t> contract. The Consumer Contracts (Information, Cancellation and Additional Charges) </w:t>
      </w:r>
      <w:bookmarkStart w:name="_bookmark47" w:id="49"/>
      <w:bookmarkEnd w:id="49"/>
      <w:r>
        <w:rPr>
          <w:vertAlign w:val="baseline"/>
        </w:rPr>
        <w:t>Regulations</w:t>
      </w:r>
      <w:r>
        <w:rPr>
          <w:vertAlign w:val="baseline"/>
        </w:rPr>
        <w:t> 2013 </w:t>
      </w:r>
      <w:r>
        <w:rPr>
          <w:color w:val="005DA1"/>
          <w:u w:val="single" w:color="005DA1"/>
          <w:vertAlign w:val="superscript"/>
        </w:rPr>
        <w:t>33</w:t>
      </w:r>
      <w:r>
        <w:rPr>
          <w:color w:val="005DA1"/>
          <w:vertAlign w:val="baseline"/>
        </w:rPr>
        <w:t> </w:t>
      </w:r>
      <w:r>
        <w:rPr>
          <w:vertAlign w:val="baseline"/>
        </w:rPr>
        <w:t>also make use of the concept of a “commercial guarantee” given to a consumer </w:t>
      </w:r>
      <w:bookmarkStart w:name="_bookmark48" w:id="50"/>
      <w:bookmarkEnd w:id="50"/>
      <w:r>
        <w:rPr>
          <w:vertAlign w:val="baseline"/>
        </w:rPr>
        <w:t>“by</w:t>
      </w:r>
      <w:r>
        <w:rPr>
          <w:vertAlign w:val="baseline"/>
        </w:rPr>
        <w:t> the trader </w:t>
      </w:r>
      <w:r>
        <w:rPr>
          <w:rFonts w:ascii="Arial" w:hAnsi="Arial"/>
          <w:i/>
          <w:vertAlign w:val="baseline"/>
        </w:rPr>
        <w:t>or producer</w:t>
      </w:r>
      <w:r>
        <w:rPr>
          <w:vertAlign w:val="baseline"/>
        </w:rPr>
        <w:t>”, </w:t>
      </w:r>
      <w:r>
        <w:rPr>
          <w:color w:val="005DA1"/>
          <w:u w:val="single" w:color="005DA1"/>
          <w:vertAlign w:val="superscript"/>
        </w:rPr>
        <w:t>34</w:t>
      </w:r>
      <w:r>
        <w:rPr>
          <w:color w:val="005DA1"/>
          <w:vertAlign w:val="baseline"/>
        </w:rPr>
        <w:t> </w:t>
      </w:r>
      <w:r>
        <w:rPr>
          <w:vertAlign w:val="baseline"/>
        </w:rPr>
        <w:t>the words here italicised being evidently capable of including a person who</w:t>
      </w:r>
      <w:r>
        <w:rPr>
          <w:spacing w:val="21"/>
          <w:vertAlign w:val="baseline"/>
        </w:rPr>
        <w:t> </w:t>
      </w:r>
      <w:r>
        <w:rPr>
          <w:vertAlign w:val="baseline"/>
        </w:rPr>
        <w:t>is</w:t>
      </w:r>
      <w:r>
        <w:rPr>
          <w:spacing w:val="21"/>
          <w:vertAlign w:val="baseline"/>
        </w:rPr>
        <w:t> </w:t>
      </w:r>
      <w:r>
        <w:rPr>
          <w:vertAlign w:val="baseline"/>
        </w:rPr>
        <w:t>not</w:t>
      </w:r>
      <w:r>
        <w:rPr>
          <w:spacing w:val="22"/>
          <w:vertAlign w:val="baseline"/>
        </w:rPr>
        <w:t> </w:t>
      </w:r>
      <w:r>
        <w:rPr>
          <w:vertAlign w:val="baseline"/>
        </w:rPr>
        <w:t>a</w:t>
      </w:r>
      <w:r>
        <w:rPr>
          <w:spacing w:val="21"/>
          <w:vertAlign w:val="baseline"/>
        </w:rPr>
        <w:t> </w:t>
      </w:r>
      <w:r>
        <w:rPr>
          <w:vertAlign w:val="baseline"/>
        </w:rPr>
        <w:t>party</w:t>
      </w:r>
      <w:r>
        <w:rPr>
          <w:spacing w:val="21"/>
          <w:vertAlign w:val="baseline"/>
        </w:rPr>
        <w:t> </w:t>
      </w:r>
      <w:r>
        <w:rPr>
          <w:vertAlign w:val="baseline"/>
        </w:rPr>
        <w:t>to</w:t>
      </w:r>
      <w:r>
        <w:rPr>
          <w:spacing w:val="22"/>
          <w:vertAlign w:val="baseline"/>
        </w:rPr>
        <w:t> </w:t>
      </w:r>
      <w:r>
        <w:rPr>
          <w:vertAlign w:val="baseline"/>
        </w:rPr>
        <w:t>the</w:t>
      </w:r>
      <w:r>
        <w:rPr>
          <w:spacing w:val="21"/>
          <w:vertAlign w:val="baseline"/>
        </w:rPr>
        <w:t> </w:t>
      </w:r>
      <w:r>
        <w:rPr>
          <w:vertAlign w:val="baseline"/>
        </w:rPr>
        <w:t>contract</w:t>
      </w:r>
      <w:r>
        <w:rPr>
          <w:spacing w:val="22"/>
          <w:vertAlign w:val="baseline"/>
        </w:rPr>
        <w:t> </w:t>
      </w:r>
      <w:r>
        <w:rPr>
          <w:vertAlign w:val="baseline"/>
        </w:rPr>
        <w:t>between</w:t>
      </w:r>
      <w:r>
        <w:rPr>
          <w:spacing w:val="21"/>
          <w:vertAlign w:val="baseline"/>
        </w:rPr>
        <w:t> </w:t>
      </w:r>
      <w:r>
        <w:rPr>
          <w:vertAlign w:val="baseline"/>
        </w:rPr>
        <w:t>the</w:t>
      </w:r>
      <w:r>
        <w:rPr>
          <w:spacing w:val="21"/>
          <w:vertAlign w:val="baseline"/>
        </w:rPr>
        <w:t> </w:t>
      </w:r>
      <w:r>
        <w:rPr>
          <w:vertAlign w:val="baseline"/>
        </w:rPr>
        <w:t>“trader”</w:t>
      </w:r>
      <w:r>
        <w:rPr>
          <w:spacing w:val="22"/>
          <w:vertAlign w:val="baseline"/>
        </w:rPr>
        <w:t> </w:t>
      </w:r>
      <w:r>
        <w:rPr>
          <w:vertAlign w:val="baseline"/>
        </w:rPr>
        <w:t>and</w:t>
      </w:r>
      <w:r>
        <w:rPr>
          <w:spacing w:val="21"/>
          <w:vertAlign w:val="baseline"/>
        </w:rPr>
        <w:t> </w:t>
      </w:r>
      <w:r>
        <w:rPr>
          <w:vertAlign w:val="baseline"/>
        </w:rPr>
        <w:t>the</w:t>
      </w:r>
      <w:r>
        <w:rPr>
          <w:spacing w:val="22"/>
          <w:vertAlign w:val="baseline"/>
        </w:rPr>
        <w:t> </w:t>
      </w:r>
      <w:r>
        <w:rPr>
          <w:vertAlign w:val="baseline"/>
        </w:rPr>
        <w:t>“consumer.”</w:t>
      </w:r>
      <w:r>
        <w:rPr>
          <w:spacing w:val="21"/>
          <w:vertAlign w:val="baseline"/>
        </w:rPr>
        <w:t> </w:t>
      </w:r>
      <w:r>
        <w:rPr>
          <w:color w:val="005DA1"/>
          <w:u w:val="single" w:color="005DA1"/>
          <w:vertAlign w:val="superscript"/>
        </w:rPr>
        <w:t>35</w:t>
      </w:r>
      <w:r>
        <w:rPr>
          <w:color w:val="005DA1"/>
          <w:spacing w:val="21"/>
          <w:vertAlign w:val="baseline"/>
        </w:rPr>
        <w:t> </w:t>
      </w:r>
      <w:r>
        <w:rPr>
          <w:vertAlign w:val="baseline"/>
        </w:rPr>
        <w:t>In</w:t>
      </w:r>
      <w:r>
        <w:rPr>
          <w:spacing w:val="22"/>
          <w:vertAlign w:val="baseline"/>
        </w:rPr>
        <w:t> </w:t>
      </w:r>
      <w:r>
        <w:rPr>
          <w:vertAlign w:val="baseline"/>
        </w:rPr>
        <w:t>relation</w:t>
      </w:r>
      <w:r>
        <w:rPr>
          <w:spacing w:val="21"/>
          <w:vertAlign w:val="baseline"/>
        </w:rPr>
        <w:t> </w:t>
      </w:r>
      <w:r>
        <w:rPr>
          <w:vertAlign w:val="baseline"/>
        </w:rPr>
        <w:t>to</w:t>
      </w:r>
      <w:r>
        <w:rPr>
          <w:spacing w:val="22"/>
          <w:vertAlign w:val="baseline"/>
        </w:rPr>
        <w:t> </w:t>
      </w:r>
      <w:r>
        <w:rPr>
          <w:vertAlign w:val="baseline"/>
        </w:rPr>
        <w:t>such</w:t>
      </w:r>
      <w:r>
        <w:rPr>
          <w:spacing w:val="21"/>
          <w:vertAlign w:val="baseline"/>
        </w:rPr>
        <w:t> </w:t>
      </w:r>
      <w:r>
        <w:rPr>
          <w:spacing w:val="-10"/>
          <w:vertAlign w:val="baseline"/>
        </w:rPr>
        <w:t>a</w:t>
      </w:r>
    </w:p>
    <w:p>
      <w:pPr>
        <w:pStyle w:val="BodyText"/>
        <w:spacing w:after="0" w:line="235" w:lineRule="auto"/>
        <w:jc w:val="both"/>
        <w:sectPr>
          <w:pgSz w:w="11900" w:h="16840"/>
          <w:pgMar w:header="992" w:footer="0" w:top="4240" w:bottom="280" w:left="1275" w:right="1275"/>
        </w:sectPr>
      </w:pPr>
    </w:p>
    <w:p>
      <w:pPr>
        <w:pStyle w:val="BodyText"/>
        <w:spacing w:before="24"/>
      </w:pPr>
    </w:p>
    <w:p>
      <w:pPr>
        <w:pStyle w:val="BodyText"/>
        <w:spacing w:line="235" w:lineRule="auto" w:before="1"/>
        <w:ind w:left="165" w:right="167"/>
        <w:jc w:val="both"/>
      </w:pPr>
      <w:bookmarkStart w:name="_bookmark49" w:id="51"/>
      <w:bookmarkEnd w:id="51"/>
      <w:r>
        <w:rPr/>
      </w:r>
      <w:r>
        <w:rPr/>
        <w:t>guarantee, these Regulations contain no words resembling those quoted above </w:t>
      </w:r>
      <w:r>
        <w:rPr>
          <w:color w:val="005DA1"/>
          <w:u w:val="single" w:color="005DA1"/>
          <w:vertAlign w:val="superscript"/>
        </w:rPr>
        <w:t>36</w:t>
      </w:r>
      <w:r>
        <w:rPr>
          <w:color w:val="005DA1"/>
          <w:vertAlign w:val="baseline"/>
        </w:rPr>
        <w:t> </w:t>
      </w:r>
      <w:r>
        <w:rPr>
          <w:vertAlign w:val="baseline"/>
        </w:rPr>
        <w:t>from s.30 of </w:t>
      </w:r>
      <w:r>
        <w:rPr>
          <w:vertAlign w:val="baseline"/>
        </w:rPr>
        <w:t>the 2015</w:t>
      </w:r>
      <w:r>
        <w:rPr>
          <w:spacing w:val="-2"/>
          <w:vertAlign w:val="baseline"/>
        </w:rPr>
        <w:t> </w:t>
      </w:r>
      <w:r>
        <w:rPr>
          <w:vertAlign w:val="baseline"/>
        </w:rPr>
        <w:t>Act;</w:t>
      </w:r>
      <w:r>
        <w:rPr>
          <w:spacing w:val="-2"/>
          <w:vertAlign w:val="baseline"/>
        </w:rPr>
        <w:t> </w:t>
      </w:r>
      <w:r>
        <w:rPr>
          <w:vertAlign w:val="baseline"/>
        </w:rPr>
        <w:t>and</w:t>
      </w:r>
      <w:r>
        <w:rPr>
          <w:spacing w:val="-2"/>
          <w:vertAlign w:val="baseline"/>
        </w:rPr>
        <w:t> </w:t>
      </w:r>
      <w:r>
        <w:rPr>
          <w:vertAlign w:val="baseline"/>
        </w:rPr>
        <w:t>this</w:t>
      </w:r>
      <w:r>
        <w:rPr>
          <w:spacing w:val="-2"/>
          <w:vertAlign w:val="baseline"/>
        </w:rPr>
        <w:t> </w:t>
      </w:r>
      <w:r>
        <w:rPr>
          <w:vertAlign w:val="baseline"/>
        </w:rPr>
        <w:t>fact</w:t>
      </w:r>
      <w:r>
        <w:rPr>
          <w:spacing w:val="-2"/>
          <w:vertAlign w:val="baseline"/>
        </w:rPr>
        <w:t> </w:t>
      </w:r>
      <w:r>
        <w:rPr>
          <w:vertAlign w:val="baseline"/>
        </w:rPr>
        <w:t>makes</w:t>
      </w:r>
      <w:r>
        <w:rPr>
          <w:spacing w:val="-2"/>
          <w:vertAlign w:val="baseline"/>
        </w:rPr>
        <w:t> </w:t>
      </w:r>
      <w:r>
        <w:rPr>
          <w:vertAlign w:val="baseline"/>
        </w:rPr>
        <w:t>it</w:t>
      </w:r>
      <w:r>
        <w:rPr>
          <w:spacing w:val="-2"/>
          <w:vertAlign w:val="baseline"/>
        </w:rPr>
        <w:t> </w:t>
      </w:r>
      <w:r>
        <w:rPr>
          <w:vertAlign w:val="baseline"/>
        </w:rPr>
        <w:t>hard</w:t>
      </w:r>
      <w:r>
        <w:rPr>
          <w:spacing w:val="-2"/>
          <w:vertAlign w:val="baseline"/>
        </w:rPr>
        <w:t> </w:t>
      </w:r>
      <w:r>
        <w:rPr>
          <w:vertAlign w:val="baseline"/>
        </w:rPr>
        <w:t>to</w:t>
      </w:r>
      <w:r>
        <w:rPr>
          <w:spacing w:val="-2"/>
          <w:vertAlign w:val="baseline"/>
        </w:rPr>
        <w:t> </w:t>
      </w:r>
      <w:r>
        <w:rPr>
          <w:vertAlign w:val="baseline"/>
        </w:rPr>
        <w:t>account</w:t>
      </w:r>
      <w:r>
        <w:rPr>
          <w:spacing w:val="-2"/>
          <w:vertAlign w:val="baseline"/>
        </w:rPr>
        <w:t> </w:t>
      </w:r>
      <w:r>
        <w:rPr>
          <w:vertAlign w:val="baseline"/>
        </w:rPr>
        <w:t>for</w:t>
      </w:r>
      <w:r>
        <w:rPr>
          <w:spacing w:val="-2"/>
          <w:vertAlign w:val="baseline"/>
        </w:rPr>
        <w:t> </w:t>
      </w:r>
      <w:r>
        <w:rPr>
          <w:vertAlign w:val="baseline"/>
        </w:rPr>
        <w:t>what</w:t>
      </w:r>
      <w:r>
        <w:rPr>
          <w:spacing w:val="-2"/>
          <w:vertAlign w:val="baseline"/>
        </w:rPr>
        <w:t> </w:t>
      </w:r>
      <w:r>
        <w:rPr>
          <w:vertAlign w:val="baseline"/>
        </w:rPr>
        <w:t>appears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intended</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legally</w:t>
      </w:r>
      <w:r>
        <w:rPr>
          <w:spacing w:val="-2"/>
          <w:vertAlign w:val="baseline"/>
        </w:rPr>
        <w:t> </w:t>
      </w:r>
      <w:r>
        <w:rPr>
          <w:vertAlign w:val="baseline"/>
        </w:rPr>
        <w:t>binding force of the guarantee on the “producer” even where that person is not also the “trader.” This difficulty has been discussed in para.4-028 above. The common law requirements for a collateral contract </w:t>
      </w:r>
      <w:bookmarkStart w:name="_bookmark50" w:id="52"/>
      <w:bookmarkEnd w:id="52"/>
      <w:r>
        <w:rPr>
          <w:vertAlign w:val="baseline"/>
        </w:rPr>
        <w:t>would</w:t>
      </w:r>
      <w:r>
        <w:rPr>
          <w:vertAlign w:val="baseline"/>
        </w:rPr>
        <w:t> of course continue to apply to guarantees given by producers or other third parties to a person who was not a “consumer.” </w:t>
      </w:r>
      <w:r>
        <w:rPr>
          <w:color w:val="005DA1"/>
          <w:u w:val="single" w:color="005DA1"/>
          <w:vertAlign w:val="superscript"/>
        </w:rPr>
        <w:t>37</w:t>
      </w:r>
    </w:p>
    <w:p>
      <w:pPr>
        <w:pStyle w:val="BodyText"/>
        <w:spacing w:before="79"/>
      </w:pPr>
    </w:p>
    <w:p>
      <w:pPr>
        <w:pStyle w:val="Heading2"/>
      </w:pPr>
      <w:r>
        <w:rPr/>
        <w:t>18-</w:t>
      </w:r>
      <w:r>
        <w:rPr>
          <w:spacing w:val="-5"/>
        </w:rPr>
        <w:t>006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Collateral contract reasoning has also been used where a contract for the execution of </w:t>
      </w:r>
      <w:r>
        <w:rPr/>
        <w:t>building work</w:t>
      </w:r>
      <w:r>
        <w:rPr>
          <w:spacing w:val="40"/>
        </w:rPr>
        <w:t> </w:t>
      </w:r>
      <w:r>
        <w:rPr/>
        <w:t>between</w:t>
      </w:r>
      <w:r>
        <w:rPr>
          <w:spacing w:val="40"/>
        </w:rPr>
        <w:t> </w:t>
      </w:r>
      <w:r>
        <w:rPr/>
        <w:t>A</w:t>
      </w:r>
      <w:r>
        <w:rPr>
          <w:spacing w:val="40"/>
        </w:rPr>
        <w:t> </w:t>
      </w:r>
      <w:r>
        <w:rPr/>
        <w:t>and</w:t>
      </w:r>
      <w:r>
        <w:rPr>
          <w:spacing w:val="40"/>
        </w:rPr>
        <w:t> </w:t>
      </w:r>
      <w:r>
        <w:rPr/>
        <w:t>B</w:t>
      </w:r>
      <w:r>
        <w:rPr>
          <w:spacing w:val="40"/>
        </w:rPr>
        <w:t> </w:t>
      </w:r>
      <w:r>
        <w:rPr/>
        <w:t>may</w:t>
      </w:r>
      <w:r>
        <w:rPr>
          <w:spacing w:val="40"/>
        </w:rPr>
        <w:t> </w:t>
      </w:r>
      <w:r>
        <w:rPr/>
        <w:t>be</w:t>
      </w:r>
      <w:r>
        <w:rPr>
          <w:spacing w:val="40"/>
        </w:rPr>
        <w:t> </w:t>
      </w:r>
      <w:r>
        <w:rPr/>
        <w:t>performed,</w:t>
      </w:r>
      <w:r>
        <w:rPr>
          <w:spacing w:val="40"/>
        </w:rPr>
        <w:t> </w:t>
      </w:r>
      <w:r>
        <w:rPr/>
        <w:t>wholly</w:t>
      </w:r>
      <w:r>
        <w:rPr>
          <w:spacing w:val="40"/>
        </w:rPr>
        <w:t> </w:t>
      </w:r>
      <w:r>
        <w:rPr/>
        <w:t>or</w:t>
      </w:r>
      <w:r>
        <w:rPr>
          <w:spacing w:val="40"/>
        </w:rPr>
        <w:t> </w:t>
      </w:r>
      <w:r>
        <w:rPr/>
        <w:t>in</w:t>
      </w:r>
      <w:r>
        <w:rPr>
          <w:spacing w:val="40"/>
        </w:rPr>
        <w:t> </w:t>
      </w:r>
      <w:r>
        <w:rPr/>
        <w:t>part,</w:t>
      </w:r>
      <w:r>
        <w:rPr>
          <w:spacing w:val="40"/>
        </w:rPr>
        <w:t> </w:t>
      </w:r>
      <w:r>
        <w:rPr/>
        <w:t>through</w:t>
      </w:r>
      <w:r>
        <w:rPr>
          <w:spacing w:val="40"/>
        </w:rPr>
        <w:t> </w:t>
      </w:r>
      <w:r>
        <w:rPr/>
        <w:t>the</w:t>
      </w:r>
      <w:r>
        <w:rPr>
          <w:spacing w:val="40"/>
        </w:rPr>
        <w:t> </w:t>
      </w:r>
      <w:r>
        <w:rPr/>
        <w:t>instrumentality</w:t>
      </w:r>
      <w:r>
        <w:rPr>
          <w:spacing w:val="40"/>
        </w:rPr>
        <w:t> </w:t>
      </w:r>
      <w:r>
        <w:rPr/>
        <w:t>of</w:t>
      </w:r>
      <w:r>
        <w:rPr>
          <w:spacing w:val="40"/>
        </w:rPr>
        <w:t> </w:t>
      </w:r>
      <w:r>
        <w:rPr/>
        <w:t>a </w:t>
      </w:r>
      <w:bookmarkStart w:name="_bookmark51" w:id="53"/>
      <w:bookmarkEnd w:id="53"/>
      <w:r>
        <w:rPr/>
        <w:t>sub</w:t>
      </w:r>
      <w:r>
        <w:rPr/>
        <w:t>-contractor</w:t>
      </w:r>
      <w:r>
        <w:rPr>
          <w:spacing w:val="25"/>
        </w:rPr>
        <w:t> </w:t>
      </w:r>
      <w:r>
        <w:rPr/>
        <w:t>C,</w:t>
      </w:r>
      <w:r>
        <w:rPr>
          <w:spacing w:val="25"/>
        </w:rPr>
        <w:t> </w:t>
      </w:r>
      <w:r>
        <w:rPr/>
        <w:t>nominated</w:t>
      </w:r>
      <w:r>
        <w:rPr>
          <w:spacing w:val="25"/>
        </w:rPr>
        <w:t> </w:t>
      </w:r>
      <w:r>
        <w:rPr/>
        <w:t>by</w:t>
      </w:r>
      <w:r>
        <w:rPr>
          <w:spacing w:val="25"/>
        </w:rPr>
        <w:t> </w:t>
      </w:r>
      <w:r>
        <w:rPr/>
        <w:t>A</w:t>
      </w:r>
      <w:r>
        <w:rPr>
          <w:spacing w:val="25"/>
        </w:rPr>
        <w:t> </w:t>
      </w:r>
      <w:r>
        <w:rPr/>
        <w:t>but</w:t>
      </w:r>
      <w:r>
        <w:rPr>
          <w:spacing w:val="25"/>
        </w:rPr>
        <w:t> </w:t>
      </w:r>
      <w:r>
        <w:rPr/>
        <w:t>engaged</w:t>
      </w:r>
      <w:r>
        <w:rPr>
          <w:spacing w:val="25"/>
        </w:rPr>
        <w:t> </w:t>
      </w:r>
      <w:r>
        <w:rPr/>
        <w:t>by</w:t>
      </w:r>
      <w:r>
        <w:rPr>
          <w:spacing w:val="25"/>
        </w:rPr>
        <w:t> </w:t>
      </w:r>
      <w:r>
        <w:rPr/>
        <w:t>B.</w:t>
      </w:r>
      <w:r>
        <w:rPr>
          <w:spacing w:val="25"/>
        </w:rPr>
        <w:t> </w:t>
      </w:r>
      <w:r>
        <w:rPr/>
        <w:t>Such</w:t>
      </w:r>
      <w:r>
        <w:rPr>
          <w:spacing w:val="25"/>
        </w:rPr>
        <w:t> </w:t>
      </w:r>
      <w:r>
        <w:rPr/>
        <w:t>an</w:t>
      </w:r>
      <w:r>
        <w:rPr>
          <w:spacing w:val="25"/>
        </w:rPr>
        <w:t> </w:t>
      </w:r>
      <w:r>
        <w:rPr/>
        <w:t>arrangement</w:t>
      </w:r>
      <w:r>
        <w:rPr>
          <w:spacing w:val="25"/>
        </w:rPr>
        <w:t> </w:t>
      </w:r>
      <w:r>
        <w:rPr/>
        <w:t>usually</w:t>
      </w:r>
      <w:r>
        <w:rPr>
          <w:spacing w:val="25"/>
        </w:rPr>
        <w:t> </w:t>
      </w:r>
      <w:r>
        <w:rPr/>
        <w:t>gives</w:t>
      </w:r>
      <w:r>
        <w:rPr>
          <w:spacing w:val="25"/>
        </w:rPr>
        <w:t> </w:t>
      </w:r>
      <w:r>
        <w:rPr/>
        <w:t>rise</w:t>
      </w:r>
      <w:r>
        <w:rPr>
          <w:spacing w:val="25"/>
        </w:rPr>
        <w:t> </w:t>
      </w:r>
      <w:r>
        <w:rPr/>
        <w:t>to</w:t>
      </w:r>
      <w:r>
        <w:rPr>
          <w:spacing w:val="25"/>
        </w:rPr>
        <w:t> </w:t>
      </w:r>
      <w:r>
        <w:rPr>
          <w:spacing w:val="-10"/>
        </w:rPr>
        <w:t>a</w:t>
      </w:r>
    </w:p>
    <w:p>
      <w:pPr>
        <w:pStyle w:val="BodyText"/>
        <w:spacing w:line="235" w:lineRule="auto" w:before="119"/>
        <w:ind w:left="164" w:right="167"/>
        <w:jc w:val="both"/>
      </w:pPr>
      <w:bookmarkStart w:name="_bookmark52" w:id="54"/>
      <w:bookmarkEnd w:id="54"/>
      <w:r>
        <w:rPr/>
      </w:r>
      <w:r>
        <w:rPr/>
        <w:t>contract between A and B and to one between B and C, but not to one between A and C </w:t>
      </w:r>
      <w:r>
        <w:rPr>
          <w:color w:val="005DA1"/>
          <w:u w:val="single" w:color="005DA1"/>
          <w:vertAlign w:val="superscript"/>
        </w:rPr>
        <w:t>38</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vertAlign w:val="baseline"/>
        </w:rPr>
        <w:t>; but it is possible for a collateral contract to arise between these last two parties, </w:t>
      </w:r>
      <w:r>
        <w:rPr>
          <w:color w:val="005DA1"/>
          <w:u w:val="single" w:color="005DA1"/>
          <w:vertAlign w:val="superscript"/>
        </w:rPr>
        <w:t>39</w:t>
      </w:r>
      <w:r>
        <w:rPr>
          <w:color w:val="005DA1"/>
          <w:vertAlign w:val="baseline"/>
        </w:rPr>
        <w:t> </w:t>
      </w:r>
      <w:r>
        <w:rPr>
          <w:vertAlign w:val="baseline"/>
        </w:rPr>
        <w:t>making C contractually liable to A. Similarly, where goods are bailed by A to B and A authorises B to sub-bail them to C, and </w:t>
      </w:r>
      <w:bookmarkStart w:name="_bookmark53" w:id="55"/>
      <w:bookmarkEnd w:id="55"/>
      <w:r>
        <w:rPr>
          <w:vertAlign w:val="baseline"/>
        </w:rPr>
        <w:t>B</w:t>
      </w:r>
      <w:r>
        <w:rPr>
          <w:vertAlign w:val="baseline"/>
        </w:rPr>
        <w:t> does so, then a collateral contract may arise between A and C, incorporating “via the agency of the bailee” (B) the terms of the sub-bailment from B to C. </w:t>
      </w:r>
      <w:r>
        <w:rPr>
          <w:color w:val="005DA1"/>
          <w:u w:val="single" w:color="005DA1"/>
          <w:vertAlign w:val="superscript"/>
        </w:rPr>
        <w:t>40</w:t>
      </w:r>
      <w:r>
        <w:rPr>
          <w:color w:val="005DA1"/>
          <w:vertAlign w:val="baseline"/>
        </w:rPr>
        <w:t> </w:t>
      </w:r>
      <w:r>
        <w:rPr>
          <w:vertAlign w:val="baseline"/>
        </w:rPr>
        <w:t>Yet a further illustration of the possibility </w:t>
      </w:r>
      <w:r>
        <w:rPr>
          <w:vertAlign w:val="baseline"/>
        </w:rPr>
        <w:t>that</w:t>
      </w:r>
      <w:r>
        <w:rPr>
          <w:spacing w:val="40"/>
          <w:vertAlign w:val="baseline"/>
        </w:rPr>
        <w:t> </w:t>
      </w:r>
      <w:r>
        <w:rPr>
          <w:vertAlign w:val="baseline"/>
        </w:rPr>
        <w:t>a tripartite relationship may give rise to a collateral contract between parties who have not entered</w:t>
      </w:r>
      <w:r>
        <w:rPr>
          <w:spacing w:val="40"/>
          <w:vertAlign w:val="baseline"/>
        </w:rPr>
        <w:t> </w:t>
      </w:r>
      <w:r>
        <w:rPr>
          <w:vertAlign w:val="baseline"/>
        </w:rPr>
        <w:t>into</w:t>
      </w:r>
      <w:r>
        <w:rPr>
          <w:spacing w:val="3"/>
          <w:vertAlign w:val="baseline"/>
        </w:rPr>
        <w:t> </w:t>
      </w:r>
      <w:r>
        <w:rPr>
          <w:vertAlign w:val="baseline"/>
        </w:rPr>
        <w:t>any</w:t>
      </w:r>
      <w:r>
        <w:rPr>
          <w:spacing w:val="3"/>
          <w:vertAlign w:val="baseline"/>
        </w:rPr>
        <w:t> </w:t>
      </w:r>
      <w:r>
        <w:rPr>
          <w:vertAlign w:val="baseline"/>
        </w:rPr>
        <w:t>express</w:t>
      </w:r>
      <w:r>
        <w:rPr>
          <w:spacing w:val="3"/>
          <w:vertAlign w:val="baseline"/>
        </w:rPr>
        <w:t> </w:t>
      </w:r>
      <w:r>
        <w:rPr>
          <w:vertAlign w:val="baseline"/>
        </w:rPr>
        <w:t>contract</w:t>
      </w:r>
      <w:r>
        <w:rPr>
          <w:spacing w:val="3"/>
          <w:vertAlign w:val="baseline"/>
        </w:rPr>
        <w:t> </w:t>
      </w:r>
      <w:r>
        <w:rPr>
          <w:vertAlign w:val="baseline"/>
        </w:rPr>
        <w:t>with</w:t>
      </w:r>
      <w:r>
        <w:rPr>
          <w:spacing w:val="3"/>
          <w:vertAlign w:val="baseline"/>
        </w:rPr>
        <w:t> </w:t>
      </w:r>
      <w:r>
        <w:rPr>
          <w:vertAlign w:val="baseline"/>
        </w:rPr>
        <w:t>each</w:t>
      </w:r>
      <w:r>
        <w:rPr>
          <w:spacing w:val="3"/>
          <w:vertAlign w:val="baseline"/>
        </w:rPr>
        <w:t> </w:t>
      </w:r>
      <w:r>
        <w:rPr>
          <w:vertAlign w:val="baseline"/>
        </w:rPr>
        <w:t>other</w:t>
      </w:r>
      <w:r>
        <w:rPr>
          <w:spacing w:val="3"/>
          <w:vertAlign w:val="baseline"/>
        </w:rPr>
        <w:t> </w:t>
      </w:r>
      <w:r>
        <w:rPr>
          <w:vertAlign w:val="baseline"/>
        </w:rPr>
        <w:t>is</w:t>
      </w:r>
      <w:r>
        <w:rPr>
          <w:spacing w:val="3"/>
          <w:vertAlign w:val="baseline"/>
        </w:rPr>
        <w:t> </w:t>
      </w:r>
      <w:r>
        <w:rPr>
          <w:vertAlign w:val="baseline"/>
        </w:rPr>
        <w:t>provided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situation</w:t>
      </w:r>
      <w:r>
        <w:rPr>
          <w:spacing w:val="3"/>
          <w:vertAlign w:val="baseline"/>
        </w:rPr>
        <w:t> </w:t>
      </w:r>
      <w:r>
        <w:rPr>
          <w:vertAlign w:val="baseline"/>
        </w:rPr>
        <w:t>in</w:t>
      </w:r>
      <w:r>
        <w:rPr>
          <w:spacing w:val="3"/>
          <w:vertAlign w:val="baseline"/>
        </w:rPr>
        <w:t> </w:t>
      </w:r>
      <w:r>
        <w:rPr>
          <w:vertAlign w:val="baseline"/>
        </w:rPr>
        <w:t>which</w:t>
      </w:r>
      <w:r>
        <w:rPr>
          <w:spacing w:val="3"/>
          <w:vertAlign w:val="baseline"/>
        </w:rPr>
        <w:t> </w:t>
      </w:r>
      <w:r>
        <w:rPr>
          <w:vertAlign w:val="baseline"/>
        </w:rPr>
        <w:t>an</w:t>
      </w:r>
      <w:r>
        <w:rPr>
          <w:spacing w:val="3"/>
          <w:vertAlign w:val="baseline"/>
        </w:rPr>
        <w:t> </w:t>
      </w:r>
      <w:r>
        <w:rPr>
          <w:vertAlign w:val="baseline"/>
        </w:rPr>
        <w:t>employment</w:t>
      </w:r>
      <w:r>
        <w:rPr>
          <w:spacing w:val="3"/>
          <w:vertAlign w:val="baseline"/>
        </w:rPr>
        <w:t> </w:t>
      </w:r>
      <w:r>
        <w:rPr>
          <w:spacing w:val="-2"/>
          <w:vertAlign w:val="baseline"/>
        </w:rPr>
        <w:t>agency</w:t>
      </w:r>
    </w:p>
    <w:p>
      <w:pPr>
        <w:pStyle w:val="BodyText"/>
        <w:spacing w:line="235" w:lineRule="auto"/>
        <w:ind w:left="164" w:right="167"/>
        <w:jc w:val="both"/>
      </w:pPr>
      <w:bookmarkStart w:name="_bookmark54" w:id="56"/>
      <w:bookmarkEnd w:id="56"/>
      <w:r>
        <w:rPr/>
      </w:r>
      <w:r>
        <w:rPr/>
        <w:t>(A) enters into a contract with a worker (B) whom it supplies to an end user (C). In such cases, there </w:t>
      </w:r>
      <w:bookmarkStart w:name="_bookmark55" w:id="57"/>
      <w:bookmarkEnd w:id="57"/>
      <w:r>
        <w:rPr/>
        <w:t>may,</w:t>
      </w:r>
      <w:r>
        <w:rPr/>
        <w:t> in addition to the express contracts between A and B and between A and C, </w:t>
      </w:r>
      <w:r>
        <w:rPr>
          <w:color w:val="005DA1"/>
          <w:u w:val="single" w:color="005DA1"/>
          <w:vertAlign w:val="superscript"/>
        </w:rPr>
        <w:t>41</w:t>
      </w:r>
      <w:r>
        <w:rPr>
          <w:color w:val="005DA1"/>
          <w:vertAlign w:val="baseline"/>
        </w:rPr>
        <w:t> </w:t>
      </w:r>
      <w:r>
        <w:rPr>
          <w:vertAlign w:val="baseline"/>
        </w:rPr>
        <w:t>be an implied (collateral) contract between B and C. </w:t>
      </w:r>
      <w:r>
        <w:rPr>
          <w:color w:val="005DA1"/>
          <w:u w:val="single" w:color="005DA1"/>
          <w:vertAlign w:val="superscript"/>
        </w:rPr>
        <w:t>42</w:t>
      </w:r>
      <w:r>
        <w:rPr>
          <w:color w:val="005DA1"/>
          <w:vertAlign w:val="baseline"/>
        </w:rPr>
        <w:t> </w:t>
      </w:r>
      <w:r>
        <w:rPr>
          <w:vertAlign w:val="baseline"/>
        </w:rPr>
        <w:t>But the latter possibility is restricted by the usual </w:t>
      </w:r>
      <w:bookmarkStart w:name="_bookmark56" w:id="58"/>
      <w:bookmarkEnd w:id="58"/>
      <w:r>
        <w:rPr>
          <w:vertAlign w:val="baseline"/>
        </w:rPr>
        <w:t>requirements</w:t>
      </w:r>
      <w:r>
        <w:rPr>
          <w:spacing w:val="-1"/>
          <w:vertAlign w:val="baseline"/>
        </w:rPr>
        <w:t> </w:t>
      </w:r>
      <w:r>
        <w:rPr>
          <w:vertAlign w:val="baseline"/>
        </w:rPr>
        <w:t>for</w:t>
      </w:r>
      <w:r>
        <w:rPr>
          <w:spacing w:val="-1"/>
          <w:vertAlign w:val="baseline"/>
        </w:rPr>
        <w:t> </w:t>
      </w:r>
      <w:r>
        <w:rPr>
          <w:vertAlign w:val="baseline"/>
        </w:rPr>
        <w:t>such</w:t>
      </w:r>
      <w:r>
        <w:rPr>
          <w:spacing w:val="-1"/>
          <w:vertAlign w:val="baseline"/>
        </w:rPr>
        <w:t> </w:t>
      </w:r>
      <w:r>
        <w:rPr>
          <w:vertAlign w:val="baseline"/>
        </w:rPr>
        <w:t>an</w:t>
      </w:r>
      <w:r>
        <w:rPr>
          <w:spacing w:val="-1"/>
          <w:vertAlign w:val="baseline"/>
        </w:rPr>
        <w:t> </w:t>
      </w:r>
      <w:r>
        <w:rPr>
          <w:vertAlign w:val="baseline"/>
        </w:rPr>
        <w:t>implication.</w:t>
      </w:r>
      <w:r>
        <w:rPr>
          <w:spacing w:val="-1"/>
          <w:vertAlign w:val="baseline"/>
        </w:rPr>
        <w:t> </w:t>
      </w:r>
      <w:r>
        <w:rPr>
          <w:vertAlign w:val="baseline"/>
        </w:rPr>
        <w:t>In</w:t>
      </w:r>
      <w:r>
        <w:rPr>
          <w:spacing w:val="-1"/>
          <w:vertAlign w:val="baseline"/>
        </w:rPr>
        <w:t> </w:t>
      </w:r>
      <w:r>
        <w:rPr>
          <w:vertAlign w:val="baseline"/>
        </w:rPr>
        <w:t>particular,</w:t>
      </w:r>
      <w:r>
        <w:rPr>
          <w:spacing w:val="-1"/>
          <w:vertAlign w:val="baseline"/>
        </w:rPr>
        <w:t> </w:t>
      </w:r>
      <w:r>
        <w:rPr>
          <w:vertAlign w:val="baseline"/>
        </w:rPr>
        <w:t>an</w:t>
      </w:r>
      <w:r>
        <w:rPr>
          <w:spacing w:val="-1"/>
          <w:vertAlign w:val="baseline"/>
        </w:rPr>
        <w:t> </w:t>
      </w:r>
      <w:r>
        <w:rPr>
          <w:vertAlign w:val="baseline"/>
        </w:rPr>
        <w:t>implied</w:t>
      </w:r>
      <w:r>
        <w:rPr>
          <w:spacing w:val="-1"/>
          <w:vertAlign w:val="baseline"/>
        </w:rPr>
        <w:t> </w:t>
      </w:r>
      <w:r>
        <w:rPr>
          <w:vertAlign w:val="baseline"/>
        </w:rPr>
        <w:t>contract</w:t>
      </w:r>
      <w:r>
        <w:rPr>
          <w:spacing w:val="-1"/>
          <w:vertAlign w:val="baseline"/>
        </w:rPr>
        <w:t> </w:t>
      </w:r>
      <w:r>
        <w:rPr>
          <w:vertAlign w:val="baseline"/>
        </w:rPr>
        <w:t>between</w:t>
      </w:r>
      <w:r>
        <w:rPr>
          <w:spacing w:val="-1"/>
          <w:vertAlign w:val="baseline"/>
        </w:rPr>
        <w:t> </w:t>
      </w:r>
      <w:r>
        <w:rPr>
          <w:vertAlign w:val="baseline"/>
        </w:rPr>
        <w:t>B</w:t>
      </w:r>
      <w:r>
        <w:rPr>
          <w:spacing w:val="-1"/>
          <w:vertAlign w:val="baseline"/>
        </w:rPr>
        <w:t> </w:t>
      </w:r>
      <w:r>
        <w:rPr>
          <w:vertAlign w:val="baseline"/>
        </w:rPr>
        <w:t>and</w:t>
      </w:r>
      <w:r>
        <w:rPr>
          <w:spacing w:val="-1"/>
          <w:vertAlign w:val="baseline"/>
        </w:rPr>
        <w:t> </w:t>
      </w:r>
      <w:r>
        <w:rPr>
          <w:vertAlign w:val="baseline"/>
        </w:rPr>
        <w:t>C</w:t>
      </w:r>
      <w:r>
        <w:rPr>
          <w:spacing w:val="-1"/>
          <w:vertAlign w:val="baseline"/>
        </w:rPr>
        <w:t> </w:t>
      </w:r>
      <w:r>
        <w:rPr>
          <w:vertAlign w:val="baseline"/>
        </w:rPr>
        <w:t>will</w:t>
      </w:r>
      <w:r>
        <w:rPr>
          <w:spacing w:val="-1"/>
          <w:vertAlign w:val="baseline"/>
        </w:rPr>
        <w:t> </w:t>
      </w:r>
      <w:r>
        <w:rPr>
          <w:vertAlign w:val="baseline"/>
        </w:rPr>
        <w:t>arise</w:t>
      </w:r>
      <w:r>
        <w:rPr>
          <w:spacing w:val="-1"/>
          <w:vertAlign w:val="baseline"/>
        </w:rPr>
        <w:t> </w:t>
      </w:r>
      <w:r>
        <w:rPr>
          <w:vertAlign w:val="baseline"/>
        </w:rPr>
        <w:t>only </w:t>
      </w:r>
      <w:bookmarkStart w:name="_bookmark57" w:id="59"/>
      <w:bookmarkEnd w:id="59"/>
      <w:r>
        <w:rPr>
          <w:vertAlign w:val="baseline"/>
        </w:rPr>
        <w:t>if</w:t>
      </w:r>
      <w:r>
        <w:rPr>
          <w:vertAlign w:val="baseline"/>
        </w:rPr>
        <w:t> the implication is “necessary … to give business reality to the relationship between the parties”, </w:t>
      </w:r>
      <w:r>
        <w:rPr>
          <w:color w:val="005DA1"/>
          <w:u w:val="single" w:color="005DA1"/>
          <w:vertAlign w:val="superscript"/>
        </w:rPr>
        <w:t>43</w:t>
      </w:r>
      <w:r>
        <w:rPr>
          <w:color w:val="005DA1"/>
          <w:vertAlign w:val="baseline"/>
        </w:rPr>
        <w:t> </w:t>
      </w:r>
      <w:r>
        <w:rPr>
          <w:vertAlign w:val="baseline"/>
        </w:rPr>
        <w:t>i.e., between B and C. </w:t>
      </w:r>
      <w:r>
        <w:rPr>
          <w:color w:val="005DA1"/>
          <w:u w:val="single" w:color="005DA1"/>
          <w:vertAlign w:val="superscript"/>
        </w:rPr>
        <w:t>44</w:t>
      </w:r>
      <w:r>
        <w:rPr>
          <w:color w:val="005DA1"/>
          <w:vertAlign w:val="baseline"/>
        </w:rPr>
        <w:t> </w:t>
      </w:r>
      <w:r>
        <w:rPr>
          <w:vertAlign w:val="baseline"/>
        </w:rPr>
        <w:t>Facts relevant to this issue would include the terms of the two express contracts referred to above and the conduct of B and C in the course of the relationship between</w:t>
      </w:r>
      <w:r>
        <w:rPr>
          <w:spacing w:val="80"/>
          <w:vertAlign w:val="baseline"/>
        </w:rPr>
        <w:t> </w:t>
      </w:r>
      <w:r>
        <w:rPr>
          <w:vertAlign w:val="baseline"/>
        </w:rPr>
        <w:t>them while B is rendering the services to C.</w:t>
      </w:r>
    </w:p>
    <w:p>
      <w:pPr>
        <w:pStyle w:val="BodyText"/>
      </w:pPr>
    </w:p>
    <w:p>
      <w:pPr>
        <w:pStyle w:val="BodyText"/>
        <w:spacing w:before="33"/>
      </w:pPr>
    </w:p>
    <w:p>
      <w:pPr>
        <w:spacing w:before="0"/>
        <w:ind w:left="165" w:right="0" w:firstLine="0"/>
        <w:jc w:val="left"/>
        <w:rPr>
          <w:rFonts w:ascii="Arial"/>
          <w:b/>
          <w:sz w:val="18"/>
        </w:rPr>
      </w:pPr>
      <w:r>
        <w:rPr>
          <w:rFonts w:ascii="Arial"/>
          <w:b/>
          <w:sz w:val="18"/>
        </w:rPr>
        <w:t>Hire-</w:t>
      </w:r>
      <w:r>
        <w:rPr>
          <w:rFonts w:ascii="Arial"/>
          <w:b/>
          <w:spacing w:val="-2"/>
          <w:sz w:val="18"/>
        </w:rPr>
        <w:t>purchase</w:t>
      </w:r>
    </w:p>
    <w:p>
      <w:pPr>
        <w:pStyle w:val="BodyText"/>
        <w:spacing w:before="41"/>
        <w:rPr>
          <w:rFonts w:ascii="Arial"/>
          <w:b/>
          <w:sz w:val="18"/>
        </w:rPr>
      </w:pPr>
    </w:p>
    <w:p>
      <w:pPr>
        <w:pStyle w:val="Heading2"/>
        <w:spacing w:before="1"/>
      </w:pPr>
      <w:r>
        <w:rPr/>
        <w:t>18-</w:t>
      </w:r>
      <w:r>
        <w:rPr>
          <w:spacing w:val="-5"/>
        </w:rPr>
        <w:t>007</w:t>
      </w:r>
    </w:p>
    <w:p>
      <w:pPr>
        <w:pStyle w:val="BodyText"/>
        <w:spacing w:line="235" w:lineRule="auto" w:before="202"/>
        <w:ind w:left="165" w:right="167"/>
        <w:jc w:val="both"/>
      </w:pPr>
      <w:r>
        <w:rPr/>
        <w:t>The collateral contract device can also be used where a dealer makes a representation to a </w:t>
      </w:r>
      <w:r>
        <w:rPr/>
        <w:t>customer in order to induce him to enter into a hirepurchase contract. The main contract of hire-purchase is </w:t>
      </w:r>
      <w:bookmarkStart w:name="_bookmark58" w:id="60"/>
      <w:bookmarkEnd w:id="60"/>
      <w:r>
        <w:rPr/>
        <w:t>usually</w:t>
      </w:r>
      <w:r>
        <w:rPr/>
        <w:t> between the customer and the finance company. Accordingly, a representation by the dealer </w:t>
      </w:r>
      <w:bookmarkStart w:name="_bookmark59" w:id="61"/>
      <w:bookmarkEnd w:id="61"/>
      <w:r>
        <w:rPr/>
        <w:t>as</w:t>
      </w:r>
      <w:r>
        <w:rPr/>
        <w:t> to the quality of the goods did not formerly impose any liability on the finance company </w:t>
      </w:r>
      <w:r>
        <w:rPr>
          <w:color w:val="005DA1"/>
          <w:u w:val="single" w:color="005DA1"/>
          <w:vertAlign w:val="superscript"/>
        </w:rPr>
        <w:t>45</w:t>
      </w:r>
      <w:r>
        <w:rPr>
          <w:vertAlign w:val="baseline"/>
        </w:rPr>
        <w:t>; but the </w:t>
      </w:r>
      <w:bookmarkStart w:name="_bookmark60" w:id="62"/>
      <w:bookmarkEnd w:id="62"/>
      <w:r>
        <w:rPr>
          <w:vertAlign w:val="baseline"/>
        </w:rPr>
        <w:t>dealer</w:t>
      </w:r>
      <w:r>
        <w:rPr>
          <w:vertAlign w:val="baseline"/>
        </w:rPr>
        <w:t> could be liable on the representation as a collateral contract. </w:t>
      </w:r>
      <w:r>
        <w:rPr>
          <w:color w:val="005DA1"/>
          <w:u w:val="single" w:color="005DA1"/>
          <w:vertAlign w:val="superscript"/>
        </w:rPr>
        <w:t>46</w:t>
      </w:r>
      <w:r>
        <w:rPr>
          <w:color w:val="005DA1"/>
          <w:vertAlign w:val="baseline"/>
        </w:rPr>
        <w:t> </w:t>
      </w:r>
      <w:r>
        <w:rPr>
          <w:vertAlign w:val="baseline"/>
        </w:rPr>
        <w:t>If the transaction is a regulated </w:t>
      </w:r>
      <w:bookmarkStart w:name="_bookmark61" w:id="63"/>
      <w:bookmarkEnd w:id="63"/>
      <w:r>
        <w:rPr>
          <w:vertAlign w:val="baseline"/>
        </w:rPr>
        <w:t>agreement</w:t>
      </w:r>
      <w:r>
        <w:rPr>
          <w:vertAlign w:val="baseline"/>
        </w:rPr>
        <w:t> within the Consumer Credit Act 1974 </w:t>
      </w:r>
      <w:r>
        <w:rPr>
          <w:color w:val="005DA1"/>
          <w:u w:val="single" w:color="005DA1"/>
          <w:vertAlign w:val="superscript"/>
        </w:rPr>
        <w:t>47</w:t>
      </w:r>
      <w:r>
        <w:rPr>
          <w:color w:val="005DA1"/>
          <w:vertAlign w:val="baseline"/>
        </w:rPr>
        <w:t> </w:t>
      </w:r>
      <w:r>
        <w:rPr>
          <w:vertAlign w:val="baseline"/>
        </w:rPr>
        <w:t>a dealer who conducts antecedent negotiations is in certain circumstances deemed to do so as agent of the creditor as well as in his actual capacity. </w:t>
      </w:r>
      <w:r>
        <w:rPr>
          <w:color w:val="005DA1"/>
          <w:u w:val="single" w:color="005DA1"/>
          <w:vertAlign w:val="superscript"/>
        </w:rPr>
        <w:t>48</w:t>
      </w:r>
      <w:r>
        <w:rPr>
          <w:color w:val="005DA1"/>
          <w:vertAlign w:val="baseline"/>
        </w:rPr>
        <w:t> </w:t>
      </w:r>
      <w:bookmarkStart w:name="_bookmark62" w:id="64"/>
      <w:bookmarkEnd w:id="64"/>
      <w:r>
        <w:rPr>
          <w:color w:val="005DA1"/>
          <w:w w:val="92"/>
          <w:vertAlign w:val="baseline"/>
        </w:rPr>
      </w:r>
      <w:r>
        <w:rPr>
          <w:vertAlign w:val="baseline"/>
        </w:rPr>
        <w:t>The representation can therefore make the finance company liable under the main contract, while the dealer may still be liable on the representation as a collateral contract. </w:t>
      </w:r>
      <w:r>
        <w:rPr>
          <w:color w:val="005DA1"/>
          <w:u w:val="single" w:color="005DA1"/>
          <w:vertAlign w:val="superscript"/>
        </w:rPr>
        <w:t>49</w:t>
      </w:r>
    </w:p>
    <w:p>
      <w:pPr>
        <w:pStyle w:val="BodyText"/>
      </w:pPr>
    </w:p>
    <w:p>
      <w:pPr>
        <w:pStyle w:val="BodyText"/>
        <w:spacing w:before="35"/>
      </w:pPr>
    </w:p>
    <w:p>
      <w:pPr>
        <w:spacing w:before="0"/>
        <w:ind w:left="165" w:right="0" w:firstLine="0"/>
        <w:jc w:val="left"/>
        <w:rPr>
          <w:rFonts w:ascii="Arial"/>
          <w:b/>
          <w:sz w:val="18"/>
        </w:rPr>
      </w:pPr>
      <w:r>
        <w:rPr>
          <w:rFonts w:ascii="Arial"/>
          <w:b/>
          <w:sz w:val="18"/>
        </w:rPr>
        <w:t>Payment by cheque, debit or credit </w:t>
      </w:r>
      <w:r>
        <w:rPr>
          <w:rFonts w:ascii="Arial"/>
          <w:b/>
          <w:spacing w:val="-4"/>
          <w:sz w:val="18"/>
        </w:rPr>
        <w:t>card</w:t>
      </w:r>
    </w:p>
    <w:p>
      <w:pPr>
        <w:pStyle w:val="BodyText"/>
        <w:spacing w:before="42"/>
        <w:rPr>
          <w:rFonts w:ascii="Arial"/>
          <w:b/>
          <w:sz w:val="18"/>
        </w:rPr>
      </w:pPr>
    </w:p>
    <w:p>
      <w:pPr>
        <w:pStyle w:val="Heading2"/>
      </w:pPr>
      <w:r>
        <w:rPr/>
        <w:t>18-</w:t>
      </w:r>
      <w:r>
        <w:rPr>
          <w:spacing w:val="-5"/>
        </w:rPr>
        <w:t>008</w:t>
      </w:r>
    </w:p>
    <w:p>
      <w:pPr>
        <w:pStyle w:val="BodyText"/>
        <w:spacing w:line="235" w:lineRule="auto" w:before="202"/>
        <w:ind w:left="165" w:right="167"/>
        <w:jc w:val="both"/>
      </w:pPr>
      <w:r>
        <w:rPr/>
        <w:t>A further situation in which a transaction involves several contracts is that in which a supply of goods or services is paid for by the use of a cheque card, debit card or credit card. Such a </w:t>
      </w:r>
      <w:r>
        <w:rPr/>
        <w:t>transaction </w:t>
      </w:r>
      <w:bookmarkStart w:name="_bookmark63" w:id="65"/>
      <w:bookmarkEnd w:id="65"/>
      <w:r>
        <w:rPr/>
        <w:t>involves</w:t>
      </w:r>
      <w:r>
        <w:rPr>
          <w:spacing w:val="-2"/>
        </w:rPr>
        <w:t> </w:t>
      </w:r>
      <w:r>
        <w:rPr/>
        <w:t>three</w:t>
      </w:r>
      <w:r>
        <w:rPr>
          <w:spacing w:val="-2"/>
        </w:rPr>
        <w:t> </w:t>
      </w:r>
      <w:r>
        <w:rPr/>
        <w:t>contracts:</w:t>
      </w:r>
      <w:r>
        <w:rPr>
          <w:spacing w:val="-2"/>
        </w:rPr>
        <w:t> </w:t>
      </w:r>
      <w:r>
        <w:rPr/>
        <w:t>one</w:t>
      </w:r>
      <w:r>
        <w:rPr>
          <w:spacing w:val="-2"/>
        </w:rPr>
        <w:t> </w:t>
      </w:r>
      <w:r>
        <w:rPr/>
        <w:t>between</w:t>
      </w:r>
      <w:r>
        <w:rPr>
          <w:spacing w:val="-2"/>
        </w:rPr>
        <w:t> </w:t>
      </w:r>
      <w:r>
        <w:rPr/>
        <w:t>the</w:t>
      </w:r>
      <w:r>
        <w:rPr>
          <w:spacing w:val="-2"/>
        </w:rPr>
        <w:t> </w:t>
      </w:r>
      <w:r>
        <w:rPr/>
        <w:t>supplier</w:t>
      </w:r>
      <w:r>
        <w:rPr>
          <w:spacing w:val="-2"/>
        </w:rPr>
        <w:t> </w:t>
      </w:r>
      <w:r>
        <w:rPr/>
        <w:t>and</w:t>
      </w:r>
      <w:r>
        <w:rPr>
          <w:spacing w:val="-2"/>
        </w:rPr>
        <w:t> </w:t>
      </w:r>
      <w:r>
        <w:rPr/>
        <w:t>the</w:t>
      </w:r>
      <w:r>
        <w:rPr>
          <w:spacing w:val="-2"/>
        </w:rPr>
        <w:t> </w:t>
      </w:r>
      <w:r>
        <w:rPr/>
        <w:t>customer,</w:t>
      </w:r>
      <w:r>
        <w:rPr>
          <w:spacing w:val="-2"/>
        </w:rPr>
        <w:t> </w:t>
      </w:r>
      <w:r>
        <w:rPr/>
        <w:t>a</w:t>
      </w:r>
      <w:r>
        <w:rPr>
          <w:spacing w:val="-2"/>
        </w:rPr>
        <w:t> </w:t>
      </w:r>
      <w:r>
        <w:rPr/>
        <w:t>second</w:t>
      </w:r>
      <w:r>
        <w:rPr>
          <w:spacing w:val="-2"/>
        </w:rPr>
        <w:t> </w:t>
      </w:r>
      <w:r>
        <w:rPr/>
        <w:t>between</w:t>
      </w:r>
      <w:r>
        <w:rPr>
          <w:spacing w:val="-2"/>
        </w:rPr>
        <w:t> </w:t>
      </w:r>
      <w:r>
        <w:rPr/>
        <w:t>the</w:t>
      </w:r>
      <w:r>
        <w:rPr>
          <w:spacing w:val="-2"/>
        </w:rPr>
        <w:t> </w:t>
      </w:r>
      <w:r>
        <w:rPr/>
        <w:t>customer and the issuer of the card, and a third between the issuer and the supplier of the goods. </w:t>
      </w:r>
      <w:r>
        <w:rPr>
          <w:color w:val="005DA1"/>
          <w:u w:val="single" w:color="005DA1"/>
          <w:vertAlign w:val="superscript"/>
        </w:rPr>
        <w:t>50</w:t>
      </w:r>
      <w:r>
        <w:rPr>
          <w:color w:val="005DA1"/>
          <w:vertAlign w:val="baseline"/>
        </w:rPr>
        <w:t> </w:t>
      </w:r>
      <w:r>
        <w:rPr>
          <w:vertAlign w:val="baseline"/>
        </w:rPr>
        <w:t>The supplier therefore has a common law right of action against the issuer on this third contract.</w:t>
      </w:r>
    </w:p>
    <w:p>
      <w:pPr>
        <w:pStyle w:val="BodyText"/>
      </w:pPr>
    </w:p>
    <w:p>
      <w:pPr>
        <w:pStyle w:val="BodyText"/>
        <w:spacing w:before="37"/>
      </w:pPr>
    </w:p>
    <w:p>
      <w:pPr>
        <w:spacing w:before="0"/>
        <w:ind w:left="165" w:right="0" w:firstLine="0"/>
        <w:jc w:val="left"/>
        <w:rPr>
          <w:rFonts w:ascii="Arial"/>
          <w:b/>
          <w:sz w:val="18"/>
        </w:rPr>
      </w:pPr>
      <w:r>
        <w:rPr>
          <w:rFonts w:ascii="Arial"/>
          <w:b/>
          <w:sz w:val="18"/>
        </w:rPr>
        <w:t>Loyalty </w:t>
      </w:r>
      <w:r>
        <w:rPr>
          <w:rFonts w:ascii="Arial"/>
          <w:b/>
          <w:spacing w:val="-2"/>
          <w:sz w:val="18"/>
        </w:rPr>
        <w:t>cards</w:t>
      </w:r>
    </w:p>
    <w:p>
      <w:pPr>
        <w:pStyle w:val="BodyText"/>
        <w:spacing w:before="41"/>
        <w:rPr>
          <w:rFonts w:ascii="Arial"/>
          <w:b/>
          <w:sz w:val="18"/>
        </w:rPr>
      </w:pPr>
    </w:p>
    <w:p>
      <w:pPr>
        <w:pStyle w:val="Heading2"/>
      </w:pPr>
      <w:r>
        <w:rPr/>
        <w:t>18-</w:t>
      </w:r>
      <w:r>
        <w:rPr>
          <w:spacing w:val="-5"/>
        </w:rPr>
        <w:t>009</w:t>
      </w:r>
    </w:p>
    <w:p>
      <w:pPr>
        <w:pStyle w:val="Heading2"/>
        <w:spacing w:after="0"/>
        <w:sectPr>
          <w:headerReference w:type="default" r:id="rId8"/>
          <w:pgSz w:w="11900" w:h="16840"/>
          <w:pgMar w:header="971" w:footer="0" w:top="1160" w:bottom="280" w:left="1275" w:right="1275"/>
          <w:pgNumType w:start="2"/>
        </w:sectPr>
      </w:pPr>
    </w:p>
    <w:p>
      <w:pPr>
        <w:pStyle w:val="BodyText"/>
        <w:spacing w:before="124"/>
        <w:rPr>
          <w:rFonts w:ascii="Arial"/>
          <w:b/>
        </w:rPr>
      </w:pPr>
    </w:p>
    <w:p>
      <w:pPr>
        <w:pStyle w:val="BodyText"/>
        <w:spacing w:line="235" w:lineRule="auto" w:before="1"/>
        <w:ind w:left="165" w:right="167"/>
        <w:jc w:val="both"/>
      </w:pPr>
      <w:bookmarkStart w:name="_bookmark64" w:id="66"/>
      <w:bookmarkEnd w:id="66"/>
      <w:r>
        <w:rPr/>
      </w:r>
      <w:r>
        <w:rPr/>
        <w:t>Another situation in which a set of commercial relationships operates through a “network of contracts” </w:t>
      </w:r>
      <w:bookmarkStart w:name="_bookmark65" w:id="67"/>
      <w:bookmarkEnd w:id="67"/>
      <w:r>
        <w:rPr/>
        <w:t>is</w:t>
      </w:r>
      <w:r>
        <w:rPr/>
        <w:t> described in </w:t>
      </w:r>
      <w:r>
        <w:rPr>
          <w:rFonts w:ascii="Arial" w:hAnsi="Arial"/>
          <w:i/>
        </w:rPr>
        <w:t>Revenue and Customs Commissioners v Aimia Coalition Loyalty UK Ltd </w:t>
      </w:r>
      <w:r>
        <w:rPr>
          <w:color w:val="005DA1"/>
          <w:u w:val="single" w:color="005DA1"/>
          <w:vertAlign w:val="superscript"/>
        </w:rPr>
        <w:t>51</w:t>
      </w:r>
      <w:r>
        <w:rPr>
          <w:color w:val="005DA1"/>
          <w:vertAlign w:val="baseline"/>
        </w:rPr>
        <w:t> </w:t>
      </w:r>
      <w:r>
        <w:rPr>
          <w:vertAlign w:val="baseline"/>
        </w:rPr>
        <w:t>a </w:t>
      </w:r>
      <w:r>
        <w:rPr>
          <w:vertAlign w:val="baseline"/>
        </w:rPr>
        <w:t>case </w:t>
      </w:r>
      <w:bookmarkStart w:name="_bookmark66" w:id="68"/>
      <w:bookmarkEnd w:id="68"/>
      <w:r>
        <w:rPr>
          <w:vertAlign w:val="baseline"/>
        </w:rPr>
        <w:t>concerned</w:t>
      </w:r>
      <w:r>
        <w:rPr>
          <w:vertAlign w:val="baseline"/>
        </w:rPr>
        <w:t> with “the well known Nectar scheme”. </w:t>
      </w:r>
      <w:r>
        <w:rPr>
          <w:color w:val="005DA1"/>
          <w:u w:val="single" w:color="005DA1"/>
          <w:vertAlign w:val="superscript"/>
        </w:rPr>
        <w:t>52</w:t>
      </w:r>
      <w:r>
        <w:rPr>
          <w:color w:val="005DA1"/>
          <w:vertAlign w:val="baseline"/>
        </w:rPr>
        <w:t> </w:t>
      </w:r>
      <w:r>
        <w:rPr>
          <w:vertAlign w:val="baseline"/>
        </w:rPr>
        <w:t>As Lord Reed there said, this scheme “involves four parties” </w:t>
      </w:r>
      <w:r>
        <w:rPr>
          <w:color w:val="005DA1"/>
          <w:u w:val="single" w:color="005DA1"/>
          <w:vertAlign w:val="superscript"/>
        </w:rPr>
        <w:t>53</w:t>
      </w:r>
      <w:r>
        <w:rPr>
          <w:vertAlign w:val="baseline"/>
        </w:rPr>
        <w:t>: (1) the “promoter” of the scheme, i.e. the entity organising it; (2) “collectors”, i.e. members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scheme,</w:t>
      </w:r>
      <w:r>
        <w:rPr>
          <w:spacing w:val="-1"/>
          <w:vertAlign w:val="baseline"/>
        </w:rPr>
        <w:t> </w:t>
      </w:r>
      <w:r>
        <w:rPr>
          <w:vertAlign w:val="baseline"/>
        </w:rPr>
        <w:t>who</w:t>
      </w:r>
      <w:r>
        <w:rPr>
          <w:spacing w:val="-1"/>
          <w:vertAlign w:val="baseline"/>
        </w:rPr>
        <w:t> </w:t>
      </w:r>
      <w:r>
        <w:rPr>
          <w:vertAlign w:val="baseline"/>
        </w:rPr>
        <w:t>collect</w:t>
      </w:r>
      <w:r>
        <w:rPr>
          <w:spacing w:val="-1"/>
          <w:vertAlign w:val="baseline"/>
        </w:rPr>
        <w:t> </w:t>
      </w:r>
      <w:r>
        <w:rPr>
          <w:vertAlign w:val="baseline"/>
        </w:rPr>
        <w:t>“points”;</w:t>
      </w:r>
      <w:r>
        <w:rPr>
          <w:spacing w:val="-1"/>
          <w:vertAlign w:val="baseline"/>
        </w:rPr>
        <w:t> </w:t>
      </w:r>
      <w:r>
        <w:rPr>
          <w:vertAlign w:val="baseline"/>
        </w:rPr>
        <w:t>(3)</w:t>
      </w:r>
      <w:r>
        <w:rPr>
          <w:spacing w:val="-1"/>
          <w:vertAlign w:val="baseline"/>
        </w:rPr>
        <w:t> </w:t>
      </w:r>
      <w:r>
        <w:rPr>
          <w:vertAlign w:val="baseline"/>
        </w:rPr>
        <w:t>“sponsors”,</w:t>
      </w:r>
      <w:r>
        <w:rPr>
          <w:spacing w:val="-1"/>
          <w:vertAlign w:val="baseline"/>
        </w:rPr>
        <w:t> </w:t>
      </w:r>
      <w:r>
        <w:rPr>
          <w:vertAlign w:val="baseline"/>
        </w:rPr>
        <w:t>i.e.</w:t>
      </w:r>
      <w:r>
        <w:rPr>
          <w:spacing w:val="-1"/>
          <w:vertAlign w:val="baseline"/>
        </w:rPr>
        <w:t> </w:t>
      </w:r>
      <w:r>
        <w:rPr>
          <w:vertAlign w:val="baseline"/>
        </w:rPr>
        <w:t>retailers</w:t>
      </w:r>
      <w:r>
        <w:rPr>
          <w:spacing w:val="-1"/>
          <w:vertAlign w:val="baseline"/>
        </w:rPr>
        <w:t> </w:t>
      </w:r>
      <w:r>
        <w:rPr>
          <w:vertAlign w:val="baseline"/>
        </w:rPr>
        <w:t>who</w:t>
      </w:r>
      <w:r>
        <w:rPr>
          <w:spacing w:val="-1"/>
          <w:vertAlign w:val="baseline"/>
        </w:rPr>
        <w:t> </w:t>
      </w:r>
      <w:r>
        <w:rPr>
          <w:vertAlign w:val="baseline"/>
        </w:rPr>
        <w:t>pay</w:t>
      </w:r>
      <w:r>
        <w:rPr>
          <w:spacing w:val="-1"/>
          <w:vertAlign w:val="baseline"/>
        </w:rPr>
        <w:t> </w:t>
      </w:r>
      <w:r>
        <w:rPr>
          <w:vertAlign w:val="baseline"/>
        </w:rPr>
        <w:t>for</w:t>
      </w:r>
      <w:r>
        <w:rPr>
          <w:spacing w:val="-1"/>
          <w:vertAlign w:val="baseline"/>
        </w:rPr>
        <w:t> </w:t>
      </w:r>
      <w:r>
        <w:rPr>
          <w:vertAlign w:val="baseline"/>
        </w:rPr>
        <w:t>their</w:t>
      </w:r>
      <w:r>
        <w:rPr>
          <w:spacing w:val="-1"/>
          <w:vertAlign w:val="baseline"/>
        </w:rPr>
        <w:t> </w:t>
      </w:r>
      <w:r>
        <w:rPr>
          <w:vertAlign w:val="baseline"/>
        </w:rPr>
        <w:t>customers to have “points” credited to their accounts with the promoter when their cards are swiped by the </w:t>
      </w:r>
      <w:bookmarkStart w:name="_bookmark67" w:id="69"/>
      <w:bookmarkEnd w:id="69"/>
      <w:r>
        <w:rPr>
          <w:vertAlign w:val="baseline"/>
        </w:rPr>
        <w:t>sponsors;</w:t>
      </w:r>
      <w:r>
        <w:rPr>
          <w:vertAlign w:val="baseline"/>
        </w:rPr>
        <w:t> and (4) “redeemers”, i.e. retailers (other than the “sponsors”) from whom “collectors”</w:t>
      </w:r>
      <w:r>
        <w:rPr>
          <w:spacing w:val="40"/>
          <w:vertAlign w:val="baseline"/>
        </w:rPr>
        <w:t> </w:t>
      </w:r>
      <w:r>
        <w:rPr>
          <w:vertAlign w:val="baseline"/>
        </w:rPr>
        <w:t>receive</w:t>
      </w:r>
      <w:r>
        <w:rPr>
          <w:spacing w:val="5"/>
          <w:vertAlign w:val="baseline"/>
        </w:rPr>
        <w:t> </w:t>
      </w:r>
      <w:r>
        <w:rPr>
          <w:vertAlign w:val="baseline"/>
        </w:rPr>
        <w:t>goods</w:t>
      </w:r>
      <w:r>
        <w:rPr>
          <w:spacing w:val="5"/>
          <w:vertAlign w:val="baseline"/>
        </w:rPr>
        <w:t> </w:t>
      </w:r>
      <w:r>
        <w:rPr>
          <w:vertAlign w:val="baseline"/>
        </w:rPr>
        <w:t>or</w:t>
      </w:r>
      <w:r>
        <w:rPr>
          <w:spacing w:val="5"/>
          <w:vertAlign w:val="baseline"/>
        </w:rPr>
        <w:t> </w:t>
      </w:r>
      <w:r>
        <w:rPr>
          <w:vertAlign w:val="baseline"/>
        </w:rPr>
        <w:t>services</w:t>
      </w:r>
      <w:r>
        <w:rPr>
          <w:spacing w:val="5"/>
          <w:vertAlign w:val="baseline"/>
        </w:rPr>
        <w:t> </w:t>
      </w:r>
      <w:r>
        <w:rPr>
          <w:vertAlign w:val="baseline"/>
        </w:rPr>
        <w:t>at</w:t>
      </w:r>
      <w:r>
        <w:rPr>
          <w:spacing w:val="5"/>
          <w:vertAlign w:val="baseline"/>
        </w:rPr>
        <w:t> </w:t>
      </w:r>
      <w:r>
        <w:rPr>
          <w:vertAlign w:val="baseline"/>
        </w:rPr>
        <w:t>no,</w:t>
      </w:r>
      <w:r>
        <w:rPr>
          <w:spacing w:val="5"/>
          <w:vertAlign w:val="baseline"/>
        </w:rPr>
        <w:t> </w:t>
      </w:r>
      <w:r>
        <w:rPr>
          <w:vertAlign w:val="baseline"/>
        </w:rPr>
        <w:t>or</w:t>
      </w:r>
      <w:r>
        <w:rPr>
          <w:spacing w:val="5"/>
          <w:vertAlign w:val="baseline"/>
        </w:rPr>
        <w:t> </w:t>
      </w:r>
      <w:r>
        <w:rPr>
          <w:vertAlign w:val="baseline"/>
        </w:rPr>
        <w:t>at</w:t>
      </w:r>
      <w:r>
        <w:rPr>
          <w:spacing w:val="5"/>
          <w:vertAlign w:val="baseline"/>
        </w:rPr>
        <w:t> </w:t>
      </w:r>
      <w:r>
        <w:rPr>
          <w:vertAlign w:val="baseline"/>
        </w:rPr>
        <w:t>a</w:t>
      </w:r>
      <w:r>
        <w:rPr>
          <w:spacing w:val="5"/>
          <w:vertAlign w:val="baseline"/>
        </w:rPr>
        <w:t> </w:t>
      </w:r>
      <w:r>
        <w:rPr>
          <w:vertAlign w:val="baseline"/>
        </w:rPr>
        <w:t>reduced,</w:t>
      </w:r>
      <w:r>
        <w:rPr>
          <w:spacing w:val="5"/>
          <w:vertAlign w:val="baseline"/>
        </w:rPr>
        <w:t> </w:t>
      </w:r>
      <w:r>
        <w:rPr>
          <w:vertAlign w:val="baseline"/>
        </w:rPr>
        <w:t>cost</w:t>
      </w:r>
      <w:r>
        <w:rPr>
          <w:spacing w:val="5"/>
          <w:vertAlign w:val="baseline"/>
        </w:rPr>
        <w:t> </w:t>
      </w:r>
      <w:r>
        <w:rPr>
          <w:vertAlign w:val="baseline"/>
        </w:rPr>
        <w:t>when</w:t>
      </w:r>
      <w:r>
        <w:rPr>
          <w:spacing w:val="5"/>
          <w:vertAlign w:val="baseline"/>
        </w:rPr>
        <w:t> </w:t>
      </w:r>
      <w:r>
        <w:rPr>
          <w:vertAlign w:val="baseline"/>
        </w:rPr>
        <w:t>their</w:t>
      </w:r>
      <w:r>
        <w:rPr>
          <w:spacing w:val="5"/>
          <w:vertAlign w:val="baseline"/>
        </w:rPr>
        <w:t> </w:t>
      </w:r>
      <w:r>
        <w:rPr>
          <w:vertAlign w:val="baseline"/>
        </w:rPr>
        <w:t>cards</w:t>
      </w:r>
      <w:r>
        <w:rPr>
          <w:spacing w:val="5"/>
          <w:vertAlign w:val="baseline"/>
        </w:rPr>
        <w:t> </w:t>
      </w:r>
      <w:r>
        <w:rPr>
          <w:vertAlign w:val="baseline"/>
        </w:rPr>
        <w:t>are</w:t>
      </w:r>
      <w:r>
        <w:rPr>
          <w:spacing w:val="5"/>
          <w:vertAlign w:val="baseline"/>
        </w:rPr>
        <w:t> </w:t>
      </w:r>
      <w:r>
        <w:rPr>
          <w:vertAlign w:val="baseline"/>
        </w:rPr>
        <w:t>swiped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spacing w:val="-2"/>
          <w:vertAlign w:val="baseline"/>
        </w:rPr>
        <w:t>redeemers.</w:t>
      </w:r>
    </w:p>
    <w:p>
      <w:pPr>
        <w:pStyle w:val="BodyText"/>
        <w:spacing w:line="235" w:lineRule="auto"/>
        <w:ind w:left="165" w:right="167"/>
        <w:jc w:val="both"/>
      </w:pPr>
      <w:r>
        <w:rPr>
          <w:color w:val="005DA1"/>
          <w:u w:val="single" w:color="005DA1"/>
          <w:vertAlign w:val="superscript"/>
        </w:rPr>
        <w:t>54</w:t>
      </w:r>
      <w:r>
        <w:rPr>
          <w:color w:val="005DA1"/>
          <w:vertAlign w:val="baseline"/>
        </w:rPr>
        <w:t> </w:t>
      </w:r>
      <w:bookmarkStart w:name="_bookmark68" w:id="70"/>
      <w:bookmarkEnd w:id="70"/>
      <w:r>
        <w:rPr>
          <w:color w:val="005DA1"/>
          <w:spacing w:val="-13"/>
          <w:vertAlign w:val="baseline"/>
        </w:rPr>
      </w:r>
      <w:r>
        <w:rPr>
          <w:vertAlign w:val="baseline"/>
        </w:rPr>
        <w:t>Lord Reed goes on to explain that the scheme operates through three contracts between </w:t>
      </w:r>
      <w:r>
        <w:rPr>
          <w:vertAlign w:val="baseline"/>
        </w:rPr>
        <w:t>the </w:t>
      </w:r>
      <w:bookmarkStart w:name="_bookmark69" w:id="71"/>
      <w:bookmarkEnd w:id="71"/>
      <w:r>
        <w:rPr>
          <w:vertAlign w:val="baseline"/>
        </w:rPr>
        <w:t>promoter</w:t>
      </w:r>
      <w:r>
        <w:rPr>
          <w:vertAlign w:val="baseline"/>
        </w:rPr>
        <w:t> and the other parties described above </w:t>
      </w:r>
      <w:r>
        <w:rPr>
          <w:color w:val="005DA1"/>
          <w:u w:val="single" w:color="005DA1"/>
          <w:vertAlign w:val="superscript"/>
        </w:rPr>
        <w:t>55</w:t>
      </w:r>
      <w:r>
        <w:rPr>
          <w:vertAlign w:val="baseline"/>
        </w:rPr>
        <w:t>: a contract between the promoter and the </w:t>
      </w:r>
      <w:bookmarkStart w:name="_bookmark70" w:id="72"/>
      <w:bookmarkEnd w:id="72"/>
      <w:r>
        <w:rPr>
          <w:vertAlign w:val="baseline"/>
        </w:rPr>
        <w:t>collectors,</w:t>
      </w:r>
      <w:r>
        <w:rPr>
          <w:vertAlign w:val="baseline"/>
        </w:rPr>
        <w:t> </w:t>
      </w:r>
      <w:r>
        <w:rPr>
          <w:color w:val="005DA1"/>
          <w:u w:val="single" w:color="005DA1"/>
          <w:vertAlign w:val="superscript"/>
        </w:rPr>
        <w:t>56</w:t>
      </w:r>
      <w:r>
        <w:rPr>
          <w:color w:val="005DA1"/>
          <w:vertAlign w:val="baseline"/>
        </w:rPr>
        <w:t> </w:t>
      </w:r>
      <w:r>
        <w:rPr>
          <w:vertAlign w:val="baseline"/>
        </w:rPr>
        <w:t>a contract between the promoter and the sponsors, </w:t>
      </w:r>
      <w:r>
        <w:rPr>
          <w:color w:val="005DA1"/>
          <w:u w:val="single" w:color="005DA1"/>
          <w:vertAlign w:val="superscript"/>
        </w:rPr>
        <w:t>57</w:t>
      </w:r>
      <w:r>
        <w:rPr>
          <w:color w:val="005DA1"/>
          <w:vertAlign w:val="baseline"/>
        </w:rPr>
        <w:t> </w:t>
      </w:r>
      <w:r>
        <w:rPr>
          <w:vertAlign w:val="baseline"/>
        </w:rPr>
        <w:t>and a contract between the sponsor and the redeemers. </w:t>
      </w:r>
      <w:r>
        <w:rPr>
          <w:color w:val="005DA1"/>
          <w:u w:val="single" w:color="005DA1"/>
          <w:vertAlign w:val="superscript"/>
        </w:rPr>
        <w:t>58</w:t>
      </w:r>
      <w:r>
        <w:rPr>
          <w:color w:val="005DA1"/>
          <w:vertAlign w:val="baseline"/>
        </w:rPr>
        <w:t> </w:t>
      </w:r>
      <w:r>
        <w:rPr>
          <w:vertAlign w:val="baseline"/>
        </w:rPr>
        <w:t>Each of these is an independent contract. It would not be right to </w:t>
      </w:r>
      <w:bookmarkStart w:name="_bookmark71" w:id="73"/>
      <w:bookmarkEnd w:id="73"/>
      <w:r>
        <w:rPr>
          <w:vertAlign w:val="baseline"/>
        </w:rPr>
        <w:t>describe</w:t>
      </w:r>
      <w:r>
        <w:rPr>
          <w:vertAlign w:val="baseline"/>
        </w:rPr>
        <w:t> any one of them as “collateral” to any one of the others except in the loose sense that they</w:t>
      </w:r>
      <w:r>
        <w:rPr>
          <w:spacing w:val="40"/>
          <w:vertAlign w:val="baseline"/>
        </w:rPr>
        <w:t> </w:t>
      </w:r>
      <w:r>
        <w:rPr>
          <w:vertAlign w:val="baseline"/>
        </w:rPr>
        <w:t>all</w:t>
      </w:r>
      <w:r>
        <w:rPr>
          <w:spacing w:val="-1"/>
          <w:vertAlign w:val="baseline"/>
        </w:rPr>
        <w:t> </w:t>
      </w:r>
      <w:r>
        <w:rPr>
          <w:vertAlign w:val="baseline"/>
        </w:rPr>
        <w:t>operate</w:t>
      </w:r>
      <w:r>
        <w:rPr>
          <w:spacing w:val="-1"/>
          <w:vertAlign w:val="baseline"/>
        </w:rPr>
        <w:t> </w:t>
      </w:r>
      <w:r>
        <w:rPr>
          <w:vertAlign w:val="baseline"/>
        </w:rPr>
        <w:t>together</w:t>
      </w:r>
      <w:r>
        <w:rPr>
          <w:spacing w:val="-1"/>
          <w:vertAlign w:val="baseline"/>
        </w:rPr>
        <w:t> </w:t>
      </w:r>
      <w:r>
        <w:rPr>
          <w:vertAlign w:val="baseline"/>
        </w:rPr>
        <w:t>in</w:t>
      </w:r>
      <w:r>
        <w:rPr>
          <w:spacing w:val="-1"/>
          <w:vertAlign w:val="baseline"/>
        </w:rPr>
        <w:t> </w:t>
      </w:r>
      <w:r>
        <w:rPr>
          <w:vertAlign w:val="baseline"/>
        </w:rPr>
        <w:t>pursuit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single</w:t>
      </w:r>
      <w:r>
        <w:rPr>
          <w:spacing w:val="-1"/>
          <w:vertAlign w:val="baseline"/>
        </w:rPr>
        <w:t> </w:t>
      </w:r>
      <w:r>
        <w:rPr>
          <w:vertAlign w:val="baseline"/>
        </w:rPr>
        <w:t>commercial</w:t>
      </w:r>
      <w:r>
        <w:rPr>
          <w:spacing w:val="-1"/>
          <w:vertAlign w:val="baseline"/>
        </w:rPr>
        <w:t> </w:t>
      </w:r>
      <w:r>
        <w:rPr>
          <w:vertAlign w:val="baseline"/>
        </w:rPr>
        <w:t>objective.</w:t>
      </w:r>
      <w:r>
        <w:rPr>
          <w:spacing w:val="-1"/>
          <w:vertAlign w:val="baseline"/>
        </w:rPr>
        <w:t> </w:t>
      </w:r>
      <w:r>
        <w:rPr>
          <w:vertAlign w:val="baseline"/>
        </w:rPr>
        <w:t>The</w:t>
      </w:r>
      <w:r>
        <w:rPr>
          <w:spacing w:val="-1"/>
          <w:vertAlign w:val="baseline"/>
        </w:rPr>
        <w:t> </w:t>
      </w:r>
      <w:r>
        <w:rPr>
          <w:vertAlign w:val="baseline"/>
        </w:rPr>
        <w:t>issue</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rFonts w:ascii="Arial" w:hAnsi="Arial"/>
          <w:i/>
          <w:vertAlign w:val="baseline"/>
        </w:rPr>
        <w:t>Aimia</w:t>
      </w:r>
      <w:r>
        <w:rPr>
          <w:rFonts w:ascii="Arial" w:hAnsi="Arial"/>
          <w:i/>
          <w:spacing w:val="-1"/>
          <w:vertAlign w:val="baseline"/>
        </w:rPr>
        <w:t> </w:t>
      </w:r>
      <w:r>
        <w:rPr>
          <w:color w:val="005DA1"/>
          <w:u w:val="single" w:color="005DA1"/>
          <w:vertAlign w:val="superscript"/>
        </w:rPr>
        <w:t>59</w:t>
      </w:r>
      <w:r>
        <w:rPr>
          <w:color w:val="005DA1"/>
          <w:spacing w:val="-1"/>
          <w:vertAlign w:val="baseline"/>
        </w:rPr>
        <w:t> </w:t>
      </w:r>
      <w:r>
        <w:rPr>
          <w:vertAlign w:val="baseline"/>
        </w:rPr>
        <w:t>case</w:t>
      </w:r>
      <w:r>
        <w:rPr>
          <w:spacing w:val="-1"/>
          <w:vertAlign w:val="baseline"/>
        </w:rPr>
        <w:t> </w:t>
      </w:r>
      <w:r>
        <w:rPr>
          <w:vertAlign w:val="baseline"/>
        </w:rPr>
        <w:t>was</w:t>
      </w:r>
      <w:r>
        <w:rPr>
          <w:spacing w:val="-1"/>
          <w:vertAlign w:val="baseline"/>
        </w:rPr>
        <w:t> </w:t>
      </w:r>
      <w:r>
        <w:rPr>
          <w:vertAlign w:val="baseline"/>
        </w:rPr>
        <w:t>not whether any of the contracts described by Lord Reed had come into existence; it was whether the </w:t>
      </w:r>
      <w:bookmarkStart w:name="_bookmark72" w:id="74"/>
      <w:bookmarkEnd w:id="74"/>
      <w:r>
        <w:rPr>
          <w:vertAlign w:val="baseline"/>
        </w:rPr>
        <w:t>promoter</w:t>
      </w:r>
      <w:r>
        <w:rPr>
          <w:vertAlign w:val="baseline"/>
        </w:rPr>
        <w:t> was “entitled to deduct as input tax the VAT element of the payments which it makes to the redeemers”. </w:t>
      </w:r>
      <w:r>
        <w:rPr>
          <w:color w:val="005DA1"/>
          <w:u w:val="single" w:color="005DA1"/>
          <w:vertAlign w:val="superscript"/>
        </w:rPr>
        <w:t>60</w:t>
      </w:r>
      <w:r>
        <w:rPr>
          <w:color w:val="005DA1"/>
          <w:vertAlign w:val="baseline"/>
        </w:rPr>
        <w:t> </w:t>
      </w:r>
      <w:r>
        <w:rPr>
          <w:vertAlign w:val="baseline"/>
        </w:rPr>
        <w:t>A discussion of this question is beyond the scope of this book; it suffices here to say </w:t>
      </w:r>
      <w:bookmarkStart w:name="_bookmark73" w:id="75"/>
      <w:bookmarkEnd w:id="75"/>
      <w:r>
        <w:rPr>
          <w:vertAlign w:val="baseline"/>
        </w:rPr>
        <w:t>that</w:t>
      </w:r>
      <w:r>
        <w:rPr>
          <w:vertAlign w:val="baseline"/>
        </w:rPr>
        <w:t> the Supreme Court, by a majority, upheld the decision of the Court of Appeal which had</w:t>
      </w:r>
      <w:r>
        <w:rPr>
          <w:spacing w:val="40"/>
          <w:vertAlign w:val="baseline"/>
        </w:rPr>
        <w:t> </w:t>
      </w:r>
      <w:r>
        <w:rPr>
          <w:vertAlign w:val="baseline"/>
        </w:rPr>
        <w:t>answered the question in the affirmative. </w:t>
      </w:r>
      <w:r>
        <w:rPr>
          <w:color w:val="005DA1"/>
          <w:u w:val="single" w:color="005DA1"/>
          <w:vertAlign w:val="superscript"/>
        </w:rPr>
        <w:t>61</w:t>
      </w:r>
    </w:p>
    <w:p>
      <w:pPr>
        <w:pStyle w:val="BodyText"/>
      </w:pPr>
    </w:p>
    <w:p>
      <w:pPr>
        <w:pStyle w:val="BodyText"/>
        <w:spacing w:before="31"/>
      </w:pPr>
    </w:p>
    <w:p>
      <w:pPr>
        <w:spacing w:before="0"/>
        <w:ind w:left="165" w:right="0" w:firstLine="0"/>
        <w:jc w:val="both"/>
        <w:rPr>
          <w:rFonts w:ascii="Arial"/>
          <w:b/>
          <w:sz w:val="18"/>
        </w:rPr>
      </w:pPr>
      <w:r>
        <w:rPr>
          <w:rFonts w:ascii="Arial"/>
          <w:b/>
          <w:sz w:val="18"/>
        </w:rPr>
        <w:t>Consideration in collateral </w:t>
      </w:r>
      <w:r>
        <w:rPr>
          <w:rFonts w:ascii="Arial"/>
          <w:b/>
          <w:spacing w:val="-2"/>
          <w:sz w:val="18"/>
        </w:rPr>
        <w:t>contracts</w:t>
      </w:r>
    </w:p>
    <w:p>
      <w:pPr>
        <w:pStyle w:val="BodyText"/>
        <w:spacing w:before="41"/>
        <w:rPr>
          <w:rFonts w:ascii="Arial"/>
          <w:b/>
          <w:sz w:val="18"/>
        </w:rPr>
      </w:pPr>
    </w:p>
    <w:p>
      <w:pPr>
        <w:pStyle w:val="Heading2"/>
      </w:pPr>
      <w:r>
        <w:rPr/>
        <w:t>18-</w:t>
      </w:r>
      <w:r>
        <w:rPr>
          <w:spacing w:val="-5"/>
        </w:rPr>
        <w:t>010</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74" w:id="76"/>
      <w:bookmarkEnd w:id="76"/>
      <w:r>
        <w:rPr>
          <w:rFonts w:ascii="Times New Roman" w:hAnsi="Times New Roman"/>
          <w:spacing w:val="9"/>
        </w:rPr>
      </w:r>
      <w:r>
        <w:rPr/>
        <w:t>To be enforceable as a collateral contract, a promise must be supported by consideration,</w:t>
      </w:r>
      <w:r>
        <w:rPr>
          <w:spacing w:val="-1"/>
        </w:rPr>
        <w:t> </w:t>
      </w:r>
      <w:r>
        <w:rPr>
          <w:color w:val="005DA1"/>
          <w:u w:val="single" w:color="005DA1"/>
          <w:vertAlign w:val="superscript"/>
        </w:rPr>
        <w:t>62</w:t>
      </w:r>
      <w:r>
        <w:rPr>
          <w:color w:val="005DA1"/>
          <w:vertAlign w:val="baseline"/>
        </w:rPr>
        <w:t> </w:t>
      </w:r>
      <w:r>
        <w:rPr>
          <w:vertAlign w:val="baseline"/>
        </w:rPr>
        <w:t>and in the cases considered in paragraphs 18-005 to 18-009 above there is no difficulty in explaining how </w:t>
      </w:r>
      <w:bookmarkStart w:name="_bookmark75" w:id="77"/>
      <w:bookmarkEnd w:id="77"/>
      <w:r>
        <w:rPr>
          <w:vertAlign w:val="baseline"/>
        </w:rPr>
        <w:t>this</w:t>
      </w:r>
      <w:r>
        <w:rPr>
          <w:vertAlign w:val="baseline"/>
        </w:rPr>
        <w:t> requirement was satisfied. In the </w:t>
      </w:r>
      <w:r>
        <w:rPr>
          <w:rFonts w:ascii="Arial" w:hAnsi="Arial"/>
          <w:i/>
          <w:vertAlign w:val="baseline"/>
        </w:rPr>
        <w:t>Shanklin Pier </w:t>
      </w:r>
      <w:r>
        <w:rPr>
          <w:vertAlign w:val="baseline"/>
        </w:rPr>
        <w:t>case, the consideration was the instruction given by the claimants to their contractors </w:t>
      </w:r>
      <w:r>
        <w:rPr>
          <w:color w:val="005DA1"/>
          <w:u w:val="single" w:color="005DA1"/>
          <w:vertAlign w:val="superscript"/>
        </w:rPr>
        <w:t>63</w:t>
      </w:r>
      <w:r>
        <w:rPr>
          <w:vertAlign w:val="baseline"/>
        </w:rPr>
        <w:t>; in the building sub-contractor case, it is similarly the </w:t>
      </w:r>
      <w:r>
        <w:rPr>
          <w:vertAlign w:val="baseline"/>
        </w:rPr>
        <w:t>client’s </w:t>
      </w:r>
      <w:bookmarkStart w:name="_bookmark76" w:id="78"/>
      <w:bookmarkEnd w:id="78"/>
      <w:r>
        <w:rPr>
          <w:vertAlign w:val="baseline"/>
        </w:rPr>
        <w:t>nomination</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subcontractor;</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guarantee</w:t>
      </w:r>
      <w:r>
        <w:rPr>
          <w:spacing w:val="35"/>
          <w:vertAlign w:val="baseline"/>
        </w:rPr>
        <w:t> </w:t>
      </w:r>
      <w:r>
        <w:rPr>
          <w:vertAlign w:val="baseline"/>
        </w:rPr>
        <w:t>case</w:t>
      </w:r>
      <w:r>
        <w:rPr>
          <w:spacing w:val="35"/>
          <w:vertAlign w:val="baseline"/>
        </w:rPr>
        <w:t> </w:t>
      </w:r>
      <w:r>
        <w:rPr>
          <w:vertAlign w:val="baseline"/>
        </w:rPr>
        <w:t>it</w:t>
      </w:r>
      <w:r>
        <w:rPr>
          <w:spacing w:val="35"/>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purchase</w:t>
      </w:r>
      <w:r>
        <w:rPr>
          <w:spacing w:val="35"/>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customer</w:t>
      </w:r>
      <w:r>
        <w:rPr>
          <w:spacing w:val="35"/>
          <w:vertAlign w:val="baseline"/>
        </w:rPr>
        <w:t> </w:t>
      </w:r>
      <w:r>
        <w:rPr>
          <w:vertAlign w:val="baseline"/>
        </w:rPr>
        <w:t>of</w:t>
      </w:r>
      <w:r>
        <w:rPr>
          <w:spacing w:val="35"/>
          <w:vertAlign w:val="baseline"/>
        </w:rPr>
        <w:t> </w:t>
      </w:r>
      <w:r>
        <w:rPr>
          <w:spacing w:val="-5"/>
          <w:vertAlign w:val="baseline"/>
        </w:rPr>
        <w:t>the</w:t>
      </w:r>
    </w:p>
    <w:p>
      <w:pPr>
        <w:pStyle w:val="BodyText"/>
        <w:spacing w:line="235" w:lineRule="auto" w:before="118"/>
        <w:ind w:left="165" w:right="167"/>
        <w:jc w:val="both"/>
      </w:pPr>
      <w:r>
        <w:rPr/>
        <w:t>goods</w:t>
      </w:r>
      <w:r>
        <w:rPr>
          <w:spacing w:val="32"/>
        </w:rPr>
        <w:t> </w:t>
      </w:r>
      <w:r>
        <w:rPr/>
        <w:t>from</w:t>
      </w:r>
      <w:r>
        <w:rPr>
          <w:spacing w:val="32"/>
        </w:rPr>
        <w:t> </w:t>
      </w:r>
      <w:r>
        <w:rPr/>
        <w:t>the</w:t>
      </w:r>
      <w:r>
        <w:rPr>
          <w:spacing w:val="32"/>
        </w:rPr>
        <w:t> </w:t>
      </w:r>
      <w:r>
        <w:rPr/>
        <w:t>dealer</w:t>
      </w:r>
      <w:r>
        <w:rPr>
          <w:spacing w:val="31"/>
        </w:rPr>
        <w:t> </w:t>
      </w:r>
      <w:r>
        <w:rPr>
          <w:color w:val="005DA1"/>
          <w:u w:val="single" w:color="005DA1"/>
          <w:vertAlign w:val="superscript"/>
        </w:rPr>
        <w:t>64</w:t>
      </w:r>
      <w:r>
        <w:rPr>
          <w:color w:val="005DA1"/>
          <w:spacing w:val="77"/>
          <w:vertAlign w:val="baseline"/>
        </w:rPr>
        <w:t>  </w:t>
      </w:r>
      <w:r>
        <w:rPr>
          <w:color w:val="005DA1"/>
          <w:spacing w:val="-7"/>
          <w:position w:val="-2"/>
          <w:vertAlign w:val="baseline"/>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vertAlign w:val="baseline"/>
        </w:rPr>
        <w:t>;</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hire-purchase</w:t>
      </w:r>
      <w:r>
        <w:rPr>
          <w:spacing w:val="32"/>
          <w:vertAlign w:val="baseline"/>
        </w:rPr>
        <w:t> </w:t>
      </w:r>
      <w:r>
        <w:rPr>
          <w:vertAlign w:val="baseline"/>
        </w:rPr>
        <w:t>case</w:t>
      </w:r>
      <w:r>
        <w:rPr>
          <w:spacing w:val="32"/>
          <w:vertAlign w:val="baseline"/>
        </w:rPr>
        <w:t> </w:t>
      </w:r>
      <w:r>
        <w:rPr>
          <w:vertAlign w:val="baseline"/>
        </w:rPr>
        <w:t>it</w:t>
      </w:r>
      <w:r>
        <w:rPr>
          <w:spacing w:val="32"/>
          <w:vertAlign w:val="baseline"/>
        </w:rPr>
        <w:t> </w:t>
      </w:r>
      <w:r>
        <w:rPr>
          <w:vertAlign w:val="baseline"/>
        </w:rPr>
        <w:t>is</w:t>
      </w:r>
      <w:r>
        <w:rPr>
          <w:spacing w:val="32"/>
          <w:vertAlign w:val="baseline"/>
        </w:rPr>
        <w:t> </w:t>
      </w:r>
      <w:r>
        <w:rPr>
          <w:vertAlign w:val="baseline"/>
        </w:rPr>
        <w:t>the</w:t>
      </w:r>
      <w:r>
        <w:rPr>
          <w:spacing w:val="32"/>
          <w:vertAlign w:val="baseline"/>
        </w:rPr>
        <w:t> </w:t>
      </w:r>
      <w:r>
        <w:rPr>
          <w:vertAlign w:val="baseline"/>
        </w:rPr>
        <w:t>entering</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customer</w:t>
      </w:r>
      <w:r>
        <w:rPr>
          <w:spacing w:val="32"/>
          <w:vertAlign w:val="baseline"/>
        </w:rPr>
        <w:t> </w:t>
      </w:r>
      <w:r>
        <w:rPr>
          <w:vertAlign w:val="baseline"/>
        </w:rPr>
        <w:t>into</w:t>
      </w:r>
      <w:r>
        <w:rPr>
          <w:spacing w:val="32"/>
          <w:vertAlign w:val="baseline"/>
        </w:rPr>
        <w:t> </w:t>
      </w:r>
      <w:r>
        <w:rPr>
          <w:vertAlign w:val="baseline"/>
        </w:rPr>
        <w:t>a hire-purchase agreement with the finance company; in the cheque card, debit card or credit card</w:t>
      </w:r>
      <w:r>
        <w:rPr>
          <w:spacing w:val="40"/>
          <w:vertAlign w:val="baseline"/>
        </w:rPr>
        <w:t> </w:t>
      </w:r>
      <w:bookmarkStart w:name="_bookmark77" w:id="79"/>
      <w:bookmarkEnd w:id="79"/>
      <w:r>
        <w:rPr>
          <w:vertAlign w:val="baseline"/>
        </w:rPr>
        <w:t>case,</w:t>
      </w:r>
      <w:r>
        <w:rPr>
          <w:vertAlign w:val="baseline"/>
        </w:rPr>
        <w:t> it is the supply of the goods by the supplier to the customer, and the discount allowed by the supplier to the issuer of the credit card </w:t>
      </w:r>
      <w:r>
        <w:rPr>
          <w:color w:val="005DA1"/>
          <w:u w:val="single" w:color="005DA1"/>
          <w:vertAlign w:val="superscript"/>
        </w:rPr>
        <w:t>65</w:t>
      </w:r>
      <w:r>
        <w:rPr>
          <w:vertAlign w:val="baseline"/>
        </w:rPr>
        <w:t>; in the loyalty card cases, it is the reciprocal promises or </w:t>
      </w:r>
      <w:bookmarkStart w:name="_bookmark78" w:id="80"/>
      <w:bookmarkEnd w:id="80"/>
      <w:r>
        <w:rPr>
          <w:vertAlign w:val="baseline"/>
        </w:rPr>
        <w:t>performances</w:t>
      </w:r>
      <w:r>
        <w:rPr>
          <w:vertAlign w:val="baseline"/>
        </w:rPr>
        <w:t> of the various parties involved in the operation of the scheme described in paragraph </w:t>
      </w:r>
      <w:bookmarkStart w:name="_bookmark79" w:id="81"/>
      <w:bookmarkEnd w:id="81"/>
      <w:r>
        <w:rPr>
          <w:vertAlign w:val="baseline"/>
        </w:rPr>
        <w:t>18–009</w:t>
      </w:r>
      <w:r>
        <w:rPr>
          <w:vertAlign w:val="baseline"/>
        </w:rPr>
        <w:t> above. </w:t>
      </w:r>
      <w:r>
        <w:rPr>
          <w:color w:val="005DA1"/>
          <w:u w:val="single" w:color="005DA1"/>
          <w:vertAlign w:val="superscript"/>
        </w:rPr>
        <w:t>66</w:t>
      </w:r>
      <w:r>
        <w:rPr>
          <w:color w:val="005DA1"/>
          <w:vertAlign w:val="baseline"/>
        </w:rPr>
        <w:t> </w:t>
      </w:r>
      <w:r>
        <w:rPr>
          <w:vertAlign w:val="baseline"/>
        </w:rPr>
        <w:t>A case in which the problem of consideration gives rise to more difficulty is </w:t>
      </w:r>
      <w:r>
        <w:rPr>
          <w:rFonts w:ascii="Arial" w:hAnsi="Arial"/>
          <w:i/>
          <w:vertAlign w:val="baseline"/>
        </w:rPr>
        <w:t>Charnock v Liverpool Corp</w:t>
      </w:r>
      <w:r>
        <w:rPr>
          <w:vertAlign w:val="baseline"/>
        </w:rPr>
        <w:t>. </w:t>
      </w:r>
      <w:r>
        <w:rPr>
          <w:color w:val="005DA1"/>
          <w:u w:val="single" w:color="005DA1"/>
          <w:vertAlign w:val="superscript"/>
        </w:rPr>
        <w:t>67</w:t>
      </w:r>
      <w:r>
        <w:rPr>
          <w:color w:val="005DA1"/>
          <w:vertAlign w:val="baseline"/>
        </w:rPr>
        <w:t> </w:t>
      </w:r>
      <w:r>
        <w:rPr>
          <w:vertAlign w:val="baseline"/>
        </w:rPr>
        <w:t>A car had been damaged and was later repaired under a contract between the owner’s insurance company and a garage. It was held that there was also a collateral </w:t>
      </w:r>
      <w:bookmarkStart w:name="_bookmark80" w:id="82"/>
      <w:bookmarkEnd w:id="82"/>
      <w:r>
        <w:rPr>
          <w:vertAlign w:val="baseline"/>
        </w:rPr>
        <w:t>contract</w:t>
      </w:r>
      <w:r>
        <w:rPr>
          <w:vertAlign w:val="baseline"/>
        </w:rPr>
        <w:t> between the owner and the garage (to do the repairs within a reasonable time), even though </w:t>
      </w:r>
      <w:bookmarkStart w:name="_bookmark81" w:id="83"/>
      <w:bookmarkEnd w:id="83"/>
      <w:r>
        <w:rPr>
          <w:vertAlign w:val="baseline"/>
        </w:rPr>
        <w:t>the</w:t>
      </w:r>
      <w:r>
        <w:rPr>
          <w:vertAlign w:val="baseline"/>
        </w:rPr>
        <w:t> owner did not pay or promise to pay the garage anything. </w:t>
      </w:r>
      <w:r>
        <w:rPr>
          <w:color w:val="005DA1"/>
          <w:u w:val="single" w:color="005DA1"/>
          <w:vertAlign w:val="superscript"/>
        </w:rPr>
        <w:t>68</w:t>
      </w:r>
      <w:r>
        <w:rPr>
          <w:color w:val="005DA1"/>
          <w:vertAlign w:val="baseline"/>
        </w:rPr>
        <w:t> </w:t>
      </w:r>
      <w:r>
        <w:rPr>
          <w:vertAlign w:val="baseline"/>
        </w:rPr>
        <w:t>The consideration for the garage’s </w:t>
      </w:r>
      <w:bookmarkStart w:name="_bookmark82" w:id="84"/>
      <w:bookmarkEnd w:id="84"/>
      <w:r>
        <w:rPr>
          <w:vertAlign w:val="baseline"/>
        </w:rPr>
        <w:t>promise</w:t>
      </w:r>
      <w:r>
        <w:rPr>
          <w:vertAlign w:val="baseline"/>
        </w:rPr>
        <w:t> was found in the owner’s “leaving his car with the garage for repair.” </w:t>
      </w:r>
      <w:r>
        <w:rPr>
          <w:color w:val="005DA1"/>
          <w:u w:val="single" w:color="005DA1"/>
          <w:vertAlign w:val="superscript"/>
        </w:rPr>
        <w:t>69</w:t>
      </w:r>
      <w:r>
        <w:rPr>
          <w:color w:val="005DA1"/>
          <w:vertAlign w:val="baseline"/>
        </w:rPr>
        <w:t> </w:t>
      </w:r>
      <w:r>
        <w:rPr>
          <w:vertAlign w:val="baseline"/>
        </w:rPr>
        <w:t>This might not be a detriment to the owner, at least in the factual sense. </w:t>
      </w:r>
      <w:r>
        <w:rPr>
          <w:color w:val="005DA1"/>
          <w:u w:val="single" w:color="005DA1"/>
          <w:vertAlign w:val="superscript"/>
        </w:rPr>
        <w:t>70</w:t>
      </w:r>
      <w:r>
        <w:rPr>
          <w:color w:val="005DA1"/>
          <w:vertAlign w:val="baseline"/>
        </w:rPr>
        <w:t> </w:t>
      </w:r>
      <w:r>
        <w:rPr>
          <w:vertAlign w:val="baseline"/>
        </w:rPr>
        <w:t>But it was a benefit to the garage in giving it</w:t>
      </w:r>
      <w:r>
        <w:rPr>
          <w:spacing w:val="40"/>
          <w:vertAlign w:val="baseline"/>
        </w:rPr>
        <w:t> </w:t>
      </w:r>
      <w:r>
        <w:rPr>
          <w:vertAlign w:val="baseline"/>
        </w:rPr>
        <w:t>the opportunity of making a contract for the repair of the car with the insurance company; and this benefit constituted the consideration for the garage’s promise to the owner.</w:t>
      </w:r>
    </w:p>
    <w:p>
      <w:pPr>
        <w:pStyle w:val="BodyText"/>
      </w:pPr>
    </w:p>
    <w:p>
      <w:pPr>
        <w:pStyle w:val="BodyText"/>
        <w:spacing w:before="33"/>
      </w:pPr>
    </w:p>
    <w:p>
      <w:pPr>
        <w:spacing w:before="1"/>
        <w:ind w:left="165" w:right="0" w:firstLine="0"/>
        <w:jc w:val="both"/>
        <w:rPr>
          <w:rFonts w:ascii="Arial"/>
          <w:b/>
          <w:sz w:val="18"/>
        </w:rPr>
      </w:pPr>
      <w:r>
        <w:rPr>
          <w:rFonts w:ascii="Arial"/>
          <w:b/>
          <w:sz w:val="18"/>
        </w:rPr>
        <w:t>Contractual intention in collateral </w:t>
      </w:r>
      <w:r>
        <w:rPr>
          <w:rFonts w:ascii="Arial"/>
          <w:b/>
          <w:spacing w:val="-2"/>
          <w:sz w:val="18"/>
        </w:rPr>
        <w:t>contracts</w:t>
      </w:r>
    </w:p>
    <w:p>
      <w:pPr>
        <w:pStyle w:val="BodyText"/>
        <w:spacing w:before="41"/>
        <w:rPr>
          <w:rFonts w:ascii="Arial"/>
          <w:b/>
          <w:sz w:val="18"/>
        </w:rPr>
      </w:pPr>
    </w:p>
    <w:p>
      <w:pPr>
        <w:pStyle w:val="Heading2"/>
      </w:pPr>
      <w:r>
        <w:rPr/>
        <w:t>18-</w:t>
      </w:r>
      <w:r>
        <w:rPr>
          <w:spacing w:val="-5"/>
        </w:rPr>
        <w:t>011</w:t>
      </w:r>
    </w:p>
    <w:p>
      <w:pPr>
        <w:pStyle w:val="BodyText"/>
        <w:spacing w:line="235" w:lineRule="auto" w:before="202"/>
        <w:ind w:left="164" w:right="167"/>
        <w:jc w:val="both"/>
      </w:pPr>
      <w:bookmarkStart w:name="_bookmark83" w:id="85"/>
      <w:bookmarkEnd w:id="85"/>
      <w:r>
        <w:rPr/>
      </w:r>
      <w:r>
        <w:rPr/>
        <w:t>A promise will not amount to a collateral contract if it was made without contractual intention. </w:t>
      </w:r>
      <w:r>
        <w:rPr>
          <w:color w:val="005DA1"/>
          <w:u w:val="single" w:color="005DA1"/>
          <w:vertAlign w:val="superscript"/>
        </w:rPr>
        <w:t>71</w:t>
      </w:r>
      <w:r>
        <w:rPr>
          <w:color w:val="005DA1"/>
          <w:vertAlign w:val="baseline"/>
        </w:rPr>
        <w:t> </w:t>
      </w:r>
      <w:r>
        <w:rPr>
          <w:vertAlign w:val="baseline"/>
        </w:rPr>
        <w:t>The </w:t>
      </w:r>
      <w:bookmarkStart w:name="_bookmark84" w:id="86"/>
      <w:bookmarkEnd w:id="86"/>
      <w:r>
        <w:rPr>
          <w:vertAlign w:val="baseline"/>
        </w:rPr>
        <w:t>need</w:t>
      </w:r>
      <w:r>
        <w:rPr>
          <w:vertAlign w:val="baseline"/>
        </w:rPr>
        <w:t> to satisfy this requirement is illustrated (in the present context) by </w:t>
      </w:r>
      <w:r>
        <w:rPr>
          <w:rFonts w:ascii="Arial"/>
          <w:i/>
          <w:vertAlign w:val="baseline"/>
        </w:rPr>
        <w:t>Alicia Hosiery Ltd v Brown Shipley Ltd</w:t>
      </w:r>
      <w:r>
        <w:rPr>
          <w:vertAlign w:val="baseline"/>
        </w:rPr>
        <w:t>, </w:t>
      </w:r>
      <w:r>
        <w:rPr>
          <w:color w:val="005DA1"/>
          <w:u w:val="single" w:color="005DA1"/>
          <w:vertAlign w:val="superscript"/>
        </w:rPr>
        <w:t>72</w:t>
      </w:r>
      <w:r>
        <w:rPr>
          <w:color w:val="005DA1"/>
          <w:vertAlign w:val="baseline"/>
        </w:rPr>
        <w:t> </w:t>
      </w:r>
      <w:r>
        <w:rPr>
          <w:vertAlign w:val="baseline"/>
        </w:rPr>
        <w:t>where the owner of goods in a warehouse pledged them to a bank and later sold them. The bank gave the buyer a delivery order addressed to the warehouseman but the latter refused to deliver the goods to the buyer who claimed damages from the bank. It was held that there was a </w:t>
      </w:r>
      <w:bookmarkStart w:name="_bookmark85" w:id="87"/>
      <w:bookmarkEnd w:id="87"/>
      <w:r>
        <w:rPr>
          <w:vertAlign w:val="baseline"/>
        </w:rPr>
        <w:t>contract</w:t>
      </w:r>
      <w:r>
        <w:rPr>
          <w:vertAlign w:val="baseline"/>
        </w:rPr>
        <w:t> between the buyer and the seller, and one between the seller and the bank, but none </w:t>
      </w:r>
      <w:bookmarkStart w:name="_bookmark86" w:id="88"/>
      <w:bookmarkEnd w:id="88"/>
      <w:r>
        <w:rPr>
          <w:vertAlign w:val="baseline"/>
        </w:rPr>
        <w:t>between</w:t>
      </w:r>
      <w:r>
        <w:rPr>
          <w:vertAlign w:val="baseline"/>
        </w:rPr>
        <w:t> the buyer and the bank as no intention to enter into such a contract had been shown. </w:t>
      </w:r>
      <w:r>
        <w:rPr>
          <w:color w:val="005DA1"/>
          <w:u w:val="single" w:color="005DA1"/>
          <w:vertAlign w:val="superscript"/>
        </w:rPr>
        <w:t>73</w:t>
      </w:r>
      <w:r>
        <w:rPr>
          <w:color w:val="005DA1"/>
          <w:vertAlign w:val="baseline"/>
        </w:rPr>
        <w:t> </w:t>
      </w:r>
      <w:r>
        <w:rPr>
          <w:vertAlign w:val="baseline"/>
        </w:rPr>
        <w:t>Similarly, in </w:t>
      </w:r>
      <w:r>
        <w:rPr>
          <w:rFonts w:ascii="Arial"/>
          <w:i/>
          <w:vertAlign w:val="baseline"/>
        </w:rPr>
        <w:t>Independent Broadcasting Authority v E.M.I. Electronics</w:t>
      </w:r>
      <w:r>
        <w:rPr>
          <w:vertAlign w:val="baseline"/>
        </w:rPr>
        <w:t>, </w:t>
      </w:r>
      <w:r>
        <w:rPr>
          <w:color w:val="005DA1"/>
          <w:u w:val="single" w:color="005DA1"/>
          <w:vertAlign w:val="superscript"/>
        </w:rPr>
        <w:t>74</w:t>
      </w:r>
      <w:r>
        <w:rPr>
          <w:color w:val="005DA1"/>
          <w:vertAlign w:val="baseline"/>
        </w:rPr>
        <w:t> </w:t>
      </w:r>
      <w:r>
        <w:rPr>
          <w:vertAlign w:val="baseline"/>
        </w:rPr>
        <w:t>A had contracted with B for the</w:t>
      </w:r>
      <w:r>
        <w:rPr>
          <w:spacing w:val="56"/>
          <w:vertAlign w:val="baseline"/>
        </w:rPr>
        <w:t> </w:t>
      </w:r>
      <w:r>
        <w:rPr>
          <w:vertAlign w:val="baseline"/>
        </w:rPr>
        <w:t>erection</w:t>
      </w:r>
      <w:r>
        <w:rPr>
          <w:spacing w:val="56"/>
          <w:vertAlign w:val="baseline"/>
        </w:rPr>
        <w:t> </w:t>
      </w:r>
      <w:r>
        <w:rPr>
          <w:vertAlign w:val="baseline"/>
        </w:rPr>
        <w:t>of</w:t>
      </w:r>
      <w:r>
        <w:rPr>
          <w:spacing w:val="56"/>
          <w:vertAlign w:val="baseline"/>
        </w:rPr>
        <w:t> </w:t>
      </w:r>
      <w:r>
        <w:rPr>
          <w:vertAlign w:val="baseline"/>
        </w:rPr>
        <w:t>a</w:t>
      </w:r>
      <w:r>
        <w:rPr>
          <w:spacing w:val="56"/>
          <w:vertAlign w:val="baseline"/>
        </w:rPr>
        <w:t> </w:t>
      </w:r>
      <w:r>
        <w:rPr>
          <w:vertAlign w:val="baseline"/>
        </w:rPr>
        <w:t>television</w:t>
      </w:r>
      <w:r>
        <w:rPr>
          <w:spacing w:val="56"/>
          <w:vertAlign w:val="baseline"/>
        </w:rPr>
        <w:t> </w:t>
      </w:r>
      <w:r>
        <w:rPr>
          <w:vertAlign w:val="baseline"/>
        </w:rPr>
        <w:t>mast,</w:t>
      </w:r>
      <w:r>
        <w:rPr>
          <w:spacing w:val="56"/>
          <w:vertAlign w:val="baseline"/>
        </w:rPr>
        <w:t> </w:t>
      </w:r>
      <w:r>
        <w:rPr>
          <w:vertAlign w:val="baseline"/>
        </w:rPr>
        <w:t>on</w:t>
      </w:r>
      <w:r>
        <w:rPr>
          <w:spacing w:val="56"/>
          <w:vertAlign w:val="baseline"/>
        </w:rPr>
        <w:t> </w:t>
      </w:r>
      <w:r>
        <w:rPr>
          <w:vertAlign w:val="baseline"/>
        </w:rPr>
        <w:t>the</w:t>
      </w:r>
      <w:r>
        <w:rPr>
          <w:spacing w:val="56"/>
          <w:vertAlign w:val="baseline"/>
        </w:rPr>
        <w:t> </w:t>
      </w:r>
      <w:r>
        <w:rPr>
          <w:vertAlign w:val="baseline"/>
        </w:rPr>
        <w:t>terms</w:t>
      </w:r>
      <w:r>
        <w:rPr>
          <w:spacing w:val="56"/>
          <w:vertAlign w:val="baseline"/>
        </w:rPr>
        <w:t> </w:t>
      </w:r>
      <w:r>
        <w:rPr>
          <w:vertAlign w:val="baseline"/>
        </w:rPr>
        <w:t>that</w:t>
      </w:r>
      <w:r>
        <w:rPr>
          <w:spacing w:val="56"/>
          <w:vertAlign w:val="baseline"/>
        </w:rPr>
        <w:t> </w:t>
      </w:r>
      <w:r>
        <w:rPr>
          <w:vertAlign w:val="baseline"/>
        </w:rPr>
        <w:t>the</w:t>
      </w:r>
      <w:r>
        <w:rPr>
          <w:spacing w:val="56"/>
          <w:vertAlign w:val="baseline"/>
        </w:rPr>
        <w:t> </w:t>
      </w:r>
      <w:r>
        <w:rPr>
          <w:vertAlign w:val="baseline"/>
        </w:rPr>
        <w:t>actual</w:t>
      </w:r>
      <w:r>
        <w:rPr>
          <w:spacing w:val="56"/>
          <w:vertAlign w:val="baseline"/>
        </w:rPr>
        <w:t> </w:t>
      </w:r>
      <w:r>
        <w:rPr>
          <w:vertAlign w:val="baseline"/>
        </w:rPr>
        <w:t>work</w:t>
      </w:r>
      <w:r>
        <w:rPr>
          <w:spacing w:val="56"/>
          <w:vertAlign w:val="baseline"/>
        </w:rPr>
        <w:t> </w:t>
      </w:r>
      <w:r>
        <w:rPr>
          <w:vertAlign w:val="baseline"/>
        </w:rPr>
        <w:t>was</w:t>
      </w:r>
      <w:r>
        <w:rPr>
          <w:spacing w:val="56"/>
          <w:vertAlign w:val="baseline"/>
        </w:rPr>
        <w:t> </w:t>
      </w:r>
      <w:r>
        <w:rPr>
          <w:vertAlign w:val="baseline"/>
        </w:rPr>
        <w:t>to</w:t>
      </w:r>
      <w:r>
        <w:rPr>
          <w:spacing w:val="56"/>
          <w:vertAlign w:val="baseline"/>
        </w:rPr>
        <w:t> </w:t>
      </w:r>
      <w:r>
        <w:rPr>
          <w:vertAlign w:val="baseline"/>
        </w:rPr>
        <w:t>be</w:t>
      </w:r>
      <w:r>
        <w:rPr>
          <w:spacing w:val="56"/>
          <w:vertAlign w:val="baseline"/>
        </w:rPr>
        <w:t> </w:t>
      </w:r>
      <w:r>
        <w:rPr>
          <w:vertAlign w:val="baseline"/>
        </w:rPr>
        <w:t>done</w:t>
      </w:r>
      <w:r>
        <w:rPr>
          <w:spacing w:val="56"/>
          <w:vertAlign w:val="baseline"/>
        </w:rPr>
        <w:t> </w:t>
      </w:r>
      <w:r>
        <w:rPr>
          <w:vertAlign w:val="baseline"/>
        </w:rPr>
        <w:t>by</w:t>
      </w:r>
      <w:r>
        <w:rPr>
          <w:spacing w:val="56"/>
          <w:vertAlign w:val="baseline"/>
        </w:rPr>
        <w:t> </w:t>
      </w:r>
      <w:r>
        <w:rPr>
          <w:vertAlign w:val="baseline"/>
        </w:rPr>
        <w:t>C,</w:t>
      </w:r>
      <w:r>
        <w:rPr>
          <w:spacing w:val="56"/>
          <w:vertAlign w:val="baseline"/>
        </w:rPr>
        <w:t> </w:t>
      </w:r>
      <w:r>
        <w:rPr>
          <w:spacing w:val="-10"/>
          <w:vertAlign w:val="baseline"/>
        </w:rPr>
        <w:t>a</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sub-contractor. C, who was not a party to the contract between A and B, wrote to A saying: “We are well satisfied that the structure will not oscillate dangerously.” The mast having later collapsed, it </w:t>
      </w:r>
      <w:r>
        <w:rPr/>
        <w:t>was held that C’s letter did not have contractual force as there was no animus contrahendi (though C was </w:t>
      </w:r>
      <w:bookmarkStart w:name="_bookmark87" w:id="89"/>
      <w:bookmarkEnd w:id="89"/>
      <w:r>
        <w:rPr/>
        <w:t>held</w:t>
      </w:r>
      <w:r>
        <w:rPr/>
        <w:t> liable in negligence). There will, a fortiori, be no collateral contract between A and C where these parties have deliberately chosen not to enter into a direct contract with each other. </w:t>
      </w:r>
      <w:r>
        <w:rPr>
          <w:color w:val="005DA1"/>
          <w:u w:val="single" w:color="005DA1"/>
          <w:vertAlign w:val="superscript"/>
        </w:rPr>
        <w:t>75</w:t>
      </w:r>
      <w:r>
        <w:rPr>
          <w:color w:val="005DA1"/>
          <w:vertAlign w:val="baseline"/>
        </w:rPr>
        <w:t> </w:t>
      </w:r>
      <w:r>
        <w:rPr>
          <w:vertAlign w:val="baseline"/>
        </w:rPr>
        <w:t>And where A acquired shares from B which had previously been bought by B from C on the terms that certain </w:t>
      </w:r>
      <w:bookmarkStart w:name="_bookmark88" w:id="90"/>
      <w:bookmarkEnd w:id="90"/>
      <w:r>
        <w:rPr>
          <w:vertAlign w:val="baseline"/>
        </w:rPr>
        <w:t>payments</w:t>
      </w:r>
      <w:r>
        <w:rPr>
          <w:vertAlign w:val="baseline"/>
        </w:rPr>
        <w:t> were to be made to C in events which later happened, it was held that there was no collateral contract between A and C, obliging A to make the payments. </w:t>
      </w:r>
      <w:r>
        <w:rPr>
          <w:color w:val="005DA1"/>
          <w:u w:val="single" w:color="005DA1"/>
          <w:vertAlign w:val="superscript"/>
        </w:rPr>
        <w:t>76</w:t>
      </w:r>
      <w:r>
        <w:rPr>
          <w:color w:val="005DA1"/>
          <w:vertAlign w:val="baseline"/>
        </w:rPr>
        <w:t> </w:t>
      </w:r>
      <w:r>
        <w:rPr>
          <w:vertAlign w:val="baseline"/>
        </w:rPr>
        <w:t>No intention on A’s part to enter into such a contract could be inferred, while C did not know of A at the time of the alleged collateral contract and so equally lacked any intention to contract with A.</w:t>
      </w:r>
    </w:p>
    <w:p>
      <w:pPr>
        <w:pStyle w:val="BodyText"/>
      </w:pPr>
    </w:p>
    <w:p>
      <w:pPr>
        <w:pStyle w:val="BodyText"/>
        <w:spacing w:before="34"/>
      </w:pPr>
    </w:p>
    <w:p>
      <w:pPr>
        <w:spacing w:before="1"/>
        <w:ind w:left="165" w:right="0" w:firstLine="0"/>
        <w:jc w:val="left"/>
        <w:rPr>
          <w:rFonts w:ascii="Arial"/>
          <w:b/>
          <w:sz w:val="18"/>
        </w:rPr>
      </w:pPr>
      <w:r>
        <w:rPr>
          <w:rFonts w:ascii="Arial"/>
          <w:b/>
          <w:sz w:val="18"/>
        </w:rPr>
        <w:t>Multilateral </w:t>
      </w:r>
      <w:r>
        <w:rPr>
          <w:rFonts w:ascii="Arial"/>
          <w:b/>
          <w:spacing w:val="-2"/>
          <w:sz w:val="18"/>
        </w:rPr>
        <w:t>contracts</w:t>
      </w:r>
    </w:p>
    <w:p>
      <w:pPr>
        <w:pStyle w:val="BodyText"/>
        <w:spacing w:before="41"/>
        <w:rPr>
          <w:rFonts w:ascii="Arial"/>
          <w:b/>
          <w:sz w:val="18"/>
        </w:rPr>
      </w:pPr>
    </w:p>
    <w:p>
      <w:pPr>
        <w:pStyle w:val="Heading2"/>
      </w:pPr>
      <w:r>
        <w:rPr/>
        <w:t>18-</w:t>
      </w:r>
      <w:r>
        <w:rPr>
          <w:spacing w:val="-5"/>
        </w:rPr>
        <w:t>012</w:t>
      </w:r>
    </w:p>
    <w:p>
      <w:pPr>
        <w:pStyle w:val="BodyText"/>
        <w:spacing w:line="235" w:lineRule="auto" w:before="202"/>
        <w:ind w:left="164" w:right="167"/>
        <w:jc w:val="both"/>
      </w:pPr>
      <w:r>
        <w:rPr/>
        <w:t>When a person joins a club or other unincorporated association, he may contract with all the other </w:t>
      </w:r>
      <w:bookmarkStart w:name="_bookmark89" w:id="91"/>
      <w:bookmarkEnd w:id="91"/>
      <w:r>
        <w:rPr/>
        <w:t>members</w:t>
      </w:r>
      <w:r>
        <w:rPr/>
        <w:t> although he may be quite unaware of their identity and although he may be in direct communication only with the association’s secretary. </w:t>
      </w:r>
      <w:r>
        <w:rPr>
          <w:color w:val="005DA1"/>
          <w:u w:val="single" w:color="005DA1"/>
          <w:vertAlign w:val="superscript"/>
        </w:rPr>
        <w:t>77</w:t>
      </w:r>
      <w:r>
        <w:rPr>
          <w:color w:val="005DA1"/>
          <w:vertAlign w:val="baseline"/>
        </w:rPr>
        <w:t> </w:t>
      </w:r>
      <w:r>
        <w:rPr>
          <w:vertAlign w:val="baseline"/>
        </w:rPr>
        <w:t>Similarly, where an insurance policy was expressed to be between the assured and a syndicate of underwriters at Lloyd’s, it was held </w:t>
      </w:r>
      <w:bookmarkStart w:name="_bookmark90" w:id="92"/>
      <w:bookmarkEnd w:id="92"/>
      <w:r>
        <w:rPr>
          <w:vertAlign w:val="baseline"/>
        </w:rPr>
        <w:t>nevertheless</w:t>
      </w:r>
      <w:r>
        <w:rPr>
          <w:vertAlign w:val="baseline"/>
        </w:rPr>
        <w:t> to constitute a number of separate contracts between the assured and each of the participating syndicates. </w:t>
      </w:r>
      <w:r>
        <w:rPr>
          <w:color w:val="005DA1"/>
          <w:u w:val="single" w:color="005DA1"/>
          <w:vertAlign w:val="superscript"/>
        </w:rPr>
        <w:t>78</w:t>
      </w:r>
      <w:r>
        <w:rPr>
          <w:color w:val="005DA1"/>
          <w:vertAlign w:val="baseline"/>
        </w:rPr>
        <w:t> </w:t>
      </w:r>
      <w:r>
        <w:rPr>
          <w:vertAlign w:val="baseline"/>
        </w:rPr>
        <w:t>In the case of a company incorporated under the Companies Acts, </w:t>
      </w:r>
      <w:r>
        <w:rPr>
          <w:vertAlign w:val="baseline"/>
        </w:rPr>
        <w:t>s.33(1) of the Companies Act 2006 provides that “The provisions of a company’s constitution bind the company and its members to the same extent as if there were covenants on the part of the company </w:t>
      </w:r>
      <w:bookmarkStart w:name="_bookmark91" w:id="93"/>
      <w:bookmarkEnd w:id="93"/>
      <w:r>
        <w:rPr>
          <w:vertAlign w:val="baseline"/>
        </w:rPr>
        <w:t>and</w:t>
      </w:r>
      <w:r>
        <w:rPr>
          <w:vertAlign w:val="baseline"/>
        </w:rPr>
        <w:t> of each member to observe those provisions.” It seems appropriate to continue to refer to the effect of this subsection as giving rise to a “statutory contract” </w:t>
      </w:r>
      <w:r>
        <w:rPr>
          <w:color w:val="005DA1"/>
          <w:u w:val="single" w:color="005DA1"/>
          <w:vertAlign w:val="superscript"/>
        </w:rPr>
        <w:t>79</w:t>
      </w:r>
      <w:r>
        <w:rPr>
          <w:vertAlign w:val="baseline"/>
        </w:rPr>
        <w:t>; and so far as this contract takes </w:t>
      </w:r>
      <w:bookmarkStart w:name="_bookmark92" w:id="94"/>
      <w:bookmarkEnd w:id="94"/>
      <w:r>
        <w:rPr>
          <w:vertAlign w:val="baseline"/>
        </w:rPr>
        <w:t>effect</w:t>
      </w:r>
      <w:r>
        <w:rPr>
          <w:vertAlign w:val="baseline"/>
        </w:rPr>
        <w:t> between the members, it continues so to take effect between them in their capacity as such. In the case of a limited liability partnership incorporated </w:t>
      </w:r>
      <w:r>
        <w:rPr>
          <w:color w:val="005DA1"/>
          <w:u w:val="single" w:color="005DA1"/>
          <w:vertAlign w:val="superscript"/>
        </w:rPr>
        <w:t>80</w:t>
      </w:r>
      <w:r>
        <w:rPr>
          <w:color w:val="005DA1"/>
          <w:vertAlign w:val="baseline"/>
        </w:rPr>
        <w:t> </w:t>
      </w:r>
      <w:r>
        <w:rPr>
          <w:vertAlign w:val="baseline"/>
        </w:rPr>
        <w:t>under the Limited Liability Partnerships Act </w:t>
      </w:r>
      <w:bookmarkStart w:name="_bookmark93" w:id="95"/>
      <w:bookmarkEnd w:id="95"/>
      <w:r>
        <w:rPr>
          <w:vertAlign w:val="baseline"/>
        </w:rPr>
        <w:t>2000,</w:t>
      </w:r>
      <w:r>
        <w:rPr>
          <w:vertAlign w:val="baseline"/>
        </w:rPr>
        <w:t> the mutual rights and liabilities of the members inter se and between the members and the partnership</w:t>
      </w:r>
      <w:r>
        <w:rPr>
          <w:spacing w:val="6"/>
          <w:vertAlign w:val="baseline"/>
        </w:rPr>
        <w:t> </w:t>
      </w:r>
      <w:r>
        <w:rPr>
          <w:vertAlign w:val="baseline"/>
        </w:rPr>
        <w:t>are</w:t>
      </w:r>
      <w:r>
        <w:rPr>
          <w:spacing w:val="6"/>
          <w:vertAlign w:val="baseline"/>
        </w:rPr>
        <w:t> </w:t>
      </w:r>
      <w:r>
        <w:rPr>
          <w:vertAlign w:val="baseline"/>
        </w:rPr>
        <w:t>governed</w:t>
      </w:r>
      <w:r>
        <w:rPr>
          <w:spacing w:val="6"/>
          <w:vertAlign w:val="baseline"/>
        </w:rPr>
        <w:t> </w:t>
      </w:r>
      <w:r>
        <w:rPr>
          <w:vertAlign w:val="baseline"/>
        </w:rPr>
        <w:t>by</w:t>
      </w:r>
      <w:r>
        <w:rPr>
          <w:spacing w:val="6"/>
          <w:vertAlign w:val="baseline"/>
        </w:rPr>
        <w:t> </w:t>
      </w:r>
      <w:r>
        <w:rPr>
          <w:vertAlign w:val="baseline"/>
        </w:rPr>
        <w:t>agreement</w:t>
      </w:r>
      <w:r>
        <w:rPr>
          <w:spacing w:val="6"/>
          <w:vertAlign w:val="baseline"/>
        </w:rPr>
        <w:t> </w:t>
      </w:r>
      <w:r>
        <w:rPr>
          <w:vertAlign w:val="baseline"/>
        </w:rPr>
        <w:t>between</w:t>
      </w:r>
      <w:r>
        <w:rPr>
          <w:spacing w:val="6"/>
          <w:vertAlign w:val="baseline"/>
        </w:rPr>
        <w:t> </w:t>
      </w:r>
      <w:r>
        <w:rPr>
          <w:vertAlign w:val="baseline"/>
        </w:rPr>
        <w:t>the</w:t>
      </w:r>
      <w:r>
        <w:rPr>
          <w:spacing w:val="6"/>
          <w:vertAlign w:val="baseline"/>
        </w:rPr>
        <w:t> </w:t>
      </w:r>
      <w:r>
        <w:rPr>
          <w:vertAlign w:val="baseline"/>
        </w:rPr>
        <w:t>members</w:t>
      </w:r>
      <w:r>
        <w:rPr>
          <w:spacing w:val="6"/>
          <w:vertAlign w:val="baseline"/>
        </w:rPr>
        <w:t> </w:t>
      </w:r>
      <w:r>
        <w:rPr>
          <w:vertAlign w:val="baseline"/>
        </w:rPr>
        <w:t>or</w:t>
      </w:r>
      <w:r>
        <w:rPr>
          <w:spacing w:val="6"/>
          <w:vertAlign w:val="baseline"/>
        </w:rPr>
        <w:t> </w:t>
      </w:r>
      <w:r>
        <w:rPr>
          <w:vertAlign w:val="baseline"/>
        </w:rPr>
        <w:t>between</w:t>
      </w:r>
      <w:r>
        <w:rPr>
          <w:spacing w:val="6"/>
          <w:vertAlign w:val="baseline"/>
        </w:rPr>
        <w:t> </w:t>
      </w:r>
      <w:r>
        <w:rPr>
          <w:vertAlign w:val="baseline"/>
        </w:rPr>
        <w:t>them</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spacing w:val="-2"/>
          <w:vertAlign w:val="baseline"/>
        </w:rPr>
        <w:t>partnership,</w:t>
      </w:r>
    </w:p>
    <w:p>
      <w:pPr>
        <w:pStyle w:val="BodyText"/>
        <w:spacing w:line="235" w:lineRule="auto"/>
        <w:ind w:left="165" w:right="167"/>
        <w:jc w:val="both"/>
      </w:pPr>
      <w:r>
        <w:rPr>
          <w:color w:val="005DA1"/>
          <w:u w:val="single" w:color="005DA1"/>
          <w:vertAlign w:val="superscript"/>
        </w:rPr>
        <w:t>81</w:t>
      </w:r>
      <w:r>
        <w:rPr>
          <w:color w:val="005DA1"/>
          <w:vertAlign w:val="baseline"/>
        </w:rPr>
        <w:t> </w:t>
      </w:r>
      <w:bookmarkStart w:name="_bookmark94" w:id="96"/>
      <w:bookmarkEnd w:id="96"/>
      <w:r>
        <w:rPr>
          <w:color w:val="005DA1"/>
          <w:spacing w:val="8"/>
          <w:vertAlign w:val="baseline"/>
        </w:rPr>
      </w:r>
      <w:r>
        <w:rPr>
          <w:vertAlign w:val="baseline"/>
        </w:rPr>
        <w:t>or, in the absence of such agreement, by regulations made under the Act governing </w:t>
      </w:r>
      <w:r>
        <w:rPr>
          <w:vertAlign w:val="baseline"/>
        </w:rPr>
        <w:t>such partnerships. </w:t>
      </w:r>
      <w:r>
        <w:rPr>
          <w:color w:val="005DA1"/>
          <w:u w:val="single" w:color="005DA1"/>
          <w:vertAlign w:val="superscript"/>
        </w:rPr>
        <w:t>82</w:t>
      </w:r>
    </w:p>
    <w:p>
      <w:pPr>
        <w:pStyle w:val="BodyText"/>
      </w:pPr>
    </w:p>
    <w:p>
      <w:pPr>
        <w:pStyle w:val="BodyText"/>
        <w:spacing w:before="33"/>
      </w:pPr>
    </w:p>
    <w:p>
      <w:pPr>
        <w:spacing w:before="0"/>
        <w:ind w:left="165" w:right="0" w:firstLine="0"/>
        <w:jc w:val="left"/>
        <w:rPr>
          <w:rFonts w:ascii="Arial"/>
          <w:b/>
          <w:sz w:val="18"/>
        </w:rPr>
      </w:pPr>
      <w:r>
        <w:rPr>
          <w:rFonts w:ascii="Arial"/>
          <w:b/>
          <w:sz w:val="18"/>
        </w:rPr>
        <w:t>Sporting </w:t>
      </w:r>
      <w:r>
        <w:rPr>
          <w:rFonts w:ascii="Arial"/>
          <w:b/>
          <w:spacing w:val="-2"/>
          <w:sz w:val="18"/>
        </w:rPr>
        <w:t>competitions</w:t>
      </w:r>
    </w:p>
    <w:p>
      <w:pPr>
        <w:pStyle w:val="BodyText"/>
        <w:spacing w:before="41"/>
        <w:rPr>
          <w:rFonts w:ascii="Arial"/>
          <w:b/>
          <w:sz w:val="18"/>
        </w:rPr>
      </w:pPr>
    </w:p>
    <w:p>
      <w:pPr>
        <w:pStyle w:val="Heading2"/>
      </w:pPr>
      <w:r>
        <w:rPr/>
        <w:t>18-</w:t>
      </w:r>
      <w:r>
        <w:rPr>
          <w:spacing w:val="-5"/>
        </w:rPr>
        <w:t>013</w:t>
      </w:r>
    </w:p>
    <w:p>
      <w:pPr>
        <w:pStyle w:val="BodyText"/>
        <w:spacing w:line="235" w:lineRule="auto" w:before="203"/>
        <w:ind w:left="165" w:right="167"/>
        <w:jc w:val="both"/>
      </w:pPr>
      <w:r>
        <w:rPr/>
        <w:t>Where a number of persons agree to enter into a competition subject to certain rules, it is </w:t>
      </w:r>
      <w:r>
        <w:rPr/>
        <w:t>often doubtful exactly who the parties to the resulting contract are. In one case it was held that the </w:t>
      </w:r>
      <w:bookmarkStart w:name="_bookmark95" w:id="97"/>
      <w:bookmarkEnd w:id="97"/>
      <w:r>
        <w:rPr/>
        <w:t>competitors</w:t>
      </w:r>
      <w:r>
        <w:rPr/>
        <w:t> in a regatta contracted not only with the committee of the organising club, but also with </w:t>
      </w:r>
      <w:bookmarkStart w:name="_bookmark96" w:id="98"/>
      <w:bookmarkEnd w:id="98"/>
      <w:r>
        <w:rPr/>
        <w:t>each</w:t>
      </w:r>
      <w:r>
        <w:rPr/>
        <w:t> other. </w:t>
      </w:r>
      <w:r>
        <w:rPr>
          <w:color w:val="005DA1"/>
          <w:u w:val="single" w:color="005DA1"/>
          <w:vertAlign w:val="superscript"/>
        </w:rPr>
        <w:t>83</w:t>
      </w:r>
      <w:r>
        <w:rPr>
          <w:color w:val="005DA1"/>
          <w:vertAlign w:val="baseline"/>
        </w:rPr>
        <w:t> </w:t>
      </w:r>
      <w:r>
        <w:rPr>
          <w:vertAlign w:val="baseline"/>
        </w:rPr>
        <w:t>But in another case it was held that persons who had entered horses for races organised by the Jockey Club had contracted only with the Club and not with each other. </w:t>
      </w:r>
      <w:r>
        <w:rPr>
          <w:color w:val="005DA1"/>
          <w:u w:val="single" w:color="005DA1"/>
          <w:vertAlign w:val="superscript"/>
        </w:rPr>
        <w:t>84</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Agency</w:t>
      </w:r>
    </w:p>
    <w:p>
      <w:pPr>
        <w:pStyle w:val="BodyText"/>
        <w:spacing w:before="41"/>
        <w:rPr>
          <w:rFonts w:ascii="Arial"/>
          <w:b/>
          <w:sz w:val="18"/>
        </w:rPr>
      </w:pPr>
    </w:p>
    <w:p>
      <w:pPr>
        <w:pStyle w:val="Heading2"/>
      </w:pPr>
      <w:r>
        <w:rPr/>
        <w:t>18-</w:t>
      </w:r>
      <w:r>
        <w:rPr>
          <w:spacing w:val="-5"/>
        </w:rPr>
        <w:t>014</w:t>
      </w:r>
    </w:p>
    <w:p>
      <w:pPr>
        <w:pStyle w:val="BodyText"/>
        <w:spacing w:line="235" w:lineRule="auto" w:before="203"/>
        <w:ind w:left="165" w:right="167"/>
        <w:jc w:val="both"/>
      </w:pPr>
      <w:r>
        <w:rPr/>
        <w:t>Where a person negotiates a contract as agent between his principal and a third party, the </w:t>
      </w:r>
      <w:r>
        <w:rPr/>
        <w:t>contract </w:t>
      </w:r>
      <w:bookmarkStart w:name="_bookmark97" w:id="99"/>
      <w:bookmarkEnd w:id="99"/>
      <w:r>
        <w:rPr/>
        <w:t>will</w:t>
      </w:r>
      <w:r>
        <w:rPr/>
        <w:t> generally be between the principal and the third party. But there are situations in which it is not clear whether a person acted as agent or on his own behalf.</w:t>
      </w:r>
      <w:r>
        <w:rPr>
          <w:spacing w:val="-1"/>
        </w:rPr>
        <w:t> </w:t>
      </w:r>
      <w:r>
        <w:rPr>
          <w:color w:val="005DA1"/>
          <w:u w:val="single" w:color="005DA1"/>
          <w:vertAlign w:val="superscript"/>
        </w:rPr>
        <w:t>85</w:t>
      </w:r>
      <w:r>
        <w:rPr>
          <w:color w:val="005DA1"/>
          <w:vertAlign w:val="baseline"/>
        </w:rPr>
        <w:t> </w:t>
      </w:r>
      <w:r>
        <w:rPr>
          <w:vertAlign w:val="baseline"/>
        </w:rPr>
        <w:t>In one case, a husband booked tickets </w:t>
      </w:r>
      <w:bookmarkStart w:name="_bookmark98" w:id="100"/>
      <w:bookmarkEnd w:id="100"/>
      <w:r>
        <w:rPr>
          <w:vertAlign w:val="baseline"/>
        </w:rPr>
        <w:t>on</w:t>
      </w:r>
      <w:r>
        <w:rPr>
          <w:vertAlign w:val="baseline"/>
        </w:rPr>
        <w:t> a cross-Channel ferry for himself and his wife and children. It was said that there was a “contract</w:t>
      </w:r>
      <w:r>
        <w:rPr>
          <w:spacing w:val="80"/>
          <w:vertAlign w:val="baseline"/>
        </w:rPr>
        <w:t> </w:t>
      </w:r>
      <w:r>
        <w:rPr>
          <w:vertAlign w:val="baseline"/>
        </w:rPr>
        <w:t>of carriage between the [wife] and the [carriers],” </w:t>
      </w:r>
      <w:r>
        <w:rPr>
          <w:color w:val="005DA1"/>
          <w:u w:val="single" w:color="005DA1"/>
          <w:vertAlign w:val="superscript"/>
        </w:rPr>
        <w:t>86</w:t>
      </w:r>
      <w:r>
        <w:rPr>
          <w:color w:val="005DA1"/>
          <w:vertAlign w:val="baseline"/>
        </w:rPr>
        <w:t> </w:t>
      </w:r>
      <w:r>
        <w:rPr>
          <w:vertAlign w:val="baseline"/>
        </w:rPr>
        <w:t>presumably made by the husband as his wife’s agent. Where a husband and wife lunched together at a restaurant, it was again held that there was a </w:t>
      </w:r>
      <w:bookmarkStart w:name="_bookmark99" w:id="101"/>
      <w:bookmarkEnd w:id="101"/>
      <w:r>
        <w:rPr>
          <w:vertAlign w:val="baseline"/>
        </w:rPr>
        <w:t>contract</w:t>
      </w:r>
      <w:r>
        <w:rPr>
          <w:vertAlign w:val="baseline"/>
        </w:rPr>
        <w:t> between the wife and the proprietor, though on the different ground that the husband and</w:t>
      </w:r>
      <w:r>
        <w:rPr>
          <w:spacing w:val="40"/>
          <w:vertAlign w:val="baseline"/>
        </w:rPr>
        <w:t> </w:t>
      </w:r>
      <w:r>
        <w:rPr>
          <w:vertAlign w:val="baseline"/>
        </w:rPr>
        <w:t>wife had each made a separate contract with the proprietor. </w:t>
      </w:r>
      <w:r>
        <w:rPr>
          <w:color w:val="005DA1"/>
          <w:u w:val="single" w:color="005DA1"/>
          <w:vertAlign w:val="superscript"/>
        </w:rPr>
        <w:t>87</w:t>
      </w:r>
      <w:r>
        <w:rPr>
          <w:color w:val="005DA1"/>
          <w:vertAlign w:val="baseline"/>
        </w:rPr>
        <w:t> </w:t>
      </w:r>
      <w:r>
        <w:rPr>
          <w:vertAlign w:val="baseline"/>
        </w:rPr>
        <w:t>But if there were no such separate </w:t>
      </w:r>
      <w:bookmarkStart w:name="_bookmark100" w:id="102"/>
      <w:bookmarkEnd w:id="102"/>
      <w:r>
        <w:rPr>
          <w:vertAlign w:val="baseline"/>
        </w:rPr>
        <w:t>contracts</w:t>
      </w:r>
      <w:r>
        <w:rPr>
          <w:vertAlign w:val="baseline"/>
        </w:rPr>
        <w:t> and the host on such an occasion did not act as agent, it has been said that there would be a contract only between him and the restaurant proprietor. </w:t>
      </w:r>
      <w:r>
        <w:rPr>
          <w:color w:val="005DA1"/>
          <w:u w:val="single" w:color="005DA1"/>
          <w:vertAlign w:val="superscript"/>
        </w:rPr>
        <w:t>88</w:t>
      </w:r>
    </w:p>
    <w:p>
      <w:pPr>
        <w:pStyle w:val="BodyText"/>
        <w:spacing w:after="0" w:line="235" w:lineRule="auto"/>
        <w:jc w:val="both"/>
        <w:sectPr>
          <w:pgSz w:w="11900" w:h="16840"/>
          <w:pgMar w:header="971" w:footer="0" w:top="1160" w:bottom="280" w:left="1275" w:right="1275"/>
        </w:sectPr>
      </w:pPr>
    </w:p>
    <w:p>
      <w:pPr>
        <w:pStyle w:val="BodyText"/>
        <w:rPr>
          <w:sz w:val="18"/>
        </w:rPr>
      </w:pPr>
    </w:p>
    <w:p>
      <w:pPr>
        <w:pStyle w:val="BodyText"/>
        <w:spacing w:before="119"/>
        <w:rPr>
          <w:sz w:val="18"/>
        </w:rPr>
      </w:pPr>
    </w:p>
    <w:p>
      <w:pPr>
        <w:spacing w:before="0"/>
        <w:ind w:left="165" w:right="0" w:firstLine="0"/>
        <w:jc w:val="left"/>
        <w:rPr>
          <w:rFonts w:ascii="Arial"/>
          <w:b/>
          <w:sz w:val="18"/>
        </w:rPr>
      </w:pPr>
      <w:r>
        <w:rPr>
          <w:rFonts w:ascii="Arial"/>
          <w:b/>
          <w:sz w:val="18"/>
        </w:rPr>
        <w:t>Sub-</w:t>
      </w:r>
      <w:r>
        <w:rPr>
          <w:rFonts w:ascii="Arial"/>
          <w:b/>
          <w:spacing w:val="-2"/>
          <w:sz w:val="18"/>
        </w:rPr>
        <w:t>Agency</w:t>
      </w:r>
    </w:p>
    <w:p>
      <w:pPr>
        <w:pStyle w:val="BodyText"/>
        <w:spacing w:before="41"/>
        <w:rPr>
          <w:rFonts w:ascii="Arial"/>
          <w:b/>
          <w:sz w:val="18"/>
        </w:rPr>
      </w:pPr>
    </w:p>
    <w:p>
      <w:pPr>
        <w:pStyle w:val="Heading2"/>
        <w:spacing w:before="1"/>
      </w:pPr>
      <w:r>
        <w:rPr/>
        <w:t>18-</w:t>
      </w:r>
      <w:r>
        <w:rPr>
          <w:spacing w:val="-5"/>
        </w:rPr>
        <w:t>015</w:t>
      </w:r>
    </w:p>
    <w:p>
      <w:pPr>
        <w:pStyle w:val="BodyText"/>
        <w:spacing w:line="235" w:lineRule="auto" w:before="202"/>
        <w:ind w:left="165" w:right="167"/>
        <w:jc w:val="both"/>
      </w:pPr>
      <w:bookmarkStart w:name="_bookmark101" w:id="103"/>
      <w:bookmarkEnd w:id="103"/>
      <w:r>
        <w:rPr/>
      </w:r>
      <w:r>
        <w:rPr/>
        <w:t>Similar problems arise where an agent employs a sub-agent. </w:t>
      </w:r>
      <w:r>
        <w:rPr>
          <w:color w:val="005DA1"/>
          <w:u w:val="single" w:color="005DA1"/>
          <w:vertAlign w:val="superscript"/>
        </w:rPr>
        <w:t>89</w:t>
      </w:r>
      <w:r>
        <w:rPr>
          <w:color w:val="005DA1"/>
          <w:vertAlign w:val="baseline"/>
        </w:rPr>
        <w:t> </w:t>
      </w:r>
      <w:r>
        <w:rPr>
          <w:vertAlign w:val="baseline"/>
        </w:rPr>
        <w:t>In some such cases there is privity of contract between principal and sub-agent, while in others the sub-agent is in a </w:t>
      </w:r>
      <w:r>
        <w:rPr>
          <w:vertAlign w:val="baseline"/>
        </w:rPr>
        <w:t>contractual</w:t>
      </w:r>
      <w:r>
        <w:rPr>
          <w:spacing w:val="80"/>
          <w:vertAlign w:val="baseline"/>
        </w:rPr>
        <w:t> </w:t>
      </w:r>
      <w:bookmarkStart w:name="_bookmark102" w:id="104"/>
      <w:bookmarkEnd w:id="104"/>
      <w:r>
        <w:rPr>
          <w:vertAlign w:val="baseline"/>
        </w:rPr>
        <w:t>relationship</w:t>
      </w:r>
      <w:r>
        <w:rPr>
          <w:vertAlign w:val="baseline"/>
        </w:rPr>
        <w:t> only with the agent who employed him. In border-line cases of this kind, it is again clear that there is a contract, but doubtful who the parties to the contract are. </w:t>
      </w:r>
      <w:r>
        <w:rPr>
          <w:color w:val="005DA1"/>
          <w:u w:val="single" w:color="005DA1"/>
          <w:vertAlign w:val="superscript"/>
        </w:rPr>
        <w:t>90</w:t>
      </w:r>
    </w:p>
    <w:p>
      <w:pPr>
        <w:pStyle w:val="BodyText"/>
      </w:pPr>
    </w:p>
    <w:p>
      <w:pPr>
        <w:pStyle w:val="BodyText"/>
        <w:spacing w:before="37"/>
      </w:pPr>
    </w:p>
    <w:p>
      <w:pPr>
        <w:spacing w:before="0"/>
        <w:ind w:left="165" w:right="0" w:firstLine="0"/>
        <w:jc w:val="left"/>
        <w:rPr>
          <w:rFonts w:ascii="Arial"/>
          <w:b/>
          <w:sz w:val="18"/>
        </w:rPr>
      </w:pPr>
      <w:r>
        <w:rPr>
          <w:rFonts w:ascii="Arial"/>
          <w:b/>
          <w:sz w:val="18"/>
        </w:rPr>
        <w:t>Mortgage </w:t>
      </w:r>
      <w:r>
        <w:rPr>
          <w:rFonts w:ascii="Arial"/>
          <w:b/>
          <w:spacing w:val="-2"/>
          <w:sz w:val="18"/>
        </w:rPr>
        <w:t>valuations</w:t>
      </w:r>
    </w:p>
    <w:p>
      <w:pPr>
        <w:pStyle w:val="BodyText"/>
        <w:spacing w:before="42"/>
        <w:rPr>
          <w:rFonts w:ascii="Arial"/>
          <w:b/>
          <w:sz w:val="18"/>
        </w:rPr>
      </w:pPr>
    </w:p>
    <w:p>
      <w:pPr>
        <w:pStyle w:val="Heading2"/>
      </w:pPr>
      <w:r>
        <w:rPr/>
        <w:t>18-</w:t>
      </w:r>
      <w:r>
        <w:rPr>
          <w:spacing w:val="-5"/>
        </w:rPr>
        <w:t>016</w:t>
      </w:r>
    </w:p>
    <w:p>
      <w:pPr>
        <w:pStyle w:val="BodyText"/>
        <w:spacing w:line="235" w:lineRule="auto" w:before="202"/>
        <w:ind w:left="164" w:right="168"/>
        <w:jc w:val="both"/>
      </w:pPr>
      <w:r>
        <w:rPr/>
        <w:t>Problems as to parties can also arise where a house is valued at the instigation of a building </w:t>
      </w:r>
      <w:r>
        <w:rPr/>
        <w:t>society after a prospective purchaser has applied to it for a loan which is to be secured by a mortgage on the house. Where the valuation is carried out by a full-time employee of the building society, there will usually be a contract between the society and its employee, and one between the society and the </w:t>
      </w:r>
      <w:bookmarkStart w:name="_bookmark103" w:id="105"/>
      <w:bookmarkEnd w:id="105"/>
      <w:r>
        <w:rPr/>
        <w:t>borrower</w:t>
      </w:r>
      <w:r>
        <w:rPr>
          <w:spacing w:val="-2"/>
        </w:rPr>
        <w:t> </w:t>
      </w:r>
      <w:r>
        <w:rPr/>
        <w:t>(under</w:t>
      </w:r>
      <w:r>
        <w:rPr>
          <w:spacing w:val="-2"/>
        </w:rPr>
        <w:t> </w:t>
      </w:r>
      <w:r>
        <w:rPr/>
        <w:t>which</w:t>
      </w:r>
      <w:r>
        <w:rPr>
          <w:spacing w:val="-2"/>
        </w:rPr>
        <w:t> </w:t>
      </w:r>
      <w:r>
        <w:rPr/>
        <w:t>the</w:t>
      </w:r>
      <w:r>
        <w:rPr>
          <w:spacing w:val="-2"/>
        </w:rPr>
        <w:t> </w:t>
      </w:r>
      <w:r>
        <w:rPr/>
        <w:t>society</w:t>
      </w:r>
      <w:r>
        <w:rPr>
          <w:spacing w:val="-2"/>
        </w:rPr>
        <w:t> </w:t>
      </w:r>
      <w:r>
        <w:rPr/>
        <w:t>is</w:t>
      </w:r>
      <w:r>
        <w:rPr>
          <w:spacing w:val="-2"/>
        </w:rPr>
        <w:t> </w:t>
      </w:r>
      <w:r>
        <w:rPr/>
        <w:t>likely</w:t>
      </w:r>
      <w:r>
        <w:rPr>
          <w:spacing w:val="-2"/>
        </w:rPr>
        <w:t> </w:t>
      </w:r>
      <w:r>
        <w:rPr/>
        <w:t>to</w:t>
      </w:r>
      <w:r>
        <w:rPr>
          <w:spacing w:val="-2"/>
        </w:rPr>
        <w:t> </w:t>
      </w:r>
      <w:r>
        <w:rPr/>
        <w:t>be</w:t>
      </w:r>
      <w:r>
        <w:rPr>
          <w:spacing w:val="-2"/>
        </w:rPr>
        <w:t> </w:t>
      </w:r>
      <w:r>
        <w:rPr/>
        <w:t>vicariously</w:t>
      </w:r>
      <w:r>
        <w:rPr>
          <w:spacing w:val="-2"/>
        </w:rPr>
        <w:t> </w:t>
      </w:r>
      <w:r>
        <w:rPr/>
        <w:t>liable</w:t>
      </w:r>
      <w:r>
        <w:rPr>
          <w:spacing w:val="-2"/>
        </w:rPr>
        <w:t> </w:t>
      </w:r>
      <w:r>
        <w:rPr/>
        <w:t>for</w:t>
      </w:r>
      <w:r>
        <w:rPr>
          <w:spacing w:val="-2"/>
        </w:rPr>
        <w:t> </w:t>
      </w:r>
      <w:r>
        <w:rPr/>
        <w:t>the</w:t>
      </w:r>
      <w:r>
        <w:rPr>
          <w:spacing w:val="-2"/>
        </w:rPr>
        <w:t> </w:t>
      </w:r>
      <w:r>
        <w:rPr/>
        <w:t>valuer’s</w:t>
      </w:r>
      <w:r>
        <w:rPr>
          <w:spacing w:val="-2"/>
        </w:rPr>
        <w:t> </w:t>
      </w:r>
      <w:r>
        <w:rPr/>
        <w:t>negligence)</w:t>
      </w:r>
      <w:r>
        <w:rPr>
          <w:spacing w:val="-2"/>
        </w:rPr>
        <w:t> </w:t>
      </w:r>
      <w:r>
        <w:rPr/>
        <w:t>but</w:t>
      </w:r>
      <w:r>
        <w:rPr>
          <w:spacing w:val="-2"/>
        </w:rPr>
        <w:t> </w:t>
      </w:r>
      <w:r>
        <w:rPr/>
        <w:t>none </w:t>
      </w:r>
      <w:bookmarkStart w:name="_bookmark104" w:id="106"/>
      <w:bookmarkEnd w:id="106"/>
      <w:r>
        <w:rPr/>
        <w:t>between</w:t>
      </w:r>
      <w:r>
        <w:rPr/>
        <w:t> the valuer and the borrower. </w:t>
      </w:r>
      <w:r>
        <w:rPr>
          <w:color w:val="005DA1"/>
          <w:u w:val="single" w:color="005DA1"/>
          <w:vertAlign w:val="superscript"/>
        </w:rPr>
        <w:t>91</w:t>
      </w:r>
      <w:r>
        <w:rPr>
          <w:color w:val="005DA1"/>
          <w:vertAlign w:val="baseline"/>
        </w:rPr>
        <w:t> </w:t>
      </w:r>
      <w:r>
        <w:rPr>
          <w:vertAlign w:val="baseline"/>
        </w:rPr>
        <w:t>Where, on the other hand, the valuation is carried out by an independent valuer, there may be a contract between him and the borrower </w:t>
      </w:r>
      <w:r>
        <w:rPr>
          <w:color w:val="005DA1"/>
          <w:u w:val="single" w:color="005DA1"/>
          <w:vertAlign w:val="superscript"/>
        </w:rPr>
        <w:t>92</w:t>
      </w:r>
      <w:r>
        <w:rPr>
          <w:color w:val="005DA1"/>
          <w:vertAlign w:val="baseline"/>
        </w:rPr>
        <w:t> </w:t>
      </w:r>
      <w:r>
        <w:rPr>
          <w:vertAlign w:val="baseline"/>
        </w:rPr>
        <w:t>but this is not necessarily the case. If, for example, the independent valuer were appointed and paid by the society and reported directly to it, there is unlikely to be any contractual relationship between borrower and </w:t>
      </w:r>
      <w:bookmarkStart w:name="_bookmark105" w:id="107"/>
      <w:bookmarkEnd w:id="107"/>
      <w:r>
        <w:rPr>
          <w:vertAlign w:val="baseline"/>
        </w:rPr>
        <w:t>valuer,</w:t>
      </w:r>
      <w:r>
        <w:rPr>
          <w:vertAlign w:val="baseline"/>
        </w:rPr>
        <w:t> though the valuer will be liable to the borrower in tort if as a result of his negligence his report is inaccurate or incomplete and the borrower suffers loss. </w:t>
      </w:r>
      <w:r>
        <w:rPr>
          <w:color w:val="005DA1"/>
          <w:u w:val="single" w:color="005DA1"/>
          <w:vertAlign w:val="superscript"/>
        </w:rPr>
        <w:t>93</w:t>
      </w:r>
    </w:p>
    <w:p>
      <w:pPr>
        <w:pStyle w:val="BodyText"/>
        <w:spacing w:before="77"/>
      </w:pPr>
    </w:p>
    <w:p>
      <w:pPr>
        <w:pStyle w:val="Heading2"/>
        <w:spacing w:before="1"/>
      </w:pPr>
      <w:r>
        <w:rPr/>
        <w:t>18-</w:t>
      </w:r>
      <w:r>
        <w:rPr>
          <w:spacing w:val="-5"/>
        </w:rPr>
        <w:t>017</w:t>
      </w:r>
    </w:p>
    <w:p>
      <w:pPr>
        <w:pStyle w:val="BodyText"/>
        <w:spacing w:line="235" w:lineRule="auto" w:before="202"/>
        <w:ind w:left="165" w:right="167"/>
        <w:jc w:val="both"/>
      </w:pPr>
      <w:r>
        <w:rPr/>
        <w:t>The reason why in the first of the situations described in para.18-016 above there is no </w:t>
      </w:r>
      <w:r>
        <w:rPr/>
        <w:t>separate contract between the valuer and the borrower is presumably that the valuer has no intention to </w:t>
      </w:r>
      <w:bookmarkStart w:name="_bookmark106" w:id="108"/>
      <w:bookmarkEnd w:id="108"/>
      <w:r>
        <w:rPr/>
        <w:t>contract</w:t>
      </w:r>
      <w:r>
        <w:rPr/>
        <w:t> with the borrower since he believes that he is merely carrying out his duties under his </w:t>
      </w:r>
      <w:bookmarkStart w:name="_bookmark107" w:id="109"/>
      <w:bookmarkEnd w:id="109"/>
      <w:r>
        <w:rPr/>
        <w:t>contract</w:t>
      </w:r>
      <w:r>
        <w:rPr/>
        <w:t> with the society. </w:t>
      </w:r>
      <w:r>
        <w:rPr>
          <w:color w:val="005DA1"/>
          <w:u w:val="single" w:color="005DA1"/>
          <w:vertAlign w:val="superscript"/>
        </w:rPr>
        <w:t>94</w:t>
      </w:r>
      <w:r>
        <w:rPr>
          <w:color w:val="005DA1"/>
          <w:vertAlign w:val="baseline"/>
        </w:rPr>
        <w:t> </w:t>
      </w:r>
      <w:r>
        <w:rPr>
          <w:vertAlign w:val="baseline"/>
        </w:rPr>
        <w:t>The further suggestion that, in this situation, there is “seemingly no consideration for a contract by the valuer as principal” </w:t>
      </w:r>
      <w:r>
        <w:rPr>
          <w:color w:val="005DA1"/>
          <w:u w:val="single" w:color="005DA1"/>
          <w:vertAlign w:val="superscript"/>
        </w:rPr>
        <w:t>95</w:t>
      </w:r>
      <w:r>
        <w:rPr>
          <w:color w:val="005DA1"/>
          <w:vertAlign w:val="baseline"/>
        </w:rPr>
        <w:t> </w:t>
      </w:r>
      <w:r>
        <w:rPr>
          <w:vertAlign w:val="baseline"/>
        </w:rPr>
        <w:t>is, with respect, harder to follow. It cannot mean that there is no consideration because the valuer is doing no more than performing his contract </w:t>
      </w:r>
      <w:bookmarkStart w:name="_bookmark108" w:id="110"/>
      <w:bookmarkEnd w:id="110"/>
      <w:r>
        <w:rPr>
          <w:vertAlign w:val="baseline"/>
        </w:rPr>
        <w:t>of</w:t>
      </w:r>
      <w:r>
        <w:rPr>
          <w:vertAlign w:val="baseline"/>
        </w:rPr>
        <w:t> employment, for it is now settled that the performance of a contractual duty owed to a third party can constitute consideration, </w:t>
      </w:r>
      <w:r>
        <w:rPr>
          <w:color w:val="005DA1"/>
          <w:u w:val="single" w:color="005DA1"/>
          <w:vertAlign w:val="superscript"/>
        </w:rPr>
        <w:t>96</w:t>
      </w:r>
      <w:r>
        <w:rPr>
          <w:color w:val="005DA1"/>
          <w:vertAlign w:val="baseline"/>
        </w:rPr>
        <w:t> </w:t>
      </w:r>
      <w:r>
        <w:rPr>
          <w:vertAlign w:val="baseline"/>
        </w:rPr>
        <w:t>and in any event the question is whether there is consideration for the valuer’s promise, and this consideration must move, not from him, but from the purchaser. Prima facie, such consideration is provided by the payment of the survey fee by the purchaser to the</w:t>
      </w:r>
      <w:r>
        <w:rPr>
          <w:spacing w:val="80"/>
          <w:vertAlign w:val="baseline"/>
        </w:rPr>
        <w:t> </w:t>
      </w:r>
      <w:r>
        <w:rPr>
          <w:vertAlign w:val="baseline"/>
        </w:rPr>
        <w:t>society, or by his entering into the mortgage transaction; and it is immaterial that this consideration </w:t>
      </w:r>
      <w:bookmarkStart w:name="_bookmark109" w:id="111"/>
      <w:bookmarkEnd w:id="111"/>
      <w:r>
        <w:rPr>
          <w:vertAlign w:val="baseline"/>
        </w:rPr>
        <w:t>does</w:t>
      </w:r>
      <w:r>
        <w:rPr>
          <w:vertAlign w:val="baseline"/>
        </w:rPr>
        <w:t> not move (at least directly) to the valuer; for so long as consideration moves from the promisee</w:t>
      </w:r>
      <w:r>
        <w:rPr>
          <w:spacing w:val="80"/>
          <w:vertAlign w:val="baseline"/>
        </w:rPr>
        <w:t> </w:t>
      </w:r>
      <w:r>
        <w:rPr>
          <w:vertAlign w:val="baseline"/>
        </w:rPr>
        <w:t>it need not move to the promisor. </w:t>
      </w:r>
      <w:r>
        <w:rPr>
          <w:color w:val="005DA1"/>
          <w:u w:val="single" w:color="005DA1"/>
          <w:vertAlign w:val="superscript"/>
        </w:rPr>
        <w:t>97</w:t>
      </w:r>
      <w:r>
        <w:rPr>
          <w:color w:val="005DA1"/>
          <w:vertAlign w:val="baseline"/>
        </w:rPr>
        <w:t> </w:t>
      </w:r>
      <w:r>
        <w:rPr>
          <w:vertAlign w:val="baseline"/>
        </w:rPr>
        <w:t>Nor would such consideration be past, even if the fee had been paid before the valuer had been engaged; for the test for deciding whether consideration is past is a </w:t>
      </w:r>
      <w:bookmarkStart w:name="_bookmark110" w:id="112"/>
      <w:bookmarkEnd w:id="112"/>
      <w:r>
        <w:rPr>
          <w:vertAlign w:val="baseline"/>
        </w:rPr>
        <w:t>functional</w:t>
      </w:r>
      <w:r>
        <w:rPr>
          <w:vertAlign w:val="baseline"/>
        </w:rPr>
        <w:t> (rather than a strictly chronological) one, which is satisfied in the situation here under discussion</w:t>
      </w:r>
      <w:r>
        <w:rPr>
          <w:spacing w:val="12"/>
          <w:vertAlign w:val="baseline"/>
        </w:rPr>
        <w:t> </w:t>
      </w:r>
      <w:r>
        <w:rPr>
          <w:vertAlign w:val="baseline"/>
        </w:rPr>
        <w:t>since</w:t>
      </w:r>
      <w:r>
        <w:rPr>
          <w:spacing w:val="14"/>
          <w:vertAlign w:val="baseline"/>
        </w:rPr>
        <w:t> </w:t>
      </w:r>
      <w:r>
        <w:rPr>
          <w:vertAlign w:val="baseline"/>
        </w:rPr>
        <w:t>the</w:t>
      </w:r>
      <w:r>
        <w:rPr>
          <w:spacing w:val="14"/>
          <w:vertAlign w:val="baseline"/>
        </w:rPr>
        <w:t> </w:t>
      </w:r>
      <w:r>
        <w:rPr>
          <w:vertAlign w:val="baseline"/>
        </w:rPr>
        <w:t>consideration</w:t>
      </w:r>
      <w:r>
        <w:rPr>
          <w:spacing w:val="14"/>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promise</w:t>
      </w:r>
      <w:r>
        <w:rPr>
          <w:spacing w:val="14"/>
          <w:vertAlign w:val="baseline"/>
        </w:rPr>
        <w:t> </w:t>
      </w:r>
      <w:r>
        <w:rPr>
          <w:vertAlign w:val="baseline"/>
        </w:rPr>
        <w:t>given</w:t>
      </w:r>
      <w:r>
        <w:rPr>
          <w:spacing w:val="14"/>
          <w:vertAlign w:val="baseline"/>
        </w:rPr>
        <w:t> </w:t>
      </w:r>
      <w:r>
        <w:rPr>
          <w:vertAlign w:val="baseline"/>
        </w:rPr>
        <w:t>in</w:t>
      </w:r>
      <w:r>
        <w:rPr>
          <w:spacing w:val="14"/>
          <w:vertAlign w:val="baseline"/>
        </w:rPr>
        <w:t> </w:t>
      </w:r>
      <w:r>
        <w:rPr>
          <w:vertAlign w:val="baseline"/>
        </w:rPr>
        <w:t>return</w:t>
      </w:r>
      <w:r>
        <w:rPr>
          <w:spacing w:val="14"/>
          <w:vertAlign w:val="baseline"/>
        </w:rPr>
        <w:t> </w:t>
      </w:r>
      <w:r>
        <w:rPr>
          <w:vertAlign w:val="baseline"/>
        </w:rPr>
        <w:t>are</w:t>
      </w:r>
      <w:r>
        <w:rPr>
          <w:spacing w:val="14"/>
          <w:vertAlign w:val="baseline"/>
        </w:rPr>
        <w:t> </w:t>
      </w:r>
      <w:r>
        <w:rPr>
          <w:vertAlign w:val="baseline"/>
        </w:rPr>
        <w:t>substantially</w:t>
      </w:r>
      <w:r>
        <w:rPr>
          <w:spacing w:val="14"/>
          <w:vertAlign w:val="baseline"/>
        </w:rPr>
        <w:t> </w:t>
      </w:r>
      <w:r>
        <w:rPr>
          <w:vertAlign w:val="baseline"/>
        </w:rPr>
        <w:t>one</w:t>
      </w:r>
      <w:r>
        <w:rPr>
          <w:spacing w:val="14"/>
          <w:vertAlign w:val="baseline"/>
        </w:rPr>
        <w:t> </w:t>
      </w:r>
      <w:r>
        <w:rPr>
          <w:spacing w:val="-2"/>
          <w:vertAlign w:val="baseline"/>
        </w:rPr>
        <w:t>transaction.</w:t>
      </w:r>
    </w:p>
    <w:p>
      <w:pPr>
        <w:pStyle w:val="BodyText"/>
        <w:spacing w:line="235" w:lineRule="auto"/>
        <w:ind w:left="165" w:right="167"/>
        <w:jc w:val="both"/>
      </w:pPr>
      <w:r>
        <w:rPr>
          <w:color w:val="005DA1"/>
          <w:u w:val="single" w:color="005DA1"/>
          <w:vertAlign w:val="superscript"/>
        </w:rPr>
        <w:t>98</w:t>
      </w:r>
      <w:r>
        <w:rPr>
          <w:color w:val="005DA1"/>
          <w:vertAlign w:val="baseline"/>
        </w:rPr>
        <w:t> </w:t>
      </w:r>
      <w:bookmarkStart w:name="_bookmark111" w:id="113"/>
      <w:bookmarkEnd w:id="113"/>
      <w:r>
        <w:rPr>
          <w:color w:val="005DA1"/>
          <w:spacing w:val="13"/>
          <w:vertAlign w:val="baseline"/>
        </w:rPr>
      </w:r>
      <w:r>
        <w:rPr>
          <w:vertAlign w:val="baseline"/>
        </w:rPr>
        <w:t>Indeed, the assumption that it is so satisfied is supported by the view that there can be a contract between an independent valuer and the purchaser, </w:t>
      </w:r>
      <w:r>
        <w:rPr>
          <w:color w:val="005DA1"/>
          <w:u w:val="single" w:color="005DA1"/>
          <w:vertAlign w:val="superscript"/>
        </w:rPr>
        <w:t>99</w:t>
      </w:r>
      <w:r>
        <w:rPr>
          <w:color w:val="005DA1"/>
          <w:vertAlign w:val="baseline"/>
        </w:rPr>
        <w:t> </w:t>
      </w:r>
      <w:r>
        <w:rPr>
          <w:vertAlign w:val="baseline"/>
        </w:rPr>
        <w:t>since the consideration which moves from </w:t>
      </w:r>
      <w:r>
        <w:rPr>
          <w:vertAlign w:val="baseline"/>
        </w:rPr>
        <w:t>the purchaser is exactly the same whether the valuer is an employee of the building society or an independent person.</w:t>
      </w:r>
    </w:p>
    <w:p>
      <w:pPr>
        <w:pStyle w:val="BodyText"/>
      </w:pPr>
    </w:p>
    <w:p>
      <w:pPr>
        <w:pStyle w:val="BodyText"/>
        <w:spacing w:before="32"/>
      </w:pP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182078</wp:posOffset>
                </wp:positionV>
                <wp:extent cx="572452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36879pt;width:450.75pt;height:.1pt;mso-position-horizontal-relative:page;mso-position-vertical-relative:paragraph;z-index:-15717888;mso-wrap-distance-left:0;mso-wrap-distance-right:0" id="docshape7" coordorigin="1440,287" coordsize="9015,0" path="m1440,287l10454,287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43264">
                <wp:simplePos x="0" y="0"/>
                <wp:positionH relativeFrom="page">
                  <wp:posOffset>914400</wp:posOffset>
                </wp:positionH>
                <wp:positionV relativeFrom="paragraph">
                  <wp:posOffset>97116</wp:posOffset>
                </wp:positionV>
                <wp:extent cx="4953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73216"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0416">
            <wp:simplePos x="0" y="0"/>
            <wp:positionH relativeFrom="page">
              <wp:posOffset>1257846</wp:posOffset>
            </wp:positionH>
            <wp:positionV relativeFrom="paragraph">
              <wp:posOffset>160306</wp:posOffset>
            </wp:positionV>
            <wp:extent cx="107988" cy="10798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2" w:id="114"/>
      <w:bookmarkEnd w:id="114"/>
      <w:r>
        <w:rPr/>
      </w:r>
      <w:hyperlink w:history="true" w:anchor="_bookmark34">
        <w:r>
          <w:rPr>
            <w:color w:val="005DA1"/>
            <w:spacing w:val="-5"/>
            <w:sz w:val="14"/>
            <w:u w:val="single" w:color="005DA1"/>
          </w:rPr>
          <w:t>21</w:t>
        </w:r>
      </w:hyperlink>
      <w:r>
        <w:rPr>
          <w:spacing w:val="-5"/>
          <w:sz w:val="14"/>
        </w:rPr>
        <w:t>.</w:t>
      </w:r>
    </w:p>
    <w:p>
      <w:pPr>
        <w:spacing w:line="235" w:lineRule="auto" w:before="212"/>
        <w:ind w:left="165" w:right="0" w:firstLine="170"/>
        <w:jc w:val="left"/>
        <w:rPr>
          <w:rFonts w:ascii="Arial" w:hAnsi="Arial"/>
          <w:i/>
          <w:sz w:val="20"/>
        </w:rPr>
      </w:pPr>
      <w:r>
        <w:rPr/>
        <w:br w:type="column"/>
      </w:r>
      <w:r>
        <w:rPr>
          <w:sz w:val="20"/>
        </w:rPr>
        <w:t>e.g.</w:t>
      </w:r>
      <w:r>
        <w:rPr>
          <w:spacing w:val="40"/>
          <w:sz w:val="20"/>
        </w:rPr>
        <w:t> </w:t>
      </w:r>
      <w:r>
        <w:rPr>
          <w:rFonts w:ascii="Arial" w:hAnsi="Arial"/>
          <w:i/>
          <w:sz w:val="20"/>
        </w:rPr>
        <w:t>Stag</w:t>
      </w:r>
      <w:r>
        <w:rPr>
          <w:rFonts w:ascii="Arial" w:hAnsi="Arial"/>
          <w:i/>
          <w:spacing w:val="40"/>
          <w:sz w:val="20"/>
        </w:rPr>
        <w:t> </w:t>
      </w:r>
      <w:r>
        <w:rPr>
          <w:rFonts w:ascii="Arial" w:hAnsi="Arial"/>
          <w:i/>
          <w:sz w:val="20"/>
        </w:rPr>
        <w:t>Line</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Tyne</w:t>
      </w:r>
      <w:r>
        <w:rPr>
          <w:rFonts w:ascii="Arial" w:hAnsi="Arial"/>
          <w:i/>
          <w:spacing w:val="40"/>
          <w:sz w:val="20"/>
        </w:rPr>
        <w:t> </w:t>
      </w:r>
      <w:r>
        <w:rPr>
          <w:rFonts w:ascii="Arial" w:hAnsi="Arial"/>
          <w:i/>
          <w:sz w:val="20"/>
        </w:rPr>
        <w:t>Ship</w:t>
      </w:r>
      <w:r>
        <w:rPr>
          <w:rFonts w:ascii="Arial" w:hAnsi="Arial"/>
          <w:i/>
          <w:spacing w:val="40"/>
          <w:sz w:val="20"/>
        </w:rPr>
        <w:t> </w:t>
      </w:r>
      <w:r>
        <w:rPr>
          <w:rFonts w:ascii="Arial" w:hAnsi="Arial"/>
          <w:i/>
          <w:sz w:val="20"/>
        </w:rPr>
        <w:t>Repair</w:t>
      </w:r>
      <w:r>
        <w:rPr>
          <w:rFonts w:ascii="Arial" w:hAnsi="Arial"/>
          <w:i/>
          <w:spacing w:val="40"/>
          <w:sz w:val="20"/>
        </w:rPr>
        <w:t> </w:t>
      </w:r>
      <w:r>
        <w:rPr>
          <w:rFonts w:ascii="Arial" w:hAnsi="Arial"/>
          <w:i/>
          <w:sz w:val="20"/>
        </w:rPr>
        <w:t>Group</w:t>
      </w:r>
      <w:r>
        <w:rPr>
          <w:rFonts w:ascii="Arial" w:hAnsi="Arial"/>
          <w:i/>
          <w:spacing w:val="40"/>
          <w:sz w:val="20"/>
        </w:rPr>
        <w:t> </w:t>
      </w:r>
      <w:r>
        <w:rPr>
          <w:rFonts w:ascii="Arial" w:hAnsi="Arial"/>
          <w:i/>
          <w:sz w:val="20"/>
        </w:rPr>
        <w:t>(The</w:t>
      </w:r>
      <w:r>
        <w:rPr>
          <w:rFonts w:ascii="Arial" w:hAnsi="Arial"/>
          <w:i/>
          <w:spacing w:val="40"/>
          <w:sz w:val="20"/>
        </w:rPr>
        <w:t> </w:t>
      </w:r>
      <w:r>
        <w:rPr>
          <w:rFonts w:ascii="Arial" w:hAnsi="Arial"/>
          <w:i/>
          <w:sz w:val="20"/>
        </w:rPr>
        <w:t>Zinnia)</w:t>
      </w:r>
      <w:r>
        <w:rPr>
          <w:rFonts w:ascii="Arial" w:hAnsi="Arial"/>
          <w:i/>
          <w:spacing w:val="40"/>
          <w:sz w:val="20"/>
        </w:rPr>
        <w:t> </w:t>
      </w:r>
      <w:r>
        <w:rPr>
          <w:rFonts w:ascii="Arial" w:hAnsi="Arial"/>
          <w:i/>
          <w:sz w:val="20"/>
        </w:rPr>
        <w:t>[1984]</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211</w:t>
      </w:r>
      <w:r>
        <w:rPr>
          <w:sz w:val="20"/>
        </w:rPr>
        <w:t>;</w:t>
      </w:r>
      <w:r>
        <w:rPr>
          <w:spacing w:val="40"/>
          <w:sz w:val="20"/>
        </w:rPr>
        <w:t> </w:t>
      </w:r>
      <w:r>
        <w:rPr>
          <w:rFonts w:ascii="Arial" w:hAnsi="Arial"/>
          <w:i/>
          <w:sz w:val="20"/>
        </w:rPr>
        <w:t>Empresa</w:t>
      </w:r>
      <w:r>
        <w:rPr>
          <w:rFonts w:ascii="Arial" w:hAnsi="Arial"/>
          <w:i/>
          <w:spacing w:val="57"/>
          <w:w w:val="150"/>
          <w:sz w:val="20"/>
        </w:rPr>
        <w:t> </w:t>
      </w:r>
      <w:r>
        <w:rPr>
          <w:rFonts w:ascii="Arial" w:hAnsi="Arial"/>
          <w:i/>
          <w:sz w:val="20"/>
        </w:rPr>
        <w:t>Lineas</w:t>
      </w:r>
      <w:r>
        <w:rPr>
          <w:rFonts w:ascii="Arial" w:hAnsi="Arial"/>
          <w:i/>
          <w:spacing w:val="57"/>
          <w:w w:val="150"/>
          <w:sz w:val="20"/>
        </w:rPr>
        <w:t> </w:t>
      </w:r>
      <w:r>
        <w:rPr>
          <w:rFonts w:ascii="Arial" w:hAnsi="Arial"/>
          <w:i/>
          <w:sz w:val="20"/>
        </w:rPr>
        <w:t>Maritimas</w:t>
      </w:r>
      <w:r>
        <w:rPr>
          <w:rFonts w:ascii="Arial" w:hAnsi="Arial"/>
          <w:i/>
          <w:spacing w:val="57"/>
          <w:w w:val="150"/>
          <w:sz w:val="20"/>
        </w:rPr>
        <w:t> </w:t>
      </w:r>
      <w:r>
        <w:rPr>
          <w:rFonts w:ascii="Arial" w:hAnsi="Arial"/>
          <w:i/>
          <w:sz w:val="20"/>
        </w:rPr>
        <w:t>Argentinas</w:t>
      </w:r>
      <w:r>
        <w:rPr>
          <w:rFonts w:ascii="Arial" w:hAnsi="Arial"/>
          <w:i/>
          <w:spacing w:val="57"/>
          <w:w w:val="150"/>
          <w:sz w:val="20"/>
        </w:rPr>
        <w:t> </w:t>
      </w:r>
      <w:r>
        <w:rPr>
          <w:rFonts w:ascii="Arial" w:hAnsi="Arial"/>
          <w:i/>
          <w:sz w:val="20"/>
        </w:rPr>
        <w:t>v</w:t>
      </w:r>
      <w:r>
        <w:rPr>
          <w:rFonts w:ascii="Arial" w:hAnsi="Arial"/>
          <w:i/>
          <w:spacing w:val="58"/>
          <w:w w:val="150"/>
          <w:sz w:val="20"/>
        </w:rPr>
        <w:t> </w:t>
      </w:r>
      <w:r>
        <w:rPr>
          <w:rFonts w:ascii="Arial" w:hAnsi="Arial"/>
          <w:i/>
          <w:sz w:val="20"/>
        </w:rPr>
        <w:t>The</w:t>
      </w:r>
      <w:r>
        <w:rPr>
          <w:rFonts w:ascii="Arial" w:hAnsi="Arial"/>
          <w:i/>
          <w:spacing w:val="57"/>
          <w:w w:val="150"/>
          <w:sz w:val="20"/>
        </w:rPr>
        <w:t> </w:t>
      </w:r>
      <w:r>
        <w:rPr>
          <w:rFonts w:ascii="Arial" w:hAnsi="Arial"/>
          <w:i/>
          <w:sz w:val="20"/>
        </w:rPr>
        <w:t>Oceanus</w:t>
      </w:r>
      <w:r>
        <w:rPr>
          <w:rFonts w:ascii="Arial" w:hAnsi="Arial"/>
          <w:i/>
          <w:spacing w:val="57"/>
          <w:w w:val="150"/>
          <w:sz w:val="20"/>
        </w:rPr>
        <w:t> </w:t>
      </w:r>
      <w:r>
        <w:rPr>
          <w:rFonts w:ascii="Arial" w:hAnsi="Arial"/>
          <w:i/>
          <w:sz w:val="20"/>
        </w:rPr>
        <w:t>Mutual</w:t>
      </w:r>
      <w:r>
        <w:rPr>
          <w:rFonts w:ascii="Arial" w:hAnsi="Arial"/>
          <w:i/>
          <w:spacing w:val="57"/>
          <w:w w:val="150"/>
          <w:sz w:val="20"/>
        </w:rPr>
        <w:t> </w:t>
      </w:r>
      <w:r>
        <w:rPr>
          <w:rFonts w:ascii="Arial" w:hAnsi="Arial"/>
          <w:i/>
          <w:sz w:val="20"/>
        </w:rPr>
        <w:t>Underwriting</w:t>
      </w:r>
      <w:r>
        <w:rPr>
          <w:rFonts w:ascii="Arial" w:hAnsi="Arial"/>
          <w:i/>
          <w:spacing w:val="57"/>
          <w:w w:val="150"/>
          <w:sz w:val="20"/>
        </w:rPr>
        <w:t> </w:t>
      </w:r>
      <w:r>
        <w:rPr>
          <w:rFonts w:ascii="Arial" w:hAnsi="Arial"/>
          <w:i/>
          <w:spacing w:val="-2"/>
          <w:sz w:val="20"/>
        </w:rPr>
        <w:t>Associatio</w:t>
      </w:r>
      <w:r>
        <w:rPr>
          <w:rFonts w:ascii="Arial" w:hAnsi="Arial"/>
          <w:i/>
          <w:spacing w:val="-2"/>
          <w:sz w:val="20"/>
        </w:rPr>
        <w:t>n</w:t>
      </w:r>
    </w:p>
    <w:p>
      <w:pPr>
        <w:spacing w:after="0" w:line="235" w:lineRule="auto"/>
        <w:jc w:val="left"/>
        <w:rPr>
          <w:rFonts w:ascii="Arial" w:hAnsi="Arial"/>
          <w:i/>
          <w:sz w:val="20"/>
        </w:rPr>
        <w:sectPr>
          <w:type w:val="continuous"/>
          <w:pgSz w:w="11900" w:h="16840"/>
          <w:pgMar w:header="971" w:footer="0" w:top="1160" w:bottom="280" w:left="1275" w:right="1275"/>
          <w:cols w:num="2" w:equalWidth="0">
            <w:col w:w="400" w:space="141"/>
            <w:col w:w="8809"/>
          </w:cols>
        </w:sectPr>
      </w:pPr>
    </w:p>
    <w:p>
      <w:pPr>
        <w:pStyle w:val="BodyText"/>
        <w:spacing w:before="21"/>
        <w:rPr>
          <w:rFonts w:ascii="Arial"/>
          <w:i/>
        </w:rPr>
      </w:pPr>
    </w:p>
    <w:p>
      <w:pPr>
        <w:spacing w:line="227" w:lineRule="exact" w:before="0"/>
        <w:ind w:left="705" w:right="0" w:firstLine="0"/>
        <w:jc w:val="both"/>
        <w:rPr>
          <w:rFonts w:ascii="Arial" w:hAnsi="Arial"/>
          <w:i/>
          <w:sz w:val="20"/>
        </w:rPr>
      </w:pPr>
      <w:r>
        <w:rPr>
          <w:rFonts w:ascii="Arial" w:hAnsi="Arial"/>
          <w:i/>
          <w:sz w:val="20"/>
        </w:rPr>
        <w:t>(Bermuda)</w:t>
      </w:r>
      <w:r>
        <w:rPr>
          <w:rFonts w:ascii="Arial" w:hAnsi="Arial"/>
          <w:i/>
          <w:spacing w:val="35"/>
          <w:sz w:val="20"/>
        </w:rPr>
        <w:t> </w:t>
      </w:r>
      <w:r>
        <w:rPr>
          <w:rFonts w:ascii="Arial" w:hAnsi="Arial"/>
          <w:i/>
          <w:sz w:val="20"/>
        </w:rPr>
        <w:t>Ltd</w:t>
      </w:r>
      <w:r>
        <w:rPr>
          <w:rFonts w:ascii="Arial" w:hAnsi="Arial"/>
          <w:i/>
          <w:spacing w:val="36"/>
          <w:sz w:val="20"/>
        </w:rPr>
        <w:t> </w:t>
      </w:r>
      <w:r>
        <w:rPr>
          <w:rFonts w:ascii="Arial" w:hAnsi="Arial"/>
          <w:i/>
          <w:sz w:val="20"/>
        </w:rPr>
        <w:t>[1984]</w:t>
      </w:r>
      <w:r>
        <w:rPr>
          <w:rFonts w:ascii="Arial" w:hAnsi="Arial"/>
          <w:i/>
          <w:spacing w:val="36"/>
          <w:sz w:val="20"/>
        </w:rPr>
        <w:t> </w:t>
      </w:r>
      <w:r>
        <w:rPr>
          <w:rFonts w:ascii="Arial" w:hAnsi="Arial"/>
          <w:i/>
          <w:sz w:val="20"/>
        </w:rPr>
        <w:t>2</w:t>
      </w:r>
      <w:r>
        <w:rPr>
          <w:rFonts w:ascii="Arial" w:hAnsi="Arial"/>
          <w:i/>
          <w:spacing w:val="36"/>
          <w:sz w:val="20"/>
        </w:rPr>
        <w:t> </w:t>
      </w:r>
      <w:r>
        <w:rPr>
          <w:rFonts w:ascii="Arial" w:hAnsi="Arial"/>
          <w:i/>
          <w:sz w:val="20"/>
        </w:rPr>
        <w:t>Lloyd’s</w:t>
      </w:r>
      <w:r>
        <w:rPr>
          <w:rFonts w:ascii="Arial" w:hAnsi="Arial"/>
          <w:i/>
          <w:spacing w:val="36"/>
          <w:sz w:val="20"/>
        </w:rPr>
        <w:t> </w:t>
      </w:r>
      <w:r>
        <w:rPr>
          <w:rFonts w:ascii="Arial" w:hAnsi="Arial"/>
          <w:i/>
          <w:sz w:val="20"/>
        </w:rPr>
        <w:t>Rep.</w:t>
      </w:r>
      <w:r>
        <w:rPr>
          <w:rFonts w:ascii="Arial" w:hAnsi="Arial"/>
          <w:i/>
          <w:spacing w:val="36"/>
          <w:sz w:val="20"/>
        </w:rPr>
        <w:t> </w:t>
      </w:r>
      <w:r>
        <w:rPr>
          <w:rFonts w:ascii="Arial" w:hAnsi="Arial"/>
          <w:i/>
          <w:sz w:val="20"/>
        </w:rPr>
        <w:t>517</w:t>
      </w:r>
      <w:r>
        <w:rPr>
          <w:sz w:val="20"/>
        </w:rPr>
        <w:t>;</w:t>
      </w:r>
      <w:r>
        <w:rPr>
          <w:spacing w:val="36"/>
          <w:sz w:val="20"/>
        </w:rPr>
        <w:t> </w:t>
      </w:r>
      <w:r>
        <w:rPr>
          <w:rFonts w:ascii="Arial" w:hAnsi="Arial"/>
          <w:i/>
          <w:sz w:val="20"/>
        </w:rPr>
        <w:t>Uddin</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Ahmed</w:t>
      </w:r>
      <w:r>
        <w:rPr>
          <w:rFonts w:ascii="Arial" w:hAnsi="Arial"/>
          <w:i/>
          <w:spacing w:val="36"/>
          <w:sz w:val="20"/>
        </w:rPr>
        <w:t> </w:t>
      </w:r>
      <w:r>
        <w:rPr>
          <w:rFonts w:ascii="Arial" w:hAnsi="Arial"/>
          <w:i/>
          <w:sz w:val="20"/>
        </w:rPr>
        <w:t>[2001]</w:t>
      </w:r>
      <w:r>
        <w:rPr>
          <w:rFonts w:ascii="Arial" w:hAnsi="Arial"/>
          <w:i/>
          <w:spacing w:val="36"/>
          <w:sz w:val="20"/>
        </w:rPr>
        <w:t> </w:t>
      </w:r>
      <w:r>
        <w:rPr>
          <w:rFonts w:ascii="Arial" w:hAnsi="Arial"/>
          <w:i/>
          <w:sz w:val="20"/>
        </w:rPr>
        <w:t>EWCA</w:t>
      </w:r>
      <w:r>
        <w:rPr>
          <w:rFonts w:ascii="Arial" w:hAnsi="Arial"/>
          <w:i/>
          <w:spacing w:val="36"/>
          <w:sz w:val="20"/>
        </w:rPr>
        <w:t> </w:t>
      </w:r>
      <w:r>
        <w:rPr>
          <w:rFonts w:ascii="Arial" w:hAnsi="Arial"/>
          <w:i/>
          <w:sz w:val="20"/>
        </w:rPr>
        <w:t>Civ</w:t>
      </w:r>
      <w:r>
        <w:rPr>
          <w:rFonts w:ascii="Arial" w:hAnsi="Arial"/>
          <w:i/>
          <w:spacing w:val="36"/>
          <w:sz w:val="20"/>
        </w:rPr>
        <w:t> </w:t>
      </w:r>
      <w:r>
        <w:rPr>
          <w:rFonts w:ascii="Arial" w:hAnsi="Arial"/>
          <w:i/>
          <w:sz w:val="20"/>
        </w:rPr>
        <w:t>240;</w:t>
      </w:r>
      <w:r>
        <w:rPr>
          <w:rFonts w:ascii="Arial" w:hAnsi="Arial"/>
          <w:i/>
          <w:spacing w:val="36"/>
          <w:sz w:val="20"/>
        </w:rPr>
        <w:t> </w:t>
      </w:r>
      <w:r>
        <w:rPr>
          <w:rFonts w:ascii="Arial" w:hAnsi="Arial"/>
          <w:i/>
          <w:sz w:val="20"/>
        </w:rPr>
        <w:t>[2001]</w:t>
      </w:r>
      <w:r>
        <w:rPr>
          <w:rFonts w:ascii="Arial" w:hAnsi="Arial"/>
          <w:i/>
          <w:spacing w:val="36"/>
          <w:sz w:val="20"/>
        </w:rPr>
        <w:t> </w:t>
      </w:r>
      <w:r>
        <w:rPr>
          <w:rFonts w:ascii="Arial" w:hAnsi="Arial"/>
          <w:i/>
          <w:spacing w:val="-10"/>
          <w:sz w:val="20"/>
        </w:rPr>
        <w:t>3</w:t>
      </w:r>
    </w:p>
    <w:p>
      <w:pPr>
        <w:spacing w:line="235" w:lineRule="auto" w:before="1"/>
        <w:ind w:left="705" w:right="167" w:firstLine="0"/>
        <w:jc w:val="both"/>
        <w:rPr>
          <w:sz w:val="20"/>
        </w:rPr>
      </w:pPr>
      <w:r>
        <w:rPr>
          <w:rFonts w:ascii="Arial" w:hAnsi="Arial"/>
          <w:i/>
          <w:sz w:val="20"/>
        </w:rPr>
        <w:t>F.C.R. 300</w:t>
      </w:r>
      <w:r>
        <w:rPr>
          <w:sz w:val="20"/>
        </w:rPr>
        <w:t>; </w:t>
      </w:r>
      <w:r>
        <w:rPr>
          <w:rFonts w:ascii="Arial" w:hAnsi="Arial"/>
          <w:i/>
          <w:sz w:val="20"/>
        </w:rPr>
        <w:t>Grecoair Inc v Tilling [2004] EWHC 2851, [2005] Lloyd’s Rep. I.R. 151</w:t>
      </w:r>
      <w:r>
        <w:rPr>
          <w:sz w:val="20"/>
        </w:rPr>
        <w:t>; </w:t>
      </w:r>
      <w:r>
        <w:rPr>
          <w:rFonts w:ascii="Arial" w:hAnsi="Arial"/>
          <w:i/>
          <w:sz w:val="20"/>
        </w:rPr>
        <w:t>Percy v Board of National Mission of the Church of Scotland [2005] UKHL 73, [2006] 2 A.C. 28</w:t>
      </w:r>
      <w:r>
        <w:rPr>
          <w:sz w:val="20"/>
        </w:rPr>
        <w:t>; </w:t>
      </w:r>
      <w:r>
        <w:rPr>
          <w:rFonts w:ascii="Arial" w:hAnsi="Arial"/>
          <w:i/>
          <w:sz w:val="20"/>
        </w:rPr>
        <w:t>West Bromwich Albion Football Club v El Safty [2006] EWCA Civ 1299, (2006) 92 B.M.L.R. 179</w:t>
      </w:r>
      <w:r>
        <w:rPr>
          <w:sz w:val="20"/>
        </w:rPr>
        <w:t>; </w:t>
      </w:r>
      <w:r>
        <w:rPr>
          <w:rFonts w:ascii="Arial" w:hAnsi="Arial"/>
          <w:i/>
          <w:sz w:val="20"/>
        </w:rPr>
        <w:t>Lakatanmia Shipping Co Ltd v Nobu Su/Hsin Chi Su [2014] EWHC 3611 (Comm), [2015] </w:t>
      </w:r>
      <w:r>
        <w:rPr>
          <w:rFonts w:ascii="Arial" w:hAnsi="Arial"/>
          <w:i/>
          <w:sz w:val="20"/>
        </w:rPr>
        <w:t>1 Lloyd’s Rep. 216 </w:t>
      </w:r>
      <w:r>
        <w:rPr>
          <w:sz w:val="20"/>
        </w:rPr>
        <w:t>at [68], [73]–[76]; </w:t>
      </w:r>
      <w:r>
        <w:rPr>
          <w:rFonts w:ascii="Arial" w:hAnsi="Arial"/>
          <w:i/>
          <w:sz w:val="20"/>
        </w:rPr>
        <w:t>Navig8 Inc v South Vigour Shipping Co [2015] EWHC 32 (Comm), [2015] 1 Lloyd’s Rep. 436 </w:t>
      </w:r>
      <w:r>
        <w:rPr>
          <w:sz w:val="20"/>
        </w:rPr>
        <w:t>at [94] per Teare J. (“ … identification of the parties to </w:t>
      </w:r>
      <w:r>
        <w:rPr>
          <w:sz w:val="20"/>
        </w:rPr>
        <w:t>a contract is a question of fact” the answer to which is generally governed by an objective test,</w:t>
      </w:r>
      <w:r>
        <w:rPr>
          <w:spacing w:val="40"/>
          <w:sz w:val="20"/>
        </w:rPr>
        <w:t> </w:t>
      </w:r>
      <w:r>
        <w:rPr>
          <w:sz w:val="20"/>
        </w:rPr>
        <w:t>the subjective intentions of one party are relevant only “where such intentions are communicated to the other” (ibid.)); cf. </w:t>
      </w:r>
      <w:r>
        <w:rPr>
          <w:rFonts w:ascii="Arial" w:hAnsi="Arial"/>
          <w:i/>
          <w:sz w:val="20"/>
        </w:rPr>
        <w:t>Independiente Ltd v Music Trading On-Line (HK) Ltd [2007] EWCA Civ 111, [2008] 1 W.L.R. 608</w:t>
      </w:r>
      <w:r>
        <w:rPr>
          <w:sz w:val="20"/>
        </w:rPr>
        <w:t>, where the question was one of construction </w:t>
      </w:r>
      <w:r>
        <w:rPr>
          <w:sz w:val="20"/>
        </w:rPr>
        <w:t>or implication; </w:t>
      </w:r>
      <w:r>
        <w:rPr>
          <w:rFonts w:ascii="Arial" w:hAnsi="Arial"/>
          <w:i/>
          <w:sz w:val="20"/>
        </w:rPr>
        <w:t>Grosvenor Casinos Ltd v National Bank of Abu Dhabi [2008] EWHC 511 (Comm), [2008] 2 Lloyd’s Rep. 1</w:t>
      </w:r>
      <w:r>
        <w:rPr>
          <w:sz w:val="20"/>
        </w:rPr>
        <w:t>.</w:t>
      </w:r>
    </w:p>
    <w:p>
      <w:pPr>
        <w:pStyle w:val="BodyText"/>
        <w:spacing w:before="5"/>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0928">
            <wp:simplePos x="0" y="0"/>
            <wp:positionH relativeFrom="page">
              <wp:posOffset>1257846</wp:posOffset>
            </wp:positionH>
            <wp:positionV relativeFrom="paragraph">
              <wp:posOffset>160772</wp:posOffset>
            </wp:positionV>
            <wp:extent cx="107988" cy="10798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3" w:id="115"/>
      <w:bookmarkEnd w:id="115"/>
      <w:r>
        <w:rPr/>
      </w:r>
      <w:hyperlink w:history="true" w:anchor="_bookmark35">
        <w:r>
          <w:rPr>
            <w:color w:val="005DA1"/>
            <w:spacing w:val="-5"/>
            <w:sz w:val="14"/>
            <w:u w:val="single" w:color="005DA1"/>
          </w:rPr>
          <w:t>22</w:t>
        </w:r>
      </w:hyperlink>
      <w:r>
        <w:rPr>
          <w:spacing w:val="-5"/>
          <w:sz w:val="14"/>
        </w:rPr>
        <w:t>.</w:t>
      </w:r>
    </w:p>
    <w:p>
      <w:pPr>
        <w:spacing w:line="235" w:lineRule="auto" w:before="213"/>
        <w:ind w:left="165" w:right="167" w:firstLine="170"/>
        <w:jc w:val="both"/>
        <w:rPr>
          <w:sz w:val="20"/>
        </w:rPr>
      </w:pPr>
      <w:r>
        <w:rPr/>
        <w:br w:type="column"/>
      </w:r>
      <w:r>
        <w:rPr>
          <w:sz w:val="20"/>
        </w:rPr>
        <w:t>A highly specialised group of cases (beyond the scope of this book) concerns bills of </w:t>
      </w:r>
      <w:r>
        <w:rPr>
          <w:sz w:val="20"/>
        </w:rPr>
        <w:t>lading issued in respect of goods shipped on a chartered ship: see Carver on Bills of Lading, 4th ed. (2017), paras 4–032 to 4–062; </w:t>
      </w:r>
      <w:r>
        <w:rPr>
          <w:rFonts w:ascii="Arial" w:hAnsi="Arial"/>
          <w:i/>
          <w:sz w:val="20"/>
        </w:rPr>
        <w:t>Homburg Houtimport BV v Agrosin Private Ltd (The Starsin) [2003] UKHL 12; [2004] 1 A.C. 715</w:t>
      </w:r>
      <w:r>
        <w:rPr>
          <w:sz w:val="20"/>
        </w:rPr>
        <w:t>. The general rule that a person who is named as the consignee</w:t>
      </w:r>
      <w:r>
        <w:rPr>
          <w:spacing w:val="-1"/>
          <w:sz w:val="20"/>
        </w:rPr>
        <w:t> </w:t>
      </w:r>
      <w:r>
        <w:rPr>
          <w:sz w:val="20"/>
        </w:rPr>
        <w:t>in</w:t>
      </w:r>
      <w:r>
        <w:rPr>
          <w:spacing w:val="-1"/>
          <w:sz w:val="20"/>
        </w:rPr>
        <w:t> </w:t>
      </w:r>
      <w:r>
        <w:rPr>
          <w:sz w:val="20"/>
        </w:rPr>
        <w:t>a</w:t>
      </w:r>
      <w:r>
        <w:rPr>
          <w:spacing w:val="-1"/>
          <w:sz w:val="20"/>
        </w:rPr>
        <w:t> </w:t>
      </w:r>
      <w:r>
        <w:rPr>
          <w:sz w:val="20"/>
        </w:rPr>
        <w:t>contract</w:t>
      </w:r>
      <w:r>
        <w:rPr>
          <w:spacing w:val="-1"/>
          <w:sz w:val="20"/>
        </w:rPr>
        <w:t> </w:t>
      </w:r>
      <w:r>
        <w:rPr>
          <w:sz w:val="20"/>
        </w:rPr>
        <w:t>of</w:t>
      </w:r>
      <w:r>
        <w:rPr>
          <w:spacing w:val="-1"/>
          <w:sz w:val="20"/>
        </w:rPr>
        <w:t> </w:t>
      </w:r>
      <w:r>
        <w:rPr>
          <w:sz w:val="20"/>
        </w:rPr>
        <w:t>carriage</w:t>
      </w:r>
      <w:r>
        <w:rPr>
          <w:spacing w:val="-1"/>
          <w:sz w:val="20"/>
        </w:rPr>
        <w:t> </w:t>
      </w:r>
      <w:r>
        <w:rPr>
          <w:sz w:val="20"/>
        </w:rPr>
        <w:t>contained</w:t>
      </w:r>
      <w:r>
        <w:rPr>
          <w:spacing w:val="-1"/>
          <w:sz w:val="20"/>
        </w:rPr>
        <w:t> </w:t>
      </w:r>
      <w:r>
        <w:rPr>
          <w:sz w:val="20"/>
        </w:rPr>
        <w:t>in</w:t>
      </w:r>
      <w:r>
        <w:rPr>
          <w:spacing w:val="-1"/>
          <w:sz w:val="20"/>
        </w:rPr>
        <w:t> </w:t>
      </w:r>
      <w:r>
        <w:rPr>
          <w:sz w:val="20"/>
        </w:rPr>
        <w:t>or</w:t>
      </w:r>
      <w:r>
        <w:rPr>
          <w:spacing w:val="-1"/>
          <w:sz w:val="20"/>
        </w:rPr>
        <w:t> </w:t>
      </w:r>
      <w:r>
        <w:rPr>
          <w:sz w:val="20"/>
        </w:rPr>
        <w:t>evidenced</w:t>
      </w:r>
      <w:r>
        <w:rPr>
          <w:spacing w:val="-1"/>
          <w:sz w:val="20"/>
        </w:rPr>
        <w:t> </w:t>
      </w:r>
      <w:r>
        <w:rPr>
          <w:sz w:val="20"/>
        </w:rPr>
        <w:t>by</w:t>
      </w:r>
      <w:r>
        <w:rPr>
          <w:spacing w:val="-1"/>
          <w:sz w:val="20"/>
        </w:rPr>
        <w:t> </w:t>
      </w:r>
      <w:r>
        <w:rPr>
          <w:sz w:val="20"/>
        </w:rPr>
        <w:t>a</w:t>
      </w:r>
      <w:r>
        <w:rPr>
          <w:spacing w:val="-1"/>
          <w:sz w:val="20"/>
        </w:rPr>
        <w:t> </w:t>
      </w:r>
      <w:r>
        <w:rPr>
          <w:sz w:val="20"/>
        </w:rPr>
        <w:t>bill</w:t>
      </w:r>
      <w:r>
        <w:rPr>
          <w:spacing w:val="-1"/>
          <w:sz w:val="20"/>
        </w:rPr>
        <w:t> </w:t>
      </w:r>
      <w:r>
        <w:rPr>
          <w:sz w:val="20"/>
        </w:rPr>
        <w:t>of</w:t>
      </w:r>
      <w:r>
        <w:rPr>
          <w:spacing w:val="-1"/>
          <w:sz w:val="20"/>
        </w:rPr>
        <w:t> </w:t>
      </w:r>
      <w:r>
        <w:rPr>
          <w:sz w:val="20"/>
        </w:rPr>
        <w:t>lading</w:t>
      </w:r>
      <w:r>
        <w:rPr>
          <w:spacing w:val="-1"/>
          <w:sz w:val="20"/>
        </w:rPr>
        <w:t> </w:t>
      </w:r>
      <w:r>
        <w:rPr>
          <w:sz w:val="20"/>
        </w:rPr>
        <w:t>is</w:t>
      </w:r>
      <w:r>
        <w:rPr>
          <w:spacing w:val="-1"/>
          <w:sz w:val="20"/>
        </w:rPr>
        <w:t> </w:t>
      </w:r>
      <w:r>
        <w:rPr>
          <w:sz w:val="20"/>
        </w:rPr>
        <w:t>not,</w:t>
      </w:r>
      <w:r>
        <w:rPr>
          <w:spacing w:val="-1"/>
          <w:sz w:val="20"/>
        </w:rPr>
        <w:t> </w:t>
      </w:r>
      <w:r>
        <w:rPr>
          <w:sz w:val="20"/>
        </w:rPr>
        <w:t>merely</w:t>
      </w:r>
      <w:r>
        <w:rPr>
          <w:spacing w:val="-1"/>
          <w:sz w:val="20"/>
        </w:rPr>
        <w:t> </w:t>
      </w:r>
      <w:r>
        <w:rPr>
          <w:sz w:val="20"/>
        </w:rPr>
        <w:t>by reason of being so named, “in a true sense an original party to the contract” (</w:t>
      </w:r>
      <w:r>
        <w:rPr>
          <w:rFonts w:ascii="Arial" w:hAnsi="Arial"/>
          <w:i/>
          <w:sz w:val="20"/>
        </w:rPr>
        <w:t>Standard Chartered Bank v Dorchester LNG (2) Ltd (The Erin Schulte) [2014] EWCA Civ 1382, [2015] 1 Lloyd’s Rep. 97 </w:t>
      </w:r>
      <w:r>
        <w:rPr>
          <w:sz w:val="20"/>
        </w:rPr>
        <w:t>at [16]), and the various qualifications of that rule, are likewise beyond the scope of this book. They are fully discussed in Carver, 4th ed. (2017), paras 4-001 to 4-031.</w:t>
      </w:r>
    </w:p>
    <w:p>
      <w:pPr>
        <w:spacing w:after="0" w:line="235" w:lineRule="auto"/>
        <w:jc w:val="both"/>
        <w:rPr>
          <w:sz w:val="20"/>
        </w:rPr>
        <w:sectPr>
          <w:type w:val="continuous"/>
          <w:pgSz w:w="11900" w:h="16840"/>
          <w:pgMar w:header="971" w:footer="0" w:top="1160" w:bottom="280" w:left="1275" w:right="1275"/>
          <w:cols w:num="2" w:equalWidth="0">
            <w:col w:w="400" w:space="141"/>
            <w:col w:w="8809"/>
          </w:cols>
        </w:sectPr>
      </w:pPr>
    </w:p>
    <w:p>
      <w:pPr>
        <w:pStyle w:val="BodyText"/>
        <w:spacing w:before="2"/>
      </w:pPr>
    </w:p>
    <w:p>
      <w:pPr>
        <w:pStyle w:val="BodyText"/>
        <w:tabs>
          <w:tab w:pos="705" w:val="left" w:leader="none"/>
        </w:tabs>
        <w:ind w:left="165"/>
      </w:pPr>
      <w:bookmarkStart w:name="_bookmark114" w:id="116"/>
      <w:bookmarkEnd w:id="116"/>
      <w:r>
        <w:rPr/>
      </w:r>
      <w:hyperlink w:history="true" w:anchor="_bookmark36">
        <w:r>
          <w:rPr>
            <w:color w:val="005DA1"/>
            <w:spacing w:val="-5"/>
            <w:position w:val="5"/>
            <w:sz w:val="14"/>
            <w:u w:val="single" w:color="005DA1"/>
          </w:rPr>
          <w:t>23</w:t>
        </w:r>
      </w:hyperlink>
      <w:r>
        <w:rPr>
          <w:spacing w:val="-5"/>
          <w:position w:val="5"/>
          <w:sz w:val="14"/>
        </w:rPr>
        <w:t>.</w:t>
      </w:r>
      <w:r>
        <w:rPr>
          <w:position w:val="5"/>
          <w:sz w:val="14"/>
        </w:rPr>
        <w:tab/>
      </w:r>
      <w:r>
        <w:rPr/>
        <w:t>Contracts (Rights of Third Parties) Act 1999, </w:t>
      </w:r>
      <w:r>
        <w:rPr>
          <w:spacing w:val="-2"/>
        </w:rPr>
        <w:t>s.7(1).</w:t>
      </w:r>
    </w:p>
    <w:p>
      <w:pPr>
        <w:pStyle w:val="BodyText"/>
        <w:spacing w:before="5"/>
      </w:pPr>
    </w:p>
    <w:p>
      <w:pPr>
        <w:pStyle w:val="BodyText"/>
        <w:tabs>
          <w:tab w:pos="705" w:val="left" w:leader="none"/>
        </w:tabs>
        <w:spacing w:before="1"/>
        <w:ind w:left="165"/>
      </w:pPr>
      <w:bookmarkStart w:name="_bookmark115" w:id="117"/>
      <w:bookmarkEnd w:id="117"/>
      <w:r>
        <w:rPr/>
      </w:r>
      <w:hyperlink w:history="true" w:anchor="_bookmark37">
        <w:r>
          <w:rPr>
            <w:color w:val="005DA1"/>
            <w:spacing w:val="-5"/>
            <w:position w:val="5"/>
            <w:sz w:val="14"/>
            <w:u w:val="single" w:color="005DA1"/>
          </w:rPr>
          <w:t>24</w:t>
        </w:r>
      </w:hyperlink>
      <w:r>
        <w:rPr>
          <w:spacing w:val="-5"/>
          <w:position w:val="5"/>
          <w:sz w:val="14"/>
        </w:rPr>
        <w:t>.</w:t>
      </w:r>
      <w:r>
        <w:rPr>
          <w:position w:val="5"/>
          <w:sz w:val="14"/>
        </w:rPr>
        <w:tab/>
      </w:r>
      <w:r>
        <w:rPr/>
        <w:t>Wedderburn [1959] C.L.J. 58; above, para.13-</w:t>
      </w:r>
      <w:r>
        <w:rPr>
          <w:spacing w:val="-4"/>
        </w:rPr>
        <w:t>004.</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16" w:id="118"/>
      <w:bookmarkEnd w:id="118"/>
      <w:r>
        <w:rPr/>
      </w:r>
      <w:hyperlink w:history="true" w:anchor="_bookmark38">
        <w:r>
          <w:rPr>
            <w:color w:val="005DA1"/>
            <w:spacing w:val="-5"/>
            <w:position w:val="5"/>
            <w:sz w:val="14"/>
            <w:u w:val="single" w:color="005DA1"/>
          </w:rPr>
          <w:t>25</w:t>
        </w:r>
      </w:hyperlink>
      <w:r>
        <w:rPr>
          <w:spacing w:val="-5"/>
          <w:position w:val="5"/>
          <w:sz w:val="14"/>
        </w:rPr>
        <w:t>.</w:t>
      </w:r>
      <w:r>
        <w:rPr>
          <w:position w:val="5"/>
          <w:sz w:val="14"/>
        </w:rPr>
        <w:tab/>
      </w:r>
      <w:r>
        <w:rPr>
          <w:rFonts w:ascii="Arial"/>
          <w:i/>
          <w:sz w:val="20"/>
        </w:rPr>
        <w:t>[1951]</w:t>
      </w:r>
      <w:r>
        <w:rPr>
          <w:rFonts w:ascii="Arial"/>
          <w:i/>
          <w:spacing w:val="11"/>
          <w:sz w:val="20"/>
        </w:rPr>
        <w:t> </w:t>
      </w:r>
      <w:r>
        <w:rPr>
          <w:rFonts w:ascii="Arial"/>
          <w:i/>
          <w:sz w:val="20"/>
        </w:rPr>
        <w:t>2</w:t>
      </w:r>
      <w:r>
        <w:rPr>
          <w:rFonts w:ascii="Arial"/>
          <w:i/>
          <w:spacing w:val="12"/>
          <w:sz w:val="20"/>
        </w:rPr>
        <w:t> </w:t>
      </w:r>
      <w:r>
        <w:rPr>
          <w:rFonts w:ascii="Arial"/>
          <w:i/>
          <w:sz w:val="20"/>
        </w:rPr>
        <w:t>K.B.</w:t>
      </w:r>
      <w:r>
        <w:rPr>
          <w:rFonts w:ascii="Arial"/>
          <w:i/>
          <w:spacing w:val="12"/>
          <w:sz w:val="20"/>
        </w:rPr>
        <w:t> </w:t>
      </w:r>
      <w:r>
        <w:rPr>
          <w:rFonts w:ascii="Arial"/>
          <w:i/>
          <w:sz w:val="20"/>
        </w:rPr>
        <w:t>854</w:t>
      </w:r>
      <w:r>
        <w:rPr>
          <w:sz w:val="20"/>
        </w:rPr>
        <w:t>;</w:t>
      </w:r>
      <w:r>
        <w:rPr>
          <w:spacing w:val="12"/>
          <w:sz w:val="20"/>
        </w:rPr>
        <w:t> </w:t>
      </w:r>
      <w:r>
        <w:rPr>
          <w:sz w:val="20"/>
        </w:rPr>
        <w:t>followed</w:t>
      </w:r>
      <w:r>
        <w:rPr>
          <w:spacing w:val="12"/>
          <w:sz w:val="20"/>
        </w:rPr>
        <w:t> </w:t>
      </w:r>
      <w:r>
        <w:rPr>
          <w:sz w:val="20"/>
        </w:rPr>
        <w:t>in</w:t>
      </w:r>
      <w:r>
        <w:rPr>
          <w:spacing w:val="12"/>
          <w:sz w:val="20"/>
        </w:rPr>
        <w:t> </w:t>
      </w:r>
      <w:r>
        <w:rPr>
          <w:rFonts w:ascii="Arial"/>
          <w:i/>
          <w:sz w:val="20"/>
        </w:rPr>
        <w:t>Wells</w:t>
      </w:r>
      <w:r>
        <w:rPr>
          <w:rFonts w:ascii="Arial"/>
          <w:i/>
          <w:spacing w:val="12"/>
          <w:sz w:val="20"/>
        </w:rPr>
        <w:t> </w:t>
      </w:r>
      <w:r>
        <w:rPr>
          <w:rFonts w:ascii="Arial"/>
          <w:i/>
          <w:sz w:val="20"/>
        </w:rPr>
        <w:t>(Merstham)</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Buckland</w:t>
      </w:r>
      <w:r>
        <w:rPr>
          <w:rFonts w:ascii="Arial"/>
          <w:i/>
          <w:spacing w:val="12"/>
          <w:sz w:val="20"/>
        </w:rPr>
        <w:t> </w:t>
      </w:r>
      <w:r>
        <w:rPr>
          <w:rFonts w:ascii="Arial"/>
          <w:i/>
          <w:sz w:val="20"/>
        </w:rPr>
        <w:t>Sand</w:t>
      </w:r>
      <w:r>
        <w:rPr>
          <w:rFonts w:ascii="Arial"/>
          <w:i/>
          <w:spacing w:val="12"/>
          <w:sz w:val="20"/>
        </w:rPr>
        <w:t> </w:t>
      </w:r>
      <w:r>
        <w:rPr>
          <w:rFonts w:ascii="Arial"/>
          <w:i/>
          <w:sz w:val="20"/>
        </w:rPr>
        <w:t>&amp;</w:t>
      </w:r>
      <w:r>
        <w:rPr>
          <w:rFonts w:ascii="Arial"/>
          <w:i/>
          <w:spacing w:val="12"/>
          <w:sz w:val="20"/>
        </w:rPr>
        <w:t> </w:t>
      </w:r>
      <w:r>
        <w:rPr>
          <w:rFonts w:ascii="Arial"/>
          <w:i/>
          <w:sz w:val="20"/>
        </w:rPr>
        <w:t>Silica</w:t>
      </w:r>
      <w:r>
        <w:rPr>
          <w:rFonts w:ascii="Arial"/>
          <w:i/>
          <w:spacing w:val="12"/>
          <w:sz w:val="20"/>
        </w:rPr>
        <w:t> </w:t>
      </w:r>
      <w:r>
        <w:rPr>
          <w:rFonts w:ascii="Arial"/>
          <w:i/>
          <w:sz w:val="20"/>
        </w:rPr>
        <w:t>Co</w:t>
      </w:r>
      <w:r>
        <w:rPr>
          <w:rFonts w:ascii="Arial"/>
          <w:i/>
          <w:spacing w:val="12"/>
          <w:sz w:val="20"/>
        </w:rPr>
        <w:t> </w:t>
      </w:r>
      <w:r>
        <w:rPr>
          <w:rFonts w:ascii="Arial"/>
          <w:i/>
          <w:sz w:val="20"/>
        </w:rPr>
        <w:t>Ltd</w:t>
      </w:r>
      <w:r>
        <w:rPr>
          <w:rFonts w:ascii="Arial"/>
          <w:i/>
          <w:spacing w:val="12"/>
          <w:sz w:val="20"/>
        </w:rPr>
        <w:t> </w:t>
      </w:r>
      <w:r>
        <w:rPr>
          <w:rFonts w:ascii="Arial"/>
          <w:i/>
          <w:sz w:val="20"/>
        </w:rPr>
        <w:t>[1965]</w:t>
      </w:r>
      <w:r>
        <w:rPr>
          <w:rFonts w:ascii="Arial"/>
          <w:i/>
          <w:spacing w:val="12"/>
          <w:sz w:val="20"/>
        </w:rPr>
        <w:t> </w:t>
      </w:r>
      <w:r>
        <w:rPr>
          <w:rFonts w:ascii="Arial"/>
          <w:i/>
          <w:spacing w:val="-10"/>
          <w:sz w:val="20"/>
        </w:rPr>
        <w:t>2</w:t>
      </w:r>
    </w:p>
    <w:p>
      <w:pPr>
        <w:spacing w:line="235" w:lineRule="auto" w:before="1"/>
        <w:ind w:left="705" w:right="167" w:firstLine="0"/>
        <w:jc w:val="both"/>
        <w:rPr>
          <w:rFonts w:ascii="Arial"/>
          <w:i/>
          <w:sz w:val="20"/>
        </w:rPr>
      </w:pPr>
      <w:r>
        <w:rPr>
          <w:rFonts w:ascii="Arial"/>
          <w:i/>
          <w:sz w:val="20"/>
        </w:rPr>
        <w:t>Q.B. 170</w:t>
      </w:r>
      <w:r>
        <w:rPr>
          <w:sz w:val="20"/>
        </w:rPr>
        <w:t>, even though in that case no specific main contract was contemplated when the collateral undertaking was given. As to sales by auction, see </w:t>
      </w:r>
      <w:r>
        <w:rPr>
          <w:rFonts w:ascii="Arial"/>
          <w:i/>
          <w:sz w:val="20"/>
        </w:rPr>
        <w:t>Chelmsford Auctions Ltd v Poole [1973]</w:t>
      </w:r>
      <w:r>
        <w:rPr>
          <w:rFonts w:ascii="Arial"/>
          <w:i/>
          <w:spacing w:val="11"/>
          <w:sz w:val="20"/>
        </w:rPr>
        <w:t> </w:t>
      </w:r>
      <w:r>
        <w:rPr>
          <w:rFonts w:ascii="Arial"/>
          <w:i/>
          <w:sz w:val="20"/>
        </w:rPr>
        <w:t>Q.B.</w:t>
      </w:r>
      <w:r>
        <w:rPr>
          <w:rFonts w:ascii="Arial"/>
          <w:i/>
          <w:spacing w:val="12"/>
          <w:sz w:val="20"/>
        </w:rPr>
        <w:t> </w:t>
      </w:r>
      <w:r>
        <w:rPr>
          <w:rFonts w:ascii="Arial"/>
          <w:i/>
          <w:sz w:val="20"/>
        </w:rPr>
        <w:t>542,</w:t>
      </w:r>
      <w:r>
        <w:rPr>
          <w:rFonts w:ascii="Arial"/>
          <w:i/>
          <w:spacing w:val="12"/>
          <w:sz w:val="20"/>
        </w:rPr>
        <w:t> </w:t>
      </w:r>
      <w:r>
        <w:rPr>
          <w:rFonts w:ascii="Arial"/>
          <w:i/>
          <w:sz w:val="20"/>
        </w:rPr>
        <w:t>550</w:t>
      </w:r>
      <w:r>
        <w:rPr>
          <w:sz w:val="20"/>
        </w:rPr>
        <w:t>;</w:t>
      </w:r>
      <w:r>
        <w:rPr>
          <w:spacing w:val="12"/>
          <w:sz w:val="20"/>
        </w:rPr>
        <w:t> </w:t>
      </w:r>
      <w:r>
        <w:rPr>
          <w:rFonts w:ascii="Arial"/>
          <w:i/>
          <w:sz w:val="20"/>
        </w:rPr>
        <w:t>Morin</w:t>
      </w:r>
      <w:r>
        <w:rPr>
          <w:rFonts w:ascii="Arial"/>
          <w:i/>
          <w:spacing w:val="12"/>
          <w:sz w:val="20"/>
        </w:rPr>
        <w:t> </w:t>
      </w:r>
      <w:r>
        <w:rPr>
          <w:rFonts w:ascii="Arial"/>
          <w:i/>
          <w:sz w:val="20"/>
        </w:rPr>
        <w:t>v</w:t>
      </w:r>
      <w:r>
        <w:rPr>
          <w:rFonts w:ascii="Arial"/>
          <w:i/>
          <w:spacing w:val="12"/>
          <w:sz w:val="20"/>
        </w:rPr>
        <w:t> </w:t>
      </w:r>
      <w:r>
        <w:rPr>
          <w:rFonts w:ascii="Arial"/>
          <w:i/>
          <w:sz w:val="20"/>
        </w:rPr>
        <w:t>Bonhams</w:t>
      </w:r>
      <w:r>
        <w:rPr>
          <w:rFonts w:ascii="Arial"/>
          <w:i/>
          <w:spacing w:val="12"/>
          <w:sz w:val="20"/>
        </w:rPr>
        <w:t> </w:t>
      </w:r>
      <w:r>
        <w:rPr>
          <w:rFonts w:ascii="Arial"/>
          <w:i/>
          <w:sz w:val="20"/>
        </w:rPr>
        <w:t>&amp;</w:t>
      </w:r>
      <w:r>
        <w:rPr>
          <w:rFonts w:ascii="Arial"/>
          <w:i/>
          <w:spacing w:val="12"/>
          <w:sz w:val="20"/>
        </w:rPr>
        <w:t> </w:t>
      </w:r>
      <w:r>
        <w:rPr>
          <w:rFonts w:ascii="Arial"/>
          <w:i/>
          <w:sz w:val="20"/>
        </w:rPr>
        <w:t>Brooks</w:t>
      </w:r>
      <w:r>
        <w:rPr>
          <w:rFonts w:ascii="Arial"/>
          <w:i/>
          <w:spacing w:val="12"/>
          <w:sz w:val="20"/>
        </w:rPr>
        <w:t> </w:t>
      </w:r>
      <w:r>
        <w:rPr>
          <w:rFonts w:ascii="Arial"/>
          <w:i/>
          <w:sz w:val="20"/>
        </w:rPr>
        <w:t>Ltd</w:t>
      </w:r>
      <w:r>
        <w:rPr>
          <w:rFonts w:ascii="Arial"/>
          <w:i/>
          <w:spacing w:val="12"/>
          <w:sz w:val="20"/>
        </w:rPr>
        <w:t> </w:t>
      </w:r>
      <w:r>
        <w:rPr>
          <w:rFonts w:ascii="Arial"/>
          <w:i/>
          <w:sz w:val="20"/>
        </w:rPr>
        <w:t>[2003]</w:t>
      </w:r>
      <w:r>
        <w:rPr>
          <w:rFonts w:ascii="Arial"/>
          <w:i/>
          <w:spacing w:val="12"/>
          <w:sz w:val="20"/>
        </w:rPr>
        <w:t> </w:t>
      </w:r>
      <w:r>
        <w:rPr>
          <w:rFonts w:ascii="Arial"/>
          <w:i/>
          <w:sz w:val="20"/>
        </w:rPr>
        <w:t>EWHC</w:t>
      </w:r>
      <w:r>
        <w:rPr>
          <w:rFonts w:ascii="Arial"/>
          <w:i/>
          <w:spacing w:val="12"/>
          <w:sz w:val="20"/>
        </w:rPr>
        <w:t> </w:t>
      </w:r>
      <w:r>
        <w:rPr>
          <w:rFonts w:ascii="Arial"/>
          <w:i/>
          <w:sz w:val="20"/>
        </w:rPr>
        <w:t>467</w:t>
      </w:r>
      <w:r>
        <w:rPr>
          <w:rFonts w:ascii="Arial"/>
          <w:i/>
          <w:spacing w:val="12"/>
          <w:sz w:val="20"/>
        </w:rPr>
        <w:t> </w:t>
      </w:r>
      <w:r>
        <w:rPr>
          <w:rFonts w:ascii="Arial"/>
          <w:i/>
          <w:sz w:val="20"/>
        </w:rPr>
        <w:t>(Comm);</w:t>
      </w:r>
      <w:r>
        <w:rPr>
          <w:rFonts w:ascii="Arial"/>
          <w:i/>
          <w:spacing w:val="12"/>
          <w:sz w:val="20"/>
        </w:rPr>
        <w:t> </w:t>
      </w:r>
      <w:r>
        <w:rPr>
          <w:rFonts w:ascii="Arial"/>
          <w:i/>
          <w:sz w:val="20"/>
        </w:rPr>
        <w:t>[2003]</w:t>
      </w:r>
      <w:r>
        <w:rPr>
          <w:rFonts w:ascii="Arial"/>
          <w:i/>
          <w:spacing w:val="12"/>
          <w:sz w:val="20"/>
        </w:rPr>
        <w:t> </w:t>
      </w:r>
      <w:r>
        <w:rPr>
          <w:rFonts w:ascii="Arial"/>
          <w:i/>
          <w:sz w:val="20"/>
        </w:rPr>
        <w:t>2</w:t>
      </w:r>
      <w:r>
        <w:rPr>
          <w:rFonts w:ascii="Arial"/>
          <w:i/>
          <w:spacing w:val="12"/>
          <w:sz w:val="20"/>
        </w:rPr>
        <w:t> </w:t>
      </w:r>
      <w:r>
        <w:rPr>
          <w:rFonts w:ascii="Arial"/>
          <w:i/>
          <w:spacing w:val="-5"/>
          <w:sz w:val="20"/>
        </w:rPr>
        <w:t>All</w:t>
      </w:r>
    </w:p>
    <w:p>
      <w:pPr>
        <w:spacing w:line="235" w:lineRule="auto" w:before="0"/>
        <w:ind w:left="705" w:right="167" w:firstLine="0"/>
        <w:jc w:val="both"/>
        <w:rPr>
          <w:sz w:val="20"/>
        </w:rPr>
      </w:pPr>
      <w:r>
        <w:rPr>
          <w:rFonts w:ascii="Arial" w:hAnsi="Arial"/>
          <w:i/>
          <w:sz w:val="20"/>
        </w:rPr>
        <w:t>E.R. (Comm) 36 at 28, 51; affirmed on other grounds [2003] EWCA Civ 1802, [2004] 1 All E.R. (Comm) 880</w:t>
      </w:r>
      <w:r>
        <w:rPr>
          <w:sz w:val="20"/>
        </w:rPr>
        <w:t>; below, Vol.II, para.31-011; for similar reasoning, leading to the making of </w:t>
      </w:r>
      <w:r>
        <w:rPr>
          <w:sz w:val="20"/>
        </w:rPr>
        <w:t>a contract “in the context of an associated and simultaneous set of transactions”, see </w:t>
      </w:r>
      <w:r>
        <w:rPr>
          <w:rFonts w:ascii="Arial" w:hAnsi="Arial"/>
          <w:i/>
          <w:sz w:val="20"/>
        </w:rPr>
        <w:t>Moody </w:t>
      </w:r>
      <w:r>
        <w:rPr>
          <w:rFonts w:ascii="Arial" w:hAnsi="Arial"/>
          <w:i/>
          <w:sz w:val="20"/>
        </w:rPr>
        <w:t>v Condor Insurance Ltd [2006] EWHC 100 (Ch), [2006] 1 W.L.R. 1847 </w:t>
      </w:r>
      <w:r>
        <w:rPr>
          <w:sz w:val="20"/>
        </w:rPr>
        <w:t>at [39].</w:t>
      </w:r>
    </w:p>
    <w:p>
      <w:pPr>
        <w:pStyle w:val="BodyText"/>
        <w:spacing w:before="7"/>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160470</wp:posOffset>
            </wp:positionV>
            <wp:extent cx="107988" cy="107988"/>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17" w:id="119"/>
      <w:bookmarkEnd w:id="119"/>
      <w:r>
        <w:rPr/>
      </w:r>
      <w:hyperlink w:history="true" w:anchor="_bookmark39">
        <w:r>
          <w:rPr>
            <w:color w:val="005DA1"/>
            <w:spacing w:val="-5"/>
            <w:sz w:val="14"/>
            <w:u w:val="single" w:color="005DA1"/>
          </w:rPr>
          <w:t>26</w:t>
        </w:r>
      </w:hyperlink>
      <w:r>
        <w:rPr>
          <w:spacing w:val="-5"/>
          <w:sz w:val="14"/>
        </w:rPr>
        <w:t>.</w:t>
      </w:r>
    </w:p>
    <w:p>
      <w:pPr>
        <w:pStyle w:val="BodyText"/>
        <w:spacing w:line="235" w:lineRule="auto" w:before="212"/>
        <w:ind w:left="165" w:right="167" w:firstLine="170"/>
        <w:jc w:val="both"/>
      </w:pPr>
      <w:r>
        <w:rPr/>
        <w:br w:type="column"/>
      </w:r>
      <w:r>
        <w:rPr/>
        <w:t>Contrast </w:t>
      </w:r>
      <w:r>
        <w:rPr>
          <w:rFonts w:ascii="Arial" w:hAnsi="Arial"/>
          <w:i/>
        </w:rPr>
        <w:t>Royal Bank of Scotland Plc v McCarthy [2015] EWHC 3626 (QB)</w:t>
      </w:r>
      <w:r>
        <w:rPr/>
        <w:t>, where the argument that there was a collateral contract between one of the parties to the main </w:t>
      </w:r>
      <w:r>
        <w:rPr/>
        <w:t>contract and a person who was not a party to the main contract was rejected for want of the requisite “assurance” (at [158]) from the former to the latter person. For a judicial statement of the requirements of a collateral contract, see </w:t>
      </w:r>
      <w:r>
        <w:rPr>
          <w:rFonts w:ascii="Arial" w:hAnsi="Arial"/>
          <w:i/>
        </w:rPr>
        <w:t>Secker v Fairhill Properties Ltd [2017] EWHC 69 (QB) </w:t>
      </w:r>
      <w:r>
        <w:rPr/>
        <w:t>at [54] per Stuart-Smith J. Those requirements are further discussed in Main Work, Vol.I, paras 18-010 and 18-011. On the facts of the </w:t>
      </w:r>
      <w:r>
        <w:rPr>
          <w:rFonts w:ascii="Arial" w:hAnsi="Arial"/>
          <w:i/>
        </w:rPr>
        <w:t>Secker </w:t>
      </w:r>
      <w:r>
        <w:rPr/>
        <w:t>case, no collateral contract arose because the relevant defendant had not agreed to “any </w:t>
      </w:r>
      <w:r>
        <w:rPr>
          <w:rFonts w:ascii="Arial" w:hAnsi="Arial"/>
          <w:i/>
        </w:rPr>
        <w:t>separate </w:t>
      </w:r>
      <w:r>
        <w:rPr/>
        <w:t>contractual obligation” (at [57] (italics supplied); cf. </w:t>
      </w:r>
      <w:r>
        <w:rPr>
          <w:rFonts w:ascii="Arial" w:hAnsi="Arial"/>
          <w:i/>
        </w:rPr>
        <w:t>[2017] EWHC 69 (QB) </w:t>
      </w:r>
      <w:r>
        <w:rPr/>
        <w:t>at [55]; “separate” here means an obligation additional to those arising under the main contract). The fact that the alleged collateral contract would not have imposed on that defendant any obligation beyond those already incumbent on him under the original (main) contract would tend to negative that party’s intention to give the collateral undertaking contractual force: cf. </w:t>
      </w:r>
      <w:r>
        <w:rPr>
          <w:rFonts w:ascii="Arial" w:hAnsi="Arial"/>
          <w:i/>
        </w:rPr>
        <w:t>The Aramis [1989] 1 Lloyd’s Rep. 213</w:t>
      </w:r>
      <w:r>
        <w:rPr/>
        <w:t>, where similar reasoning led the Court of Appeal to refuse to </w:t>
      </w:r>
      <w:r>
        <w:rPr>
          <w:rFonts w:ascii="Arial" w:hAnsi="Arial"/>
          <w:i/>
        </w:rPr>
        <w:t>imply </w:t>
      </w:r>
      <w:r>
        <w:rPr/>
        <w:t>a contract for want of contractual intention (see</w:t>
      </w:r>
      <w:r>
        <w:rPr>
          <w:spacing w:val="-3"/>
        </w:rPr>
        <w:t> </w:t>
      </w:r>
      <w:r>
        <w:rPr/>
        <w:t>Main</w:t>
      </w:r>
      <w:r>
        <w:rPr>
          <w:spacing w:val="-3"/>
        </w:rPr>
        <w:t> </w:t>
      </w:r>
      <w:r>
        <w:rPr/>
        <w:t>Work,</w:t>
      </w:r>
      <w:r>
        <w:rPr>
          <w:spacing w:val="-3"/>
        </w:rPr>
        <w:t> </w:t>
      </w:r>
      <w:r>
        <w:rPr/>
        <w:t>Vol.I,</w:t>
      </w:r>
      <w:r>
        <w:rPr>
          <w:spacing w:val="-3"/>
        </w:rPr>
        <w:t> </w:t>
      </w:r>
      <w:r>
        <w:rPr/>
        <w:t>para.2-109);</w:t>
      </w:r>
      <w:r>
        <w:rPr>
          <w:spacing w:val="-3"/>
        </w:rPr>
        <w:t> </w:t>
      </w:r>
      <w:r>
        <w:rPr/>
        <w:t>in</w:t>
      </w:r>
      <w:r>
        <w:rPr>
          <w:spacing w:val="-3"/>
        </w:rPr>
        <w:t> </w:t>
      </w:r>
      <w:r>
        <w:rPr/>
        <w:t>the</w:t>
      </w:r>
      <w:r>
        <w:rPr>
          <w:spacing w:val="-4"/>
        </w:rPr>
        <w:t> </w:t>
      </w:r>
      <w:r>
        <w:rPr>
          <w:rFonts w:ascii="Arial" w:hAnsi="Arial"/>
          <w:i/>
        </w:rPr>
        <w:t>Secker</w:t>
      </w:r>
      <w:r>
        <w:rPr>
          <w:rFonts w:ascii="Arial" w:hAnsi="Arial"/>
          <w:i/>
          <w:spacing w:val="-3"/>
        </w:rPr>
        <w:t> </w:t>
      </w:r>
      <w:r>
        <w:rPr/>
        <w:t>case,</w:t>
      </w:r>
      <w:r>
        <w:rPr>
          <w:spacing w:val="-3"/>
        </w:rPr>
        <w:t> </w:t>
      </w:r>
      <w:r>
        <w:rPr/>
        <w:t>the</w:t>
      </w:r>
      <w:r>
        <w:rPr>
          <w:spacing w:val="-3"/>
        </w:rPr>
        <w:t> </w:t>
      </w:r>
      <w:r>
        <w:rPr/>
        <w:t>Court</w:t>
      </w:r>
      <w:r>
        <w:rPr>
          <w:spacing w:val="-3"/>
        </w:rPr>
        <w:t> </w:t>
      </w:r>
      <w:r>
        <w:rPr/>
        <w:t>rejected</w:t>
      </w:r>
      <w:r>
        <w:rPr>
          <w:spacing w:val="-3"/>
        </w:rPr>
        <w:t> </w:t>
      </w:r>
      <w:r>
        <w:rPr/>
        <w:t>the</w:t>
      </w:r>
      <w:r>
        <w:rPr>
          <w:spacing w:val="-3"/>
        </w:rPr>
        <w:t> </w:t>
      </w:r>
      <w:r>
        <w:rPr/>
        <w:t>collateral</w:t>
      </w:r>
      <w:r>
        <w:rPr>
          <w:spacing w:val="-3"/>
        </w:rPr>
        <w:t> </w:t>
      </w:r>
      <w:r>
        <w:rPr/>
        <w:t>contract argument on the same ground, even though the undertaking alleged to have given rise to that contract was an </w:t>
      </w:r>
      <w:r>
        <w:rPr>
          <w:rFonts w:ascii="Arial" w:hAnsi="Arial"/>
          <w:i/>
        </w:rPr>
        <w:t>express </w:t>
      </w:r>
      <w:r>
        <w:rPr/>
        <w:t>one (cf. Main Work, Vol.I, para.18-011). No third party problem arose</w:t>
      </w:r>
      <w:r>
        <w:rPr>
          <w:spacing w:val="40"/>
        </w:rPr>
        <w:t> </w:t>
      </w:r>
      <w:r>
        <w:rPr/>
        <w:t>in the Secker case as the main contract was between the same parties as the alleged collateral contract: see </w:t>
      </w:r>
      <w:r>
        <w:rPr>
          <w:rFonts w:ascii="Arial" w:hAnsi="Arial"/>
          <w:i/>
        </w:rPr>
        <w:t>[2017] EWHC 69 (QB) </w:t>
      </w:r>
      <w:r>
        <w:rPr/>
        <w:t>at [3] and [4iii].</w:t>
      </w:r>
    </w:p>
    <w:p>
      <w:pPr>
        <w:pStyle w:val="BodyText"/>
        <w:spacing w:after="0" w:line="235" w:lineRule="auto"/>
        <w:jc w:val="both"/>
        <w:sectPr>
          <w:type w:val="continuous"/>
          <w:pgSz w:w="11900" w:h="16840"/>
          <w:pgMar w:header="971" w:footer="0" w:top="1160" w:bottom="280" w:left="1275" w:right="1275"/>
          <w:cols w:num="2" w:equalWidth="0">
            <w:col w:w="400" w:space="141"/>
            <w:col w:w="8809"/>
          </w:cols>
        </w:sectPr>
      </w:pPr>
    </w:p>
    <w:p>
      <w:pPr>
        <w:pStyle w:val="BodyText"/>
        <w:tabs>
          <w:tab w:pos="705" w:val="left" w:leader="none"/>
        </w:tabs>
        <w:spacing w:before="229"/>
        <w:ind w:left="165"/>
      </w:pPr>
      <w:bookmarkStart w:name="_bookmark118" w:id="120"/>
      <w:bookmarkEnd w:id="120"/>
      <w:r>
        <w:rPr/>
      </w:r>
      <w:hyperlink w:history="true" w:anchor="_bookmark40">
        <w:r>
          <w:rPr>
            <w:color w:val="005DA1"/>
            <w:spacing w:val="-5"/>
            <w:position w:val="5"/>
            <w:sz w:val="14"/>
            <w:u w:val="single" w:color="005DA1"/>
          </w:rPr>
          <w:t>27</w:t>
        </w:r>
      </w:hyperlink>
      <w:r>
        <w:rPr>
          <w:spacing w:val="-5"/>
          <w:position w:val="5"/>
          <w:sz w:val="14"/>
        </w:rPr>
        <w:t>.</w:t>
      </w:r>
      <w:r>
        <w:rPr>
          <w:position w:val="5"/>
          <w:sz w:val="14"/>
        </w:rPr>
        <w:tab/>
      </w:r>
      <w:r>
        <w:rPr/>
        <w:t>For legislative control of exemption clauses in such guarantees, see above, </w:t>
      </w:r>
      <w:r>
        <w:rPr>
          <w:spacing w:val="-2"/>
        </w:rPr>
        <w:t>Ch.15.</w:t>
      </w:r>
    </w:p>
    <w:p>
      <w:pPr>
        <w:pStyle w:val="BodyText"/>
        <w:spacing w:before="5"/>
      </w:pPr>
    </w:p>
    <w:p>
      <w:pPr>
        <w:pStyle w:val="BodyText"/>
        <w:tabs>
          <w:tab w:pos="705" w:val="left" w:leader="none"/>
        </w:tabs>
        <w:ind w:left="165"/>
      </w:pPr>
      <w:bookmarkStart w:name="_bookmark119" w:id="121"/>
      <w:bookmarkEnd w:id="121"/>
      <w:r>
        <w:rPr/>
      </w:r>
      <w:hyperlink w:history="true" w:anchor="_bookmark41">
        <w:r>
          <w:rPr>
            <w:color w:val="005DA1"/>
            <w:spacing w:val="-5"/>
            <w:position w:val="5"/>
            <w:sz w:val="14"/>
            <w:u w:val="single" w:color="005DA1"/>
          </w:rPr>
          <w:t>28</w:t>
        </w:r>
      </w:hyperlink>
      <w:r>
        <w:rPr>
          <w:spacing w:val="-5"/>
          <w:position w:val="5"/>
          <w:sz w:val="14"/>
        </w:rPr>
        <w:t>.</w:t>
      </w:r>
      <w:r>
        <w:rPr>
          <w:position w:val="5"/>
          <w:sz w:val="14"/>
        </w:rPr>
        <w:tab/>
      </w:r>
      <w:r>
        <w:rPr/>
        <w:t>The Act is fully discussed in Vol.II Ch.38; for its s.30, see para.38-</w:t>
      </w:r>
      <w:r>
        <w:rPr>
          <w:spacing w:val="-4"/>
        </w:rPr>
        <w:t>491.</w:t>
      </w:r>
    </w:p>
    <w:p>
      <w:pPr>
        <w:pStyle w:val="BodyText"/>
        <w:spacing w:after="0"/>
        <w:sectPr>
          <w:type w:val="continuous"/>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42">
        <w:r>
          <w:rPr>
            <w:color w:val="005DA1"/>
            <w:spacing w:val="-5"/>
            <w:position w:val="5"/>
            <w:sz w:val="14"/>
            <w:u w:val="single" w:color="005DA1"/>
          </w:rPr>
          <w:t>29</w:t>
        </w:r>
      </w:hyperlink>
      <w:r>
        <w:rPr>
          <w:spacing w:val="-5"/>
          <w:position w:val="5"/>
          <w:sz w:val="14"/>
        </w:rPr>
        <w:t>.</w:t>
      </w:r>
      <w:r>
        <w:rPr>
          <w:position w:val="5"/>
          <w:sz w:val="14"/>
        </w:rPr>
        <w:tab/>
      </w:r>
      <w:r>
        <w:rPr/>
        <w:t>“Trader” and “consumer” are defined in s.2(3)(a) and 2(3)(b) of the 2015 </w:t>
      </w:r>
      <w:r>
        <w:rPr>
          <w:spacing w:val="-4"/>
        </w:rPr>
        <w:t>Act.</w:t>
      </w:r>
    </w:p>
    <w:p>
      <w:pPr>
        <w:pStyle w:val="BodyText"/>
        <w:spacing w:before="9"/>
      </w:pPr>
    </w:p>
    <w:p>
      <w:pPr>
        <w:pStyle w:val="BodyText"/>
        <w:spacing w:line="235" w:lineRule="auto"/>
        <w:ind w:left="705" w:right="167" w:hanging="541"/>
        <w:jc w:val="both"/>
      </w:pPr>
      <w:bookmarkStart w:name="_bookmark120" w:id="122"/>
      <w:bookmarkEnd w:id="122"/>
      <w:r>
        <w:rPr/>
      </w:r>
      <w:hyperlink w:history="true" w:anchor="_bookmark43">
        <w:r>
          <w:rPr>
            <w:color w:val="005DA1"/>
            <w:position w:val="5"/>
            <w:sz w:val="14"/>
            <w:u w:val="single" w:color="005DA1"/>
          </w:rPr>
          <w:t>30</w:t>
        </w:r>
      </w:hyperlink>
      <w:r>
        <w:rPr>
          <w:position w:val="5"/>
          <w:sz w:val="14"/>
        </w:rPr>
        <w:t>.</w:t>
      </w:r>
      <w:r>
        <w:rPr>
          <w:spacing w:val="40"/>
          <w:position w:val="5"/>
          <w:sz w:val="14"/>
        </w:rPr>
        <w:t>  </w:t>
      </w:r>
      <w:r>
        <w:rPr/>
        <w:t>2015 Act s.30(3). Words to the same effect are used in the Sale and Supply of Goods </w:t>
      </w:r>
      <w:r>
        <w:rPr/>
        <w:t>to Consumers Regulations 2002 (SI 2002/3045) reg.15(1); these Regulations are revoked by s.60 and Sch.1, para.53 of the 2015 Act.</w:t>
      </w:r>
    </w:p>
    <w:p>
      <w:pPr>
        <w:pStyle w:val="BodyText"/>
        <w:spacing w:before="8"/>
      </w:pPr>
    </w:p>
    <w:p>
      <w:pPr>
        <w:pStyle w:val="BodyText"/>
        <w:tabs>
          <w:tab w:pos="705" w:val="left" w:leader="none"/>
        </w:tabs>
        <w:spacing w:line="235" w:lineRule="auto" w:before="1"/>
        <w:ind w:left="705" w:right="167" w:hanging="541"/>
      </w:pPr>
      <w:bookmarkStart w:name="_bookmark121" w:id="123"/>
      <w:bookmarkEnd w:id="123"/>
      <w:r>
        <w:rPr/>
      </w:r>
      <w:hyperlink w:history="true" w:anchor="_bookmark44">
        <w:r>
          <w:rPr>
            <w:color w:val="005DA1"/>
            <w:spacing w:val="-4"/>
            <w:position w:val="5"/>
            <w:sz w:val="14"/>
            <w:u w:val="single" w:color="005DA1"/>
          </w:rPr>
          <w:t>31</w:t>
        </w:r>
      </w:hyperlink>
      <w:r>
        <w:rPr>
          <w:spacing w:val="-4"/>
          <w:position w:val="5"/>
          <w:sz w:val="14"/>
        </w:rPr>
        <w:t>.</w:t>
      </w:r>
      <w:r>
        <w:rPr>
          <w:position w:val="5"/>
          <w:sz w:val="14"/>
        </w:rPr>
        <w:tab/>
      </w:r>
      <w:r>
        <w:rPr/>
        <w:t>The</w:t>
      </w:r>
      <w:r>
        <w:rPr>
          <w:spacing w:val="40"/>
        </w:rPr>
        <w:t> </w:t>
      </w:r>
      <w:r>
        <w:rPr/>
        <w:t>2015</w:t>
      </w:r>
      <w:r>
        <w:rPr>
          <w:spacing w:val="40"/>
        </w:rPr>
        <w:t> </w:t>
      </w:r>
      <w:r>
        <w:rPr/>
        <w:t>Act</w:t>
      </w:r>
      <w:r>
        <w:rPr>
          <w:spacing w:val="40"/>
        </w:rPr>
        <w:t> </w:t>
      </w:r>
      <w:r>
        <w:rPr/>
        <w:t>applies</w:t>
      </w:r>
      <w:r>
        <w:rPr>
          <w:spacing w:val="40"/>
        </w:rPr>
        <w:t> </w:t>
      </w:r>
      <w:r>
        <w:rPr/>
        <w:t>to</w:t>
      </w:r>
      <w:r>
        <w:rPr>
          <w:spacing w:val="40"/>
        </w:rPr>
        <w:t> </w:t>
      </w:r>
      <w:r>
        <w:rPr/>
        <w:t>contracts</w:t>
      </w:r>
      <w:r>
        <w:rPr>
          <w:spacing w:val="40"/>
        </w:rPr>
        <w:t> </w:t>
      </w:r>
      <w:r>
        <w:rPr/>
        <w:t>made</w:t>
      </w:r>
      <w:r>
        <w:rPr>
          <w:spacing w:val="40"/>
        </w:rPr>
        <w:t> </w:t>
      </w:r>
      <w:r>
        <w:rPr/>
        <w:t>on</w:t>
      </w:r>
      <w:r>
        <w:rPr>
          <w:spacing w:val="40"/>
        </w:rPr>
        <w:t> </w:t>
      </w:r>
      <w:r>
        <w:rPr/>
        <w:t>or</w:t>
      </w:r>
      <w:r>
        <w:rPr>
          <w:spacing w:val="40"/>
        </w:rPr>
        <w:t> </w:t>
      </w:r>
      <w:r>
        <w:rPr/>
        <w:t>after</w:t>
      </w:r>
      <w:r>
        <w:rPr>
          <w:spacing w:val="40"/>
        </w:rPr>
        <w:t> </w:t>
      </w:r>
      <w:r>
        <w:rPr/>
        <w:t>October</w:t>
      </w:r>
      <w:r>
        <w:rPr>
          <w:spacing w:val="40"/>
        </w:rPr>
        <w:t> </w:t>
      </w:r>
      <w:r>
        <w:rPr/>
        <w:t>1,</w:t>
      </w:r>
      <w:r>
        <w:rPr>
          <w:spacing w:val="40"/>
        </w:rPr>
        <w:t> </w:t>
      </w:r>
      <w:r>
        <w:rPr/>
        <w:t>2015;</w:t>
      </w:r>
      <w:r>
        <w:rPr>
          <w:spacing w:val="40"/>
        </w:rPr>
        <w:t> </w:t>
      </w:r>
      <w:r>
        <w:rPr/>
        <w:t>see</w:t>
      </w:r>
      <w:r>
        <w:rPr>
          <w:spacing w:val="40"/>
        </w:rPr>
        <w:t> </w:t>
      </w:r>
      <w:r>
        <w:rPr/>
        <w:t>below,</w:t>
      </w:r>
      <w:r>
        <w:rPr>
          <w:spacing w:val="40"/>
        </w:rPr>
        <w:t> </w:t>
      </w:r>
      <w:r>
        <w:rPr/>
        <w:t>Vol.II,</w:t>
      </w:r>
      <w:r>
        <w:rPr>
          <w:spacing w:val="40"/>
        </w:rPr>
        <w:t> </w:t>
      </w:r>
      <w:r>
        <w:rPr>
          <w:spacing w:val="-2"/>
        </w:rPr>
        <w:t>para.38-197.</w:t>
      </w:r>
    </w:p>
    <w:p>
      <w:pPr>
        <w:pStyle w:val="BodyText"/>
        <w:spacing w:before="5"/>
      </w:pPr>
    </w:p>
    <w:p>
      <w:pPr>
        <w:pStyle w:val="BodyText"/>
        <w:tabs>
          <w:tab w:pos="705" w:val="left" w:leader="none"/>
        </w:tabs>
        <w:ind w:left="165"/>
      </w:pPr>
      <w:bookmarkStart w:name="_bookmark122" w:id="124"/>
      <w:bookmarkEnd w:id="124"/>
      <w:r>
        <w:rPr/>
      </w:r>
      <w:hyperlink w:history="true" w:anchor="_bookmark45">
        <w:r>
          <w:rPr>
            <w:color w:val="005DA1"/>
            <w:spacing w:val="-5"/>
            <w:position w:val="5"/>
            <w:sz w:val="14"/>
            <w:u w:val="single" w:color="005DA1"/>
          </w:rPr>
          <w:t>32</w:t>
        </w:r>
      </w:hyperlink>
      <w:r>
        <w:rPr>
          <w:spacing w:val="-5"/>
          <w:position w:val="5"/>
          <w:sz w:val="14"/>
        </w:rPr>
        <w:t>.</w:t>
      </w:r>
      <w:r>
        <w:rPr>
          <w:position w:val="5"/>
          <w:sz w:val="14"/>
        </w:rPr>
        <w:tab/>
      </w:r>
      <w:r>
        <w:rPr/>
        <w:t>See paras 18-010 and 18-011 </w:t>
      </w:r>
      <w:r>
        <w:rPr>
          <w:spacing w:val="-2"/>
        </w:rPr>
        <w:t>below.</w:t>
      </w:r>
    </w:p>
    <w:p>
      <w:pPr>
        <w:pStyle w:val="BodyText"/>
        <w:spacing w:before="5"/>
      </w:pPr>
    </w:p>
    <w:p>
      <w:pPr>
        <w:tabs>
          <w:tab w:pos="705" w:val="left" w:leader="none"/>
        </w:tabs>
        <w:spacing w:before="0"/>
        <w:ind w:left="165" w:right="0" w:firstLine="0"/>
        <w:jc w:val="left"/>
        <w:rPr>
          <w:sz w:val="20"/>
        </w:rPr>
      </w:pPr>
      <w:bookmarkStart w:name="_bookmark123" w:id="125"/>
      <w:bookmarkEnd w:id="125"/>
      <w:r>
        <w:rPr/>
      </w:r>
      <w:hyperlink w:history="true" w:anchor="_bookmark46">
        <w:r>
          <w:rPr>
            <w:color w:val="005DA1"/>
            <w:spacing w:val="-5"/>
            <w:position w:val="5"/>
            <w:sz w:val="14"/>
            <w:u w:val="single" w:color="005DA1"/>
          </w:rPr>
          <w:t>33</w:t>
        </w:r>
      </w:hyperlink>
      <w:r>
        <w:rPr>
          <w:spacing w:val="-5"/>
          <w:position w:val="5"/>
          <w:sz w:val="14"/>
        </w:rPr>
        <w:t>.</w:t>
      </w:r>
      <w:r>
        <w:rPr>
          <w:position w:val="5"/>
          <w:sz w:val="14"/>
        </w:rPr>
        <w:tab/>
      </w:r>
      <w:r>
        <w:rPr>
          <w:sz w:val="20"/>
        </w:rPr>
        <w:t>SI </w:t>
      </w:r>
      <w:r>
        <w:rPr>
          <w:spacing w:val="-2"/>
          <w:sz w:val="20"/>
        </w:rPr>
        <w:t>2013/3134.</w:t>
      </w:r>
    </w:p>
    <w:p>
      <w:pPr>
        <w:pStyle w:val="BodyText"/>
        <w:spacing w:before="5"/>
      </w:pPr>
    </w:p>
    <w:p>
      <w:pPr>
        <w:tabs>
          <w:tab w:pos="705" w:val="left" w:leader="none"/>
        </w:tabs>
        <w:spacing w:before="0"/>
        <w:ind w:left="165" w:right="0" w:firstLine="0"/>
        <w:jc w:val="left"/>
        <w:rPr>
          <w:sz w:val="20"/>
        </w:rPr>
      </w:pPr>
      <w:bookmarkStart w:name="_bookmark124" w:id="126"/>
      <w:bookmarkEnd w:id="126"/>
      <w:r>
        <w:rPr/>
      </w:r>
      <w:hyperlink w:history="true" w:anchor="_bookmark47">
        <w:r>
          <w:rPr>
            <w:color w:val="005DA1"/>
            <w:spacing w:val="-5"/>
            <w:position w:val="5"/>
            <w:sz w:val="14"/>
            <w:u w:val="single" w:color="005DA1"/>
          </w:rPr>
          <w:t>34</w:t>
        </w:r>
      </w:hyperlink>
      <w:r>
        <w:rPr>
          <w:spacing w:val="-5"/>
          <w:position w:val="5"/>
          <w:sz w:val="14"/>
        </w:rPr>
        <w:t>.</w:t>
      </w:r>
      <w:r>
        <w:rPr>
          <w:position w:val="5"/>
          <w:sz w:val="14"/>
        </w:rPr>
        <w:tab/>
      </w:r>
      <w:r>
        <w:rPr>
          <w:sz w:val="20"/>
        </w:rPr>
        <w:t>ibid., </w:t>
      </w:r>
      <w:r>
        <w:rPr>
          <w:spacing w:val="-2"/>
          <w:sz w:val="20"/>
        </w:rPr>
        <w:t>reg.5.</w:t>
      </w:r>
    </w:p>
    <w:p>
      <w:pPr>
        <w:pStyle w:val="BodyText"/>
        <w:spacing w:before="5"/>
      </w:pPr>
    </w:p>
    <w:p>
      <w:pPr>
        <w:pStyle w:val="BodyText"/>
        <w:tabs>
          <w:tab w:pos="705" w:val="left" w:leader="none"/>
        </w:tabs>
        <w:ind w:left="165"/>
      </w:pPr>
      <w:bookmarkStart w:name="_bookmark125" w:id="127"/>
      <w:bookmarkEnd w:id="127"/>
      <w:r>
        <w:rPr/>
      </w:r>
      <w:hyperlink w:history="true" w:anchor="_bookmark48">
        <w:r>
          <w:rPr>
            <w:color w:val="005DA1"/>
            <w:spacing w:val="-5"/>
            <w:position w:val="5"/>
            <w:sz w:val="14"/>
            <w:u w:val="single" w:color="005DA1"/>
          </w:rPr>
          <w:t>35</w:t>
        </w:r>
      </w:hyperlink>
      <w:r>
        <w:rPr>
          <w:spacing w:val="-5"/>
          <w:position w:val="5"/>
          <w:sz w:val="14"/>
        </w:rPr>
        <w:t>.</w:t>
      </w:r>
      <w:r>
        <w:rPr>
          <w:position w:val="5"/>
          <w:sz w:val="14"/>
        </w:rPr>
        <w:tab/>
      </w:r>
      <w:r>
        <w:rPr/>
        <w:t>“Consumer” and “trader” are defined in reg.4 of the 2013 Regulations (above, </w:t>
      </w:r>
      <w:r>
        <w:rPr>
          <w:spacing w:val="-2"/>
        </w:rPr>
        <w:t>n.31).</w:t>
      </w:r>
    </w:p>
    <w:p>
      <w:pPr>
        <w:pStyle w:val="BodyText"/>
        <w:spacing w:before="5"/>
      </w:pPr>
    </w:p>
    <w:p>
      <w:pPr>
        <w:tabs>
          <w:tab w:pos="705" w:val="left" w:leader="none"/>
        </w:tabs>
        <w:spacing w:before="0"/>
        <w:ind w:left="165" w:right="0" w:firstLine="0"/>
        <w:jc w:val="left"/>
        <w:rPr>
          <w:sz w:val="20"/>
        </w:rPr>
      </w:pPr>
      <w:bookmarkStart w:name="_bookmark126" w:id="128"/>
      <w:bookmarkEnd w:id="128"/>
      <w:r>
        <w:rPr/>
      </w:r>
      <w:hyperlink w:history="true" w:anchor="_bookmark49">
        <w:r>
          <w:rPr>
            <w:color w:val="005DA1"/>
            <w:spacing w:val="-5"/>
            <w:position w:val="5"/>
            <w:sz w:val="14"/>
            <w:u w:val="single" w:color="005DA1"/>
          </w:rPr>
          <w:t>36</w:t>
        </w:r>
      </w:hyperlink>
      <w:r>
        <w:rPr>
          <w:spacing w:val="-5"/>
          <w:position w:val="5"/>
          <w:sz w:val="14"/>
        </w:rPr>
        <w:t>.</w:t>
      </w:r>
      <w:r>
        <w:rPr>
          <w:position w:val="5"/>
          <w:sz w:val="14"/>
        </w:rPr>
        <w:tab/>
      </w:r>
      <w:r>
        <w:rPr>
          <w:sz w:val="20"/>
        </w:rPr>
        <w:t>At n.28 </w:t>
      </w:r>
      <w:r>
        <w:rPr>
          <w:spacing w:val="-2"/>
          <w:sz w:val="20"/>
        </w:rPr>
        <w:t>above.</w:t>
      </w:r>
    </w:p>
    <w:p>
      <w:pPr>
        <w:pStyle w:val="BodyText"/>
        <w:spacing w:before="5"/>
      </w:pPr>
    </w:p>
    <w:p>
      <w:pPr>
        <w:tabs>
          <w:tab w:pos="705" w:val="left" w:leader="none"/>
        </w:tabs>
        <w:spacing w:before="0"/>
        <w:ind w:left="165" w:right="0" w:firstLine="0"/>
        <w:jc w:val="left"/>
        <w:rPr>
          <w:sz w:val="20"/>
        </w:rPr>
      </w:pPr>
      <w:bookmarkStart w:name="_bookmark127" w:id="129"/>
      <w:bookmarkEnd w:id="129"/>
      <w:r>
        <w:rPr/>
      </w:r>
      <w:hyperlink w:history="true" w:anchor="_bookmark50">
        <w:r>
          <w:rPr>
            <w:color w:val="005DA1"/>
            <w:spacing w:val="-5"/>
            <w:position w:val="5"/>
            <w:sz w:val="14"/>
            <w:u w:val="single" w:color="005DA1"/>
          </w:rPr>
          <w:t>37</w:t>
        </w:r>
      </w:hyperlink>
      <w:r>
        <w:rPr>
          <w:spacing w:val="-5"/>
          <w:position w:val="5"/>
          <w:sz w:val="14"/>
        </w:rPr>
        <w:t>.</w:t>
      </w:r>
      <w:r>
        <w:rPr>
          <w:position w:val="5"/>
          <w:sz w:val="14"/>
        </w:rPr>
        <w:tab/>
      </w:r>
      <w:r>
        <w:rPr>
          <w:sz w:val="20"/>
        </w:rPr>
        <w:t>As seems to have been the position in the</w:t>
      </w:r>
      <w:r>
        <w:rPr>
          <w:spacing w:val="-1"/>
          <w:sz w:val="20"/>
        </w:rPr>
        <w:t> </w:t>
      </w:r>
      <w:r>
        <w:rPr>
          <w:rFonts w:ascii="Arial"/>
          <w:i/>
          <w:sz w:val="20"/>
        </w:rPr>
        <w:t>Shanklin Pier</w:t>
      </w:r>
      <w:r>
        <w:rPr>
          <w:rFonts w:ascii="Arial"/>
          <w:i/>
          <w:spacing w:val="-1"/>
          <w:sz w:val="20"/>
        </w:rPr>
        <w:t> </w:t>
      </w:r>
      <w:r>
        <w:rPr>
          <w:sz w:val="20"/>
        </w:rPr>
        <w:t>case, above </w:t>
      </w:r>
      <w:r>
        <w:rPr>
          <w:spacing w:val="-2"/>
          <w:sz w:val="20"/>
        </w:rPr>
        <w:t>n.25.</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128" w:id="130"/>
      <w:bookmarkEnd w:id="130"/>
      <w:r>
        <w:rPr/>
      </w:r>
      <w:hyperlink w:history="true" w:anchor="_bookmark51">
        <w:r>
          <w:rPr>
            <w:color w:val="005DA1"/>
            <w:spacing w:val="-5"/>
            <w:sz w:val="14"/>
            <w:u w:val="single" w:color="005DA1"/>
          </w:rPr>
          <w:t>38</w:t>
        </w:r>
      </w:hyperlink>
      <w:r>
        <w:rPr>
          <w:spacing w:val="-5"/>
          <w:sz w:val="14"/>
        </w:rPr>
        <w:t>.</w:t>
      </w:r>
    </w:p>
    <w:p>
      <w:pPr>
        <w:spacing w:line="235" w:lineRule="auto" w:before="212"/>
        <w:ind w:left="165" w:right="167" w:firstLine="170"/>
        <w:jc w:val="both"/>
        <w:rPr>
          <w:sz w:val="20"/>
        </w:rPr>
      </w:pPr>
      <w:r>
        <w:rPr/>
        <w:br w:type="column"/>
      </w:r>
      <w:r>
        <w:rPr>
          <w:sz w:val="20"/>
        </w:rPr>
        <w:t>e.g. </w:t>
      </w:r>
      <w:r>
        <w:rPr>
          <w:rFonts w:ascii="Arial" w:hAnsi="Arial"/>
          <w:i/>
          <w:sz w:val="20"/>
        </w:rPr>
        <w:t>Simaan General Contracting Co v Pilkington Glass Ltd (No.2) [1988] Q.B. 758</w:t>
      </w:r>
      <w:r>
        <w:rPr>
          <w:sz w:val="20"/>
        </w:rPr>
        <w:t>; </w:t>
      </w:r>
      <w:r>
        <w:rPr>
          <w:rFonts w:ascii="Arial" w:hAnsi="Arial"/>
          <w:i/>
          <w:sz w:val="20"/>
        </w:rPr>
        <w:t>National Trust v Haden &amp; Young (1994) 72 B.L.R. 1</w:t>
      </w:r>
      <w:r>
        <w:rPr>
          <w:sz w:val="20"/>
        </w:rPr>
        <w:t>. Similarly, in </w:t>
      </w:r>
      <w:r>
        <w:rPr>
          <w:rFonts w:ascii="Arial" w:hAnsi="Arial"/>
          <w:i/>
          <w:sz w:val="20"/>
        </w:rPr>
        <w:t>British American Tobacco Switzerland SA v Exel Europe Ltd [2012] EWHC 694 (Comm), [2013] 1 W.L.R. 317 </w:t>
      </w:r>
      <w:r>
        <w:rPr>
          <w:sz w:val="20"/>
        </w:rPr>
        <w:t>A had entered into a contract for the carriage of A’s goods with B and B engaged a subcontracting carrier (C) </w:t>
      </w:r>
      <w:r>
        <w:rPr>
          <w:sz w:val="20"/>
        </w:rPr>
        <w:t>to</w:t>
      </w:r>
      <w:r>
        <w:rPr>
          <w:spacing w:val="40"/>
          <w:sz w:val="20"/>
        </w:rPr>
        <w:t> </w:t>
      </w:r>
      <w:r>
        <w:rPr>
          <w:sz w:val="20"/>
        </w:rPr>
        <w:t>carry</w:t>
      </w:r>
      <w:r>
        <w:rPr>
          <w:spacing w:val="-1"/>
          <w:sz w:val="20"/>
        </w:rPr>
        <w:t> </w:t>
      </w:r>
      <w:r>
        <w:rPr>
          <w:sz w:val="20"/>
        </w:rPr>
        <w:t>out</w:t>
      </w:r>
      <w:r>
        <w:rPr>
          <w:spacing w:val="-1"/>
          <w:sz w:val="20"/>
        </w:rPr>
        <w:t> </w:t>
      </w:r>
      <w:r>
        <w:rPr>
          <w:sz w:val="20"/>
        </w:rPr>
        <w:t>the</w:t>
      </w:r>
      <w:r>
        <w:rPr>
          <w:spacing w:val="-1"/>
          <w:sz w:val="20"/>
        </w:rPr>
        <w:t> </w:t>
      </w:r>
      <w:r>
        <w:rPr>
          <w:sz w:val="20"/>
        </w:rPr>
        <w:t>carriage</w:t>
      </w:r>
      <w:r>
        <w:rPr>
          <w:spacing w:val="-1"/>
          <w:sz w:val="20"/>
        </w:rPr>
        <w:t> </w:t>
      </w:r>
      <w:r>
        <w:rPr>
          <w:sz w:val="20"/>
        </w:rPr>
        <w:t>operation,</w:t>
      </w:r>
      <w:r>
        <w:rPr>
          <w:spacing w:val="-1"/>
          <w:sz w:val="20"/>
        </w:rPr>
        <w:t> </w:t>
      </w:r>
      <w:r>
        <w:rPr>
          <w:sz w:val="20"/>
        </w:rPr>
        <w:t>but</w:t>
      </w:r>
      <w:r>
        <w:rPr>
          <w:spacing w:val="-1"/>
          <w:sz w:val="20"/>
        </w:rPr>
        <w:t> </w:t>
      </w:r>
      <w:r>
        <w:rPr>
          <w:sz w:val="20"/>
        </w:rPr>
        <w:t>there</w:t>
      </w:r>
      <w:r>
        <w:rPr>
          <w:spacing w:val="-1"/>
          <w:sz w:val="20"/>
        </w:rPr>
        <w:t> </w:t>
      </w:r>
      <w:r>
        <w:rPr>
          <w:sz w:val="20"/>
        </w:rPr>
        <w:t>was</w:t>
      </w:r>
      <w:r>
        <w:rPr>
          <w:spacing w:val="-1"/>
          <w:sz w:val="20"/>
        </w:rPr>
        <w:t> </w:t>
      </w:r>
      <w:r>
        <w:rPr>
          <w:sz w:val="20"/>
        </w:rPr>
        <w:t>“no</w:t>
      </w:r>
      <w:r>
        <w:rPr>
          <w:spacing w:val="-1"/>
          <w:sz w:val="20"/>
        </w:rPr>
        <w:t> </w:t>
      </w:r>
      <w:r>
        <w:rPr>
          <w:sz w:val="20"/>
        </w:rPr>
        <w:t>direct</w:t>
      </w:r>
      <w:r>
        <w:rPr>
          <w:spacing w:val="-1"/>
          <w:sz w:val="20"/>
        </w:rPr>
        <w:t> </w:t>
      </w:r>
      <w:r>
        <w:rPr>
          <w:sz w:val="20"/>
        </w:rPr>
        <w:t>agreement”</w:t>
      </w:r>
      <w:r>
        <w:rPr>
          <w:spacing w:val="-1"/>
          <w:sz w:val="20"/>
        </w:rPr>
        <w:t> </w:t>
      </w:r>
      <w:r>
        <w:rPr>
          <w:sz w:val="20"/>
        </w:rPr>
        <w:t>(at</w:t>
      </w:r>
      <w:r>
        <w:rPr>
          <w:spacing w:val="-1"/>
          <w:sz w:val="20"/>
        </w:rPr>
        <w:t> </w:t>
      </w:r>
      <w:r>
        <w:rPr>
          <w:sz w:val="20"/>
        </w:rPr>
        <w:t>[10])</w:t>
      </w:r>
      <w:r>
        <w:rPr>
          <w:spacing w:val="-1"/>
          <w:sz w:val="20"/>
        </w:rPr>
        <w:t> </w:t>
      </w:r>
      <w:r>
        <w:rPr>
          <w:sz w:val="20"/>
        </w:rPr>
        <w:t>between</w:t>
      </w:r>
      <w:r>
        <w:rPr>
          <w:spacing w:val="-1"/>
          <w:sz w:val="20"/>
        </w:rPr>
        <w:t> </w:t>
      </w:r>
      <w:r>
        <w:rPr>
          <w:sz w:val="20"/>
        </w:rPr>
        <w:t>A</w:t>
      </w:r>
      <w:r>
        <w:rPr>
          <w:spacing w:val="-1"/>
          <w:sz w:val="20"/>
        </w:rPr>
        <w:t> </w:t>
      </w:r>
      <w:r>
        <w:rPr>
          <w:sz w:val="20"/>
        </w:rPr>
        <w:t>and</w:t>
      </w:r>
      <w:r>
        <w:rPr>
          <w:spacing w:val="-1"/>
          <w:sz w:val="20"/>
        </w:rPr>
        <w:t> </w:t>
      </w:r>
      <w:r>
        <w:rPr>
          <w:sz w:val="20"/>
        </w:rPr>
        <w:t>C. It was held that there was no contract at common law between A and C by virtue of which C could</w:t>
      </w:r>
      <w:r>
        <w:rPr>
          <w:spacing w:val="-3"/>
          <w:sz w:val="20"/>
        </w:rPr>
        <w:t> </w:t>
      </w:r>
      <w:r>
        <w:rPr>
          <w:sz w:val="20"/>
        </w:rPr>
        <w:t>be</w:t>
      </w:r>
      <w:r>
        <w:rPr>
          <w:spacing w:val="-3"/>
          <w:sz w:val="20"/>
        </w:rPr>
        <w:t> </w:t>
      </w:r>
      <w:r>
        <w:rPr>
          <w:sz w:val="20"/>
        </w:rPr>
        <w:t>bound</w:t>
      </w:r>
      <w:r>
        <w:rPr>
          <w:spacing w:val="-3"/>
          <w:sz w:val="20"/>
        </w:rPr>
        <w:t> </w:t>
      </w:r>
      <w:r>
        <w:rPr>
          <w:sz w:val="20"/>
        </w:rPr>
        <w:t>by</w:t>
      </w:r>
      <w:r>
        <w:rPr>
          <w:spacing w:val="-3"/>
          <w:sz w:val="20"/>
        </w:rPr>
        <w:t> </w:t>
      </w:r>
      <w:r>
        <w:rPr>
          <w:sz w:val="20"/>
        </w:rPr>
        <w:t>an</w:t>
      </w:r>
      <w:r>
        <w:rPr>
          <w:spacing w:val="-3"/>
          <w:sz w:val="20"/>
        </w:rPr>
        <w:t> </w:t>
      </w:r>
      <w:r>
        <w:rPr>
          <w:sz w:val="20"/>
        </w:rPr>
        <w:t>exclusive</w:t>
      </w:r>
      <w:r>
        <w:rPr>
          <w:spacing w:val="-3"/>
          <w:sz w:val="20"/>
        </w:rPr>
        <w:t> </w:t>
      </w:r>
      <w:r>
        <w:rPr>
          <w:sz w:val="20"/>
        </w:rPr>
        <w:t>jurisdiction</w:t>
      </w:r>
      <w:r>
        <w:rPr>
          <w:spacing w:val="-3"/>
          <w:sz w:val="20"/>
        </w:rPr>
        <w:t> </w:t>
      </w:r>
      <w:r>
        <w:rPr>
          <w:sz w:val="20"/>
        </w:rPr>
        <w:t>clause</w:t>
      </w:r>
      <w:r>
        <w:rPr>
          <w:spacing w:val="-3"/>
          <w:sz w:val="20"/>
        </w:rPr>
        <w:t> </w:t>
      </w:r>
      <w:r>
        <w:rPr>
          <w:sz w:val="20"/>
        </w:rPr>
        <w:t>in</w:t>
      </w:r>
      <w:r>
        <w:rPr>
          <w:spacing w:val="-3"/>
          <w:sz w:val="20"/>
        </w:rPr>
        <w:t> </w:t>
      </w:r>
      <w:r>
        <w:rPr>
          <w:sz w:val="20"/>
        </w:rPr>
        <w:t>the</w:t>
      </w:r>
      <w:r>
        <w:rPr>
          <w:spacing w:val="-3"/>
          <w:sz w:val="20"/>
        </w:rPr>
        <w:t> </w:t>
      </w:r>
      <w:r>
        <w:rPr>
          <w:sz w:val="20"/>
        </w:rPr>
        <w:t>contract</w:t>
      </w:r>
      <w:r>
        <w:rPr>
          <w:spacing w:val="-3"/>
          <w:sz w:val="20"/>
        </w:rPr>
        <w:t> </w:t>
      </w:r>
      <w:r>
        <w:rPr>
          <w:sz w:val="20"/>
        </w:rPr>
        <w:t>between</w:t>
      </w:r>
      <w:r>
        <w:rPr>
          <w:spacing w:val="-3"/>
          <w:sz w:val="20"/>
        </w:rPr>
        <w:t> </w:t>
      </w:r>
      <w:r>
        <w:rPr>
          <w:sz w:val="20"/>
        </w:rPr>
        <w:t>A</w:t>
      </w:r>
      <w:r>
        <w:rPr>
          <w:spacing w:val="-3"/>
          <w:sz w:val="20"/>
        </w:rPr>
        <w:t> </w:t>
      </w:r>
      <w:r>
        <w:rPr>
          <w:sz w:val="20"/>
        </w:rPr>
        <w:t>and</w:t>
      </w:r>
      <w:r>
        <w:rPr>
          <w:spacing w:val="-3"/>
          <w:sz w:val="20"/>
        </w:rPr>
        <w:t> </w:t>
      </w:r>
      <w:r>
        <w:rPr>
          <w:sz w:val="20"/>
        </w:rPr>
        <w:t>B.</w:t>
      </w:r>
      <w:r>
        <w:rPr>
          <w:spacing w:val="-3"/>
          <w:sz w:val="20"/>
        </w:rPr>
        <w:t> </w:t>
      </w:r>
      <w:r>
        <w:rPr>
          <w:sz w:val="20"/>
        </w:rPr>
        <w:t>Nor</w:t>
      </w:r>
      <w:r>
        <w:rPr>
          <w:spacing w:val="-3"/>
          <w:sz w:val="20"/>
        </w:rPr>
        <w:t> </w:t>
      </w:r>
      <w:r>
        <w:rPr>
          <w:sz w:val="20"/>
        </w:rPr>
        <w:t>could</w:t>
      </w:r>
      <w:r>
        <w:rPr>
          <w:spacing w:val="-3"/>
          <w:sz w:val="20"/>
        </w:rPr>
        <w:t> </w:t>
      </w:r>
      <w:r>
        <w:rPr>
          <w:sz w:val="20"/>
        </w:rPr>
        <w:t>A enforce</w:t>
      </w:r>
      <w:r>
        <w:rPr>
          <w:spacing w:val="-1"/>
          <w:sz w:val="20"/>
        </w:rPr>
        <w:t> </w:t>
      </w:r>
      <w:r>
        <w:rPr>
          <w:sz w:val="20"/>
        </w:rPr>
        <w:t>such</w:t>
      </w:r>
      <w:r>
        <w:rPr>
          <w:spacing w:val="-1"/>
          <w:sz w:val="20"/>
        </w:rPr>
        <w:t> </w:t>
      </w:r>
      <w:r>
        <w:rPr>
          <w:sz w:val="20"/>
        </w:rPr>
        <w:t>a</w:t>
      </w:r>
      <w:r>
        <w:rPr>
          <w:spacing w:val="-1"/>
          <w:sz w:val="20"/>
        </w:rPr>
        <w:t> </w:t>
      </w:r>
      <w:r>
        <w:rPr>
          <w:sz w:val="20"/>
        </w:rPr>
        <w:t>clause</w:t>
      </w:r>
      <w:r>
        <w:rPr>
          <w:spacing w:val="-1"/>
          <w:sz w:val="20"/>
        </w:rPr>
        <w:t> </w:t>
      </w:r>
      <w:r>
        <w:rPr>
          <w:sz w:val="20"/>
        </w:rPr>
        <w:t>by</w:t>
      </w:r>
      <w:r>
        <w:rPr>
          <w:spacing w:val="-1"/>
          <w:sz w:val="20"/>
        </w:rPr>
        <w:t> </w:t>
      </w:r>
      <w:r>
        <w:rPr>
          <w:sz w:val="20"/>
        </w:rPr>
        <w:t>virtue</w:t>
      </w:r>
      <w:r>
        <w:rPr>
          <w:spacing w:val="-1"/>
          <w:sz w:val="20"/>
        </w:rPr>
        <w:t> </w:t>
      </w:r>
      <w:r>
        <w:rPr>
          <w:sz w:val="20"/>
        </w:rPr>
        <w:t>of</w:t>
      </w:r>
      <w:r>
        <w:rPr>
          <w:spacing w:val="-1"/>
          <w:sz w:val="20"/>
        </w:rPr>
        <w:t> </w:t>
      </w:r>
      <w:r>
        <w:rPr>
          <w:sz w:val="20"/>
        </w:rPr>
        <w:t>the</w:t>
      </w:r>
      <w:r>
        <w:rPr>
          <w:spacing w:val="-1"/>
          <w:sz w:val="20"/>
        </w:rPr>
        <w:t> </w:t>
      </w:r>
      <w:r>
        <w:rPr>
          <w:sz w:val="20"/>
        </w:rPr>
        <w:t>“statutory</w:t>
      </w:r>
      <w:r>
        <w:rPr>
          <w:spacing w:val="-1"/>
          <w:sz w:val="20"/>
        </w:rPr>
        <w:t> </w:t>
      </w:r>
      <w:r>
        <w:rPr>
          <w:sz w:val="20"/>
        </w:rPr>
        <w:t>contract”</w:t>
      </w:r>
      <w:r>
        <w:rPr>
          <w:spacing w:val="-1"/>
          <w:sz w:val="20"/>
        </w:rPr>
        <w:t> </w:t>
      </w:r>
      <w:r>
        <w:rPr>
          <w:sz w:val="20"/>
        </w:rPr>
        <w:t>(at</w:t>
      </w:r>
      <w:r>
        <w:rPr>
          <w:spacing w:val="-1"/>
          <w:sz w:val="20"/>
        </w:rPr>
        <w:t> </w:t>
      </w:r>
      <w:r>
        <w:rPr>
          <w:sz w:val="20"/>
        </w:rPr>
        <w:t>[23])</w:t>
      </w:r>
      <w:r>
        <w:rPr>
          <w:spacing w:val="-1"/>
          <w:sz w:val="20"/>
        </w:rPr>
        <w:t> </w:t>
      </w:r>
      <w:r>
        <w:rPr>
          <w:sz w:val="20"/>
        </w:rPr>
        <w:t>contained</w:t>
      </w:r>
      <w:r>
        <w:rPr>
          <w:spacing w:val="-1"/>
          <w:sz w:val="20"/>
        </w:rPr>
        <w:t> </w:t>
      </w:r>
      <w:r>
        <w:rPr>
          <w:sz w:val="20"/>
        </w:rPr>
        <w:t>in</w:t>
      </w:r>
      <w:r>
        <w:rPr>
          <w:spacing w:val="-1"/>
          <w:sz w:val="20"/>
        </w:rPr>
        <w:t> </w:t>
      </w:r>
      <w:r>
        <w:rPr>
          <w:sz w:val="20"/>
        </w:rPr>
        <w:t>the</w:t>
      </w:r>
      <w:r>
        <w:rPr>
          <w:spacing w:val="-1"/>
          <w:sz w:val="20"/>
        </w:rPr>
        <w:t> </w:t>
      </w:r>
      <w:r>
        <w:rPr>
          <w:sz w:val="20"/>
        </w:rPr>
        <w:t>consignment note issued in pursuance of the CMR Convention which has the force of law in the UK under</w:t>
      </w:r>
      <w:r>
        <w:rPr>
          <w:spacing w:val="40"/>
          <w:sz w:val="20"/>
        </w:rPr>
        <w:t> </w:t>
      </w:r>
      <w:r>
        <w:rPr>
          <w:sz w:val="20"/>
        </w:rPr>
        <w:t>the Carriage of Goods by Road Act 1965 (see at [46]–[51]; discussion of this point is </w:t>
      </w:r>
      <w:r>
        <w:rPr>
          <w:sz w:val="20"/>
        </w:rPr>
        <w:t>beyond</w:t>
      </w:r>
      <w:r>
        <w:rPr>
          <w:spacing w:val="40"/>
          <w:sz w:val="20"/>
        </w:rPr>
        <w:t> </w:t>
      </w:r>
      <w:r>
        <w:rPr>
          <w:sz w:val="20"/>
        </w:rPr>
        <w:t>the</w:t>
      </w:r>
      <w:r>
        <w:rPr>
          <w:spacing w:val="-1"/>
          <w:sz w:val="20"/>
        </w:rPr>
        <w:t> </w:t>
      </w:r>
      <w:r>
        <w:rPr>
          <w:sz w:val="20"/>
        </w:rPr>
        <w:t>scope</w:t>
      </w:r>
      <w:r>
        <w:rPr>
          <w:spacing w:val="-1"/>
          <w:sz w:val="20"/>
        </w:rPr>
        <w:t> </w:t>
      </w:r>
      <w:r>
        <w:rPr>
          <w:sz w:val="20"/>
        </w:rPr>
        <w:t>of</w:t>
      </w:r>
      <w:r>
        <w:rPr>
          <w:spacing w:val="-1"/>
          <w:sz w:val="20"/>
        </w:rPr>
        <w:t> </w:t>
      </w:r>
      <w:r>
        <w:rPr>
          <w:sz w:val="20"/>
        </w:rPr>
        <w:t>the</w:t>
      </w:r>
      <w:r>
        <w:rPr>
          <w:spacing w:val="-1"/>
          <w:sz w:val="20"/>
        </w:rPr>
        <w:t> </w:t>
      </w:r>
      <w:r>
        <w:rPr>
          <w:sz w:val="20"/>
        </w:rPr>
        <w:t>present</w:t>
      </w:r>
      <w:r>
        <w:rPr>
          <w:spacing w:val="-1"/>
          <w:sz w:val="20"/>
        </w:rPr>
        <w:t> </w:t>
      </w:r>
      <w:r>
        <w:rPr>
          <w:sz w:val="20"/>
        </w:rPr>
        <w:t>Chapter).</w:t>
      </w:r>
      <w:r>
        <w:rPr>
          <w:spacing w:val="-1"/>
          <w:sz w:val="20"/>
        </w:rPr>
        <w:t> </w:t>
      </w:r>
      <w:r>
        <w:rPr>
          <w:sz w:val="20"/>
        </w:rPr>
        <w:t>Cooke</w:t>
      </w:r>
      <w:r>
        <w:rPr>
          <w:spacing w:val="-1"/>
          <w:sz w:val="20"/>
        </w:rPr>
        <w:t> </w:t>
      </w:r>
      <w:r>
        <w:rPr>
          <w:sz w:val="20"/>
        </w:rPr>
        <w:t>J.’s</w:t>
      </w:r>
      <w:r>
        <w:rPr>
          <w:spacing w:val="-1"/>
          <w:sz w:val="20"/>
        </w:rPr>
        <w:t> </w:t>
      </w:r>
      <w:r>
        <w:rPr>
          <w:sz w:val="20"/>
        </w:rPr>
        <w:t>decision</w:t>
      </w:r>
      <w:r>
        <w:rPr>
          <w:spacing w:val="-1"/>
          <w:sz w:val="20"/>
        </w:rPr>
        <w:t> </w:t>
      </w:r>
      <w:r>
        <w:rPr>
          <w:sz w:val="20"/>
        </w:rPr>
        <w:t>in</w:t>
      </w:r>
      <w:r>
        <w:rPr>
          <w:spacing w:val="-2"/>
          <w:sz w:val="20"/>
        </w:rPr>
        <w:t> </w:t>
      </w:r>
      <w:r>
        <w:rPr>
          <w:rFonts w:ascii="Arial" w:hAnsi="Arial"/>
          <w:i/>
          <w:sz w:val="20"/>
        </w:rPr>
        <w:t>British</w:t>
      </w:r>
      <w:r>
        <w:rPr>
          <w:rFonts w:ascii="Arial" w:hAnsi="Arial"/>
          <w:i/>
          <w:spacing w:val="-1"/>
          <w:sz w:val="20"/>
        </w:rPr>
        <w:t> </w:t>
      </w:r>
      <w:r>
        <w:rPr>
          <w:rFonts w:ascii="Arial" w:hAnsi="Arial"/>
          <w:i/>
          <w:sz w:val="20"/>
        </w:rPr>
        <w:t>American</w:t>
      </w:r>
      <w:r>
        <w:rPr>
          <w:rFonts w:ascii="Arial" w:hAnsi="Arial"/>
          <w:i/>
          <w:spacing w:val="-1"/>
          <w:sz w:val="20"/>
        </w:rPr>
        <w:t> </w:t>
      </w:r>
      <w:r>
        <w:rPr>
          <w:rFonts w:ascii="Arial" w:hAnsi="Arial"/>
          <w:i/>
          <w:sz w:val="20"/>
        </w:rPr>
        <w:t>Tobacco</w:t>
      </w:r>
      <w:r>
        <w:rPr>
          <w:rFonts w:ascii="Arial" w:hAnsi="Arial"/>
          <w:i/>
          <w:spacing w:val="-1"/>
          <w:sz w:val="20"/>
        </w:rPr>
        <w:t> </w:t>
      </w:r>
      <w:r>
        <w:rPr>
          <w:rFonts w:ascii="Arial" w:hAnsi="Arial"/>
          <w:i/>
          <w:sz w:val="20"/>
        </w:rPr>
        <w:t>Switzerland SA v Exel Europe Ltd [2012] EWHC 694 (Comm), [2013] 1 W.L.R. 397 </w:t>
      </w:r>
      <w:r>
        <w:rPr>
          <w:sz w:val="20"/>
        </w:rPr>
        <w:t>was reversed on appeal (</w:t>
      </w:r>
      <w:r>
        <w:rPr>
          <w:rFonts w:ascii="Arial" w:hAnsi="Arial"/>
          <w:i/>
          <w:sz w:val="20"/>
        </w:rPr>
        <w:t>[2013]</w:t>
      </w:r>
      <w:r>
        <w:rPr>
          <w:rFonts w:ascii="Arial" w:hAnsi="Arial"/>
          <w:i/>
          <w:spacing w:val="8"/>
          <w:sz w:val="20"/>
        </w:rPr>
        <w:t> </w:t>
      </w:r>
      <w:r>
        <w:rPr>
          <w:rFonts w:ascii="Arial" w:hAnsi="Arial"/>
          <w:i/>
          <w:sz w:val="20"/>
        </w:rPr>
        <w:t>EWCA</w:t>
      </w:r>
      <w:r>
        <w:rPr>
          <w:rFonts w:ascii="Arial" w:hAnsi="Arial"/>
          <w:i/>
          <w:spacing w:val="11"/>
          <w:sz w:val="20"/>
        </w:rPr>
        <w:t> </w:t>
      </w:r>
      <w:r>
        <w:rPr>
          <w:rFonts w:ascii="Arial" w:hAnsi="Arial"/>
          <w:i/>
          <w:sz w:val="20"/>
        </w:rPr>
        <w:t>Civ</w:t>
      </w:r>
      <w:r>
        <w:rPr>
          <w:rFonts w:ascii="Arial" w:hAnsi="Arial"/>
          <w:i/>
          <w:spacing w:val="11"/>
          <w:sz w:val="20"/>
        </w:rPr>
        <w:t> </w:t>
      </w:r>
      <w:r>
        <w:rPr>
          <w:rFonts w:ascii="Arial" w:hAnsi="Arial"/>
          <w:i/>
          <w:sz w:val="20"/>
        </w:rPr>
        <w:t>1319,</w:t>
      </w:r>
      <w:r>
        <w:rPr>
          <w:rFonts w:ascii="Arial" w:hAnsi="Arial"/>
          <w:i/>
          <w:spacing w:val="11"/>
          <w:sz w:val="20"/>
        </w:rPr>
        <w:t> </w:t>
      </w:r>
      <w:r>
        <w:rPr>
          <w:rFonts w:ascii="Arial" w:hAnsi="Arial"/>
          <w:i/>
          <w:sz w:val="20"/>
        </w:rPr>
        <w:t>[2014]</w:t>
      </w:r>
      <w:r>
        <w:rPr>
          <w:rFonts w:ascii="Arial" w:hAnsi="Arial"/>
          <w:i/>
          <w:spacing w:val="11"/>
          <w:sz w:val="20"/>
        </w:rPr>
        <w:t> </w:t>
      </w:r>
      <w:r>
        <w:rPr>
          <w:rFonts w:ascii="Arial" w:hAnsi="Arial"/>
          <w:i/>
          <w:sz w:val="20"/>
        </w:rPr>
        <w:t>1</w:t>
      </w:r>
      <w:r>
        <w:rPr>
          <w:rFonts w:ascii="Arial" w:hAnsi="Arial"/>
          <w:i/>
          <w:spacing w:val="11"/>
          <w:sz w:val="20"/>
        </w:rPr>
        <w:t> </w:t>
      </w:r>
      <w:r>
        <w:rPr>
          <w:rFonts w:ascii="Arial" w:hAnsi="Arial"/>
          <w:i/>
          <w:sz w:val="20"/>
        </w:rPr>
        <w:t>W.L.R.</w:t>
      </w:r>
      <w:r>
        <w:rPr>
          <w:rFonts w:ascii="Arial" w:hAnsi="Arial"/>
          <w:i/>
          <w:spacing w:val="11"/>
          <w:sz w:val="20"/>
        </w:rPr>
        <w:t> </w:t>
      </w:r>
      <w:r>
        <w:rPr>
          <w:rFonts w:ascii="Arial" w:hAnsi="Arial"/>
          <w:i/>
          <w:sz w:val="20"/>
        </w:rPr>
        <w:t>4526</w:t>
      </w:r>
      <w:r>
        <w:rPr>
          <w:sz w:val="20"/>
        </w:rPr>
        <w:t>)</w:t>
      </w:r>
      <w:r>
        <w:rPr>
          <w:spacing w:val="11"/>
          <w:sz w:val="20"/>
        </w:rPr>
        <w:t> </w:t>
      </w:r>
      <w:r>
        <w:rPr>
          <w:sz w:val="20"/>
        </w:rPr>
        <w:t>but</w:t>
      </w:r>
      <w:r>
        <w:rPr>
          <w:spacing w:val="11"/>
          <w:sz w:val="20"/>
        </w:rPr>
        <w:t> </w:t>
      </w:r>
      <w:r>
        <w:rPr>
          <w:sz w:val="20"/>
        </w:rPr>
        <w:t>restored</w:t>
      </w:r>
      <w:r>
        <w:rPr>
          <w:spacing w:val="11"/>
          <w:sz w:val="20"/>
        </w:rPr>
        <w:t> </w:t>
      </w:r>
      <w:r>
        <w:rPr>
          <w:sz w:val="20"/>
        </w:rPr>
        <w:t>on</w:t>
      </w:r>
      <w:r>
        <w:rPr>
          <w:spacing w:val="11"/>
          <w:sz w:val="20"/>
        </w:rPr>
        <w:t> </w:t>
      </w:r>
      <w:r>
        <w:rPr>
          <w:sz w:val="20"/>
        </w:rPr>
        <w:t>further</w:t>
      </w:r>
      <w:r>
        <w:rPr>
          <w:spacing w:val="11"/>
          <w:sz w:val="20"/>
        </w:rPr>
        <w:t> </w:t>
      </w:r>
      <w:r>
        <w:rPr>
          <w:sz w:val="20"/>
        </w:rPr>
        <w:t>appeal</w:t>
      </w:r>
      <w:r>
        <w:rPr>
          <w:spacing w:val="11"/>
          <w:sz w:val="20"/>
        </w:rPr>
        <w:t> </w:t>
      </w:r>
      <w:r>
        <w:rPr>
          <w:sz w:val="20"/>
        </w:rPr>
        <w:t>to</w:t>
      </w:r>
      <w:r>
        <w:rPr>
          <w:spacing w:val="11"/>
          <w:sz w:val="20"/>
        </w:rPr>
        <w:t> </w:t>
      </w:r>
      <w:r>
        <w:rPr>
          <w:sz w:val="20"/>
        </w:rPr>
        <w:t>the</w:t>
      </w:r>
      <w:r>
        <w:rPr>
          <w:spacing w:val="11"/>
          <w:sz w:val="20"/>
        </w:rPr>
        <w:t> </w:t>
      </w:r>
      <w:r>
        <w:rPr>
          <w:spacing w:val="-2"/>
          <w:sz w:val="20"/>
        </w:rPr>
        <w:t>Suprem</w:t>
      </w:r>
      <w:r>
        <w:rPr>
          <w:spacing w:val="-2"/>
          <w:sz w:val="20"/>
        </w:rPr>
        <w:t>e</w:t>
      </w:r>
    </w:p>
    <w:p>
      <w:pPr>
        <w:spacing w:line="221" w:lineRule="exact" w:before="0"/>
        <w:ind w:left="165" w:right="0" w:firstLine="0"/>
        <w:jc w:val="both"/>
        <w:rPr>
          <w:sz w:val="20"/>
        </w:rPr>
      </w:pPr>
      <w:r>
        <w:rPr>
          <w:sz w:val="20"/>
        </w:rPr>
        <w:drawing>
          <wp:anchor distT="0" distB="0" distL="0" distR="0" allowOverlap="1" layoutInCell="1" locked="0" behindDoc="0" simplePos="0" relativeHeight="15741952">
            <wp:simplePos x="0" y="0"/>
            <wp:positionH relativeFrom="page">
              <wp:posOffset>1257846</wp:posOffset>
            </wp:positionH>
            <wp:positionV relativeFrom="paragraph">
              <wp:posOffset>-1834716</wp:posOffset>
            </wp:positionV>
            <wp:extent cx="107988" cy="107988"/>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7" cstate="print"/>
                    <a:stretch>
                      <a:fillRect/>
                    </a:stretch>
                  </pic:blipFill>
                  <pic:spPr>
                    <a:xfrm>
                      <a:off x="0" y="0"/>
                      <a:ext cx="107988" cy="107988"/>
                    </a:xfrm>
                    <a:prstGeom prst="rect">
                      <a:avLst/>
                    </a:prstGeom>
                  </pic:spPr>
                </pic:pic>
              </a:graphicData>
            </a:graphic>
          </wp:anchor>
        </w:drawing>
      </w:r>
      <w:r>
        <w:rPr>
          <w:sz w:val="20"/>
        </w:rPr>
        <w:t>Court</w:t>
      </w:r>
      <w:r>
        <w:rPr>
          <w:spacing w:val="-1"/>
          <w:sz w:val="20"/>
        </w:rPr>
        <w:t> </w:t>
      </w:r>
      <w:r>
        <w:rPr>
          <w:sz w:val="20"/>
        </w:rPr>
        <w:t>(</w:t>
      </w:r>
      <w:r>
        <w:rPr>
          <w:rFonts w:ascii="Arial"/>
          <w:i/>
          <w:sz w:val="20"/>
        </w:rPr>
        <w:t>[2015] UKSC 65, [2016] A.C.</w:t>
      </w:r>
      <w:r>
        <w:rPr>
          <w:rFonts w:ascii="Arial"/>
          <w:i/>
          <w:spacing w:val="-1"/>
          <w:sz w:val="20"/>
        </w:rPr>
        <w:t> </w:t>
      </w:r>
      <w:r>
        <w:rPr>
          <w:rFonts w:ascii="Arial"/>
          <w:i/>
          <w:sz w:val="20"/>
        </w:rPr>
        <w:t>262</w:t>
      </w:r>
      <w:r>
        <w:rPr>
          <w:sz w:val="20"/>
        </w:rPr>
        <w:t>: see below, paras 36-141, 36-</w:t>
      </w:r>
      <w:r>
        <w:rPr>
          <w:spacing w:val="-2"/>
          <w:sz w:val="20"/>
        </w:rPr>
        <w:t>146).</w:t>
      </w:r>
    </w:p>
    <w:p>
      <w:pPr>
        <w:spacing w:after="0" w:line="221" w:lineRule="exact"/>
        <w:jc w:val="both"/>
        <w:rPr>
          <w:sz w:val="20"/>
        </w:rPr>
        <w:sectPr>
          <w:type w:val="continuous"/>
          <w:pgSz w:w="11900" w:h="16840"/>
          <w:pgMar w:header="971" w:footer="0" w:top="1160" w:bottom="280" w:left="1275" w:right="1275"/>
          <w:cols w:num="2" w:equalWidth="0">
            <w:col w:w="400" w:space="141"/>
            <w:col w:w="8809"/>
          </w:cols>
        </w:sectPr>
      </w:pPr>
    </w:p>
    <w:p>
      <w:pPr>
        <w:pStyle w:val="BodyText"/>
        <w:spacing w:before="9"/>
      </w:pPr>
    </w:p>
    <w:p>
      <w:pPr>
        <w:spacing w:line="235" w:lineRule="auto" w:before="0"/>
        <w:ind w:left="705" w:right="167" w:hanging="541"/>
        <w:jc w:val="both"/>
        <w:rPr>
          <w:sz w:val="20"/>
        </w:rPr>
      </w:pPr>
      <w:bookmarkStart w:name="_bookmark129" w:id="131"/>
      <w:bookmarkEnd w:id="131"/>
      <w:r>
        <w:rPr/>
      </w:r>
      <w:hyperlink w:history="true" w:anchor="_bookmark52">
        <w:r>
          <w:rPr>
            <w:color w:val="005DA1"/>
            <w:position w:val="5"/>
            <w:sz w:val="14"/>
            <w:u w:val="single" w:color="005DA1"/>
          </w:rPr>
          <w:t>39</w:t>
        </w:r>
      </w:hyperlink>
      <w:r>
        <w:rPr>
          <w:position w:val="5"/>
          <w:sz w:val="14"/>
        </w:rPr>
        <w:t>.</w:t>
      </w:r>
      <w:r>
        <w:rPr>
          <w:spacing w:val="80"/>
          <w:position w:val="5"/>
          <w:sz w:val="14"/>
        </w:rPr>
        <w:t>  </w:t>
      </w:r>
      <w:r>
        <w:rPr>
          <w:rFonts w:ascii="Arial" w:hAnsi="Arial"/>
          <w:i/>
          <w:sz w:val="20"/>
        </w:rPr>
        <w:t>Holland Hannen &amp; Cubitts (Northern) v Welsh Health Technical Services Ltd (1987) 7 </w:t>
      </w:r>
      <w:r>
        <w:rPr>
          <w:rFonts w:ascii="Arial" w:hAnsi="Arial"/>
          <w:i/>
          <w:sz w:val="20"/>
        </w:rPr>
        <w:t>Con.L.R. 14</w:t>
      </w:r>
      <w:r>
        <w:rPr>
          <w:sz w:val="20"/>
        </w:rPr>
        <w:t>; cf. </w:t>
      </w:r>
      <w:r>
        <w:rPr>
          <w:rFonts w:ascii="Arial" w:hAnsi="Arial"/>
          <w:i/>
          <w:sz w:val="20"/>
        </w:rPr>
        <w:t>Welsh Health Technical Service Organisation v Haden Young (1987) 37 Build.L.R. 130</w:t>
      </w:r>
      <w:r>
        <w:rPr>
          <w:sz w:val="20"/>
        </w:rPr>
        <w:t>; </w:t>
      </w:r>
      <w:r>
        <w:rPr>
          <w:rFonts w:ascii="Arial" w:hAnsi="Arial"/>
          <w:i/>
          <w:sz w:val="20"/>
        </w:rPr>
        <w:t>Greater Nottingham Co-operative Soc. Ltd v Cementation Ltd [1989] Ch. 497</w:t>
      </w:r>
      <w:r>
        <w:rPr>
          <w:sz w:val="20"/>
        </w:rPr>
        <w:t>; </w:t>
      </w:r>
      <w:r>
        <w:rPr>
          <w:rFonts w:ascii="Arial" w:hAnsi="Arial"/>
          <w:i/>
          <w:sz w:val="20"/>
        </w:rPr>
        <w:t>Linklaters Business Services v Sir Robert McAlpine [2010] EWHC 2931 (TCC), 133 Con L.R. 211 </w:t>
      </w:r>
      <w:r>
        <w:rPr>
          <w:sz w:val="20"/>
        </w:rPr>
        <w:t>where there seems to have been a collateral contract between A and C, but none between A and D, a sub-contractor engaged by C. Contrast </w:t>
      </w:r>
      <w:r>
        <w:rPr>
          <w:rFonts w:ascii="Arial" w:hAnsi="Arial"/>
          <w:i/>
          <w:sz w:val="20"/>
        </w:rPr>
        <w:t>National Trust v Haden &amp; Young</w:t>
      </w:r>
      <w:r>
        <w:rPr>
          <w:sz w:val="20"/>
        </w:rPr>
        <w:t>, above n.36, where there</w:t>
      </w:r>
      <w:r>
        <w:rPr>
          <w:spacing w:val="32"/>
          <w:sz w:val="20"/>
        </w:rPr>
        <w:t> </w:t>
      </w:r>
      <w:r>
        <w:rPr>
          <w:sz w:val="20"/>
        </w:rPr>
        <w:t>was</w:t>
      </w:r>
      <w:r>
        <w:rPr>
          <w:spacing w:val="32"/>
          <w:sz w:val="20"/>
        </w:rPr>
        <w:t> </w:t>
      </w:r>
      <w:r>
        <w:rPr>
          <w:sz w:val="20"/>
        </w:rPr>
        <w:t>no</w:t>
      </w:r>
      <w:r>
        <w:rPr>
          <w:spacing w:val="32"/>
          <w:sz w:val="20"/>
        </w:rPr>
        <w:t> </w:t>
      </w:r>
      <w:r>
        <w:rPr>
          <w:sz w:val="20"/>
        </w:rPr>
        <w:t>such</w:t>
      </w:r>
      <w:r>
        <w:rPr>
          <w:spacing w:val="32"/>
          <w:sz w:val="20"/>
        </w:rPr>
        <w:t> </w:t>
      </w:r>
      <w:r>
        <w:rPr>
          <w:sz w:val="20"/>
        </w:rPr>
        <w:t>collateral</w:t>
      </w:r>
      <w:r>
        <w:rPr>
          <w:spacing w:val="32"/>
          <w:sz w:val="20"/>
        </w:rPr>
        <w:t> </w:t>
      </w:r>
      <w:r>
        <w:rPr>
          <w:sz w:val="20"/>
        </w:rPr>
        <w:t>contract;</w:t>
      </w:r>
      <w:r>
        <w:rPr>
          <w:spacing w:val="32"/>
          <w:sz w:val="20"/>
        </w:rPr>
        <w:t> </w:t>
      </w:r>
      <w:r>
        <w:rPr>
          <w:sz w:val="20"/>
        </w:rPr>
        <w:t>for</w:t>
      </w:r>
      <w:r>
        <w:rPr>
          <w:spacing w:val="32"/>
          <w:sz w:val="20"/>
        </w:rPr>
        <w:t> </w:t>
      </w:r>
      <w:r>
        <w:rPr>
          <w:sz w:val="20"/>
        </w:rPr>
        <w:t>C’s</w:t>
      </w:r>
      <w:r>
        <w:rPr>
          <w:spacing w:val="32"/>
          <w:sz w:val="20"/>
        </w:rPr>
        <w:t> </w:t>
      </w:r>
      <w:r>
        <w:rPr>
          <w:sz w:val="20"/>
        </w:rPr>
        <w:t>possible</w:t>
      </w:r>
      <w:r>
        <w:rPr>
          <w:spacing w:val="32"/>
          <w:sz w:val="20"/>
        </w:rPr>
        <w:t> </w:t>
      </w:r>
      <w:r>
        <w:rPr>
          <w:sz w:val="20"/>
        </w:rPr>
        <w:t>liability</w:t>
      </w:r>
      <w:r>
        <w:rPr>
          <w:spacing w:val="32"/>
          <w:sz w:val="20"/>
        </w:rPr>
        <w:t> </w:t>
      </w:r>
      <w:r>
        <w:rPr>
          <w:sz w:val="20"/>
        </w:rPr>
        <w:t>to</w:t>
      </w:r>
      <w:r>
        <w:rPr>
          <w:spacing w:val="32"/>
          <w:sz w:val="20"/>
        </w:rPr>
        <w:t> </w:t>
      </w:r>
      <w:r>
        <w:rPr>
          <w:sz w:val="20"/>
        </w:rPr>
        <w:t>A</w:t>
      </w:r>
      <w:r>
        <w:rPr>
          <w:spacing w:val="32"/>
          <w:sz w:val="20"/>
        </w:rPr>
        <w:t> </w:t>
      </w:r>
      <w:r>
        <w:rPr>
          <w:sz w:val="20"/>
        </w:rPr>
        <w:t>in</w:t>
      </w:r>
      <w:r>
        <w:rPr>
          <w:spacing w:val="32"/>
          <w:sz w:val="20"/>
        </w:rPr>
        <w:t> </w:t>
      </w:r>
      <w:r>
        <w:rPr>
          <w:sz w:val="20"/>
        </w:rPr>
        <w:t>tort,</w:t>
      </w:r>
      <w:r>
        <w:rPr>
          <w:spacing w:val="32"/>
          <w:sz w:val="20"/>
        </w:rPr>
        <w:t> </w:t>
      </w:r>
      <w:r>
        <w:rPr>
          <w:sz w:val="20"/>
        </w:rPr>
        <w:t>see</w:t>
      </w:r>
      <w:r>
        <w:rPr>
          <w:spacing w:val="32"/>
          <w:sz w:val="20"/>
        </w:rPr>
        <w:t> </w:t>
      </w:r>
      <w:r>
        <w:rPr>
          <w:sz w:val="20"/>
        </w:rPr>
        <w:t>below</w:t>
      </w:r>
      <w:r>
        <w:rPr>
          <w:spacing w:val="32"/>
          <w:sz w:val="20"/>
        </w:rPr>
        <w:t> </w:t>
      </w:r>
      <w:r>
        <w:rPr>
          <w:sz w:val="20"/>
        </w:rPr>
        <w:t>paras </w:t>
      </w:r>
      <w:r>
        <w:rPr>
          <w:spacing w:val="-2"/>
          <w:sz w:val="20"/>
        </w:rPr>
        <w:t>18-024-18-041.</w:t>
      </w:r>
    </w:p>
    <w:p>
      <w:pPr>
        <w:pStyle w:val="BodyText"/>
        <w:spacing w:before="3"/>
      </w:pPr>
    </w:p>
    <w:p>
      <w:pPr>
        <w:tabs>
          <w:tab w:pos="705" w:val="left" w:leader="none"/>
        </w:tabs>
        <w:spacing w:line="227" w:lineRule="exact" w:before="0"/>
        <w:ind w:left="165" w:right="0" w:firstLine="0"/>
        <w:jc w:val="left"/>
        <w:rPr>
          <w:rFonts w:ascii="Arial"/>
          <w:i/>
          <w:sz w:val="20"/>
        </w:rPr>
      </w:pPr>
      <w:bookmarkStart w:name="_bookmark130" w:id="132"/>
      <w:bookmarkEnd w:id="132"/>
      <w:r>
        <w:rPr/>
      </w:r>
      <w:hyperlink w:history="true" w:anchor="_bookmark53">
        <w:r>
          <w:rPr>
            <w:color w:val="005DA1"/>
            <w:spacing w:val="-5"/>
            <w:position w:val="5"/>
            <w:sz w:val="14"/>
            <w:u w:val="single" w:color="005DA1"/>
          </w:rPr>
          <w:t>40</w:t>
        </w:r>
      </w:hyperlink>
      <w:r>
        <w:rPr>
          <w:spacing w:val="-5"/>
          <w:position w:val="5"/>
          <w:sz w:val="14"/>
        </w:rPr>
        <w:t>.</w:t>
      </w:r>
      <w:r>
        <w:rPr>
          <w:position w:val="5"/>
          <w:sz w:val="14"/>
        </w:rPr>
        <w:tab/>
      </w:r>
      <w:r>
        <w:rPr>
          <w:rFonts w:ascii="Arial"/>
          <w:i/>
          <w:sz w:val="20"/>
        </w:rPr>
        <w:t>Sandeman</w:t>
      </w:r>
      <w:r>
        <w:rPr>
          <w:rFonts w:ascii="Arial"/>
          <w:i/>
          <w:spacing w:val="7"/>
          <w:sz w:val="20"/>
        </w:rPr>
        <w:t> </w:t>
      </w:r>
      <w:r>
        <w:rPr>
          <w:rFonts w:ascii="Arial"/>
          <w:i/>
          <w:sz w:val="20"/>
        </w:rPr>
        <w:t>Coprimar</w:t>
      </w:r>
      <w:r>
        <w:rPr>
          <w:rFonts w:ascii="Arial"/>
          <w:i/>
          <w:spacing w:val="7"/>
          <w:sz w:val="20"/>
        </w:rPr>
        <w:t> </w:t>
      </w:r>
      <w:r>
        <w:rPr>
          <w:rFonts w:ascii="Arial"/>
          <w:i/>
          <w:sz w:val="20"/>
        </w:rPr>
        <w:t>SA</w:t>
      </w:r>
      <w:r>
        <w:rPr>
          <w:rFonts w:ascii="Arial"/>
          <w:i/>
          <w:spacing w:val="7"/>
          <w:sz w:val="20"/>
        </w:rPr>
        <w:t> </w:t>
      </w:r>
      <w:r>
        <w:rPr>
          <w:rFonts w:ascii="Arial"/>
          <w:i/>
          <w:sz w:val="20"/>
        </w:rPr>
        <w:t>v</w:t>
      </w:r>
      <w:r>
        <w:rPr>
          <w:rFonts w:ascii="Arial"/>
          <w:i/>
          <w:spacing w:val="7"/>
          <w:sz w:val="20"/>
        </w:rPr>
        <w:t> </w:t>
      </w:r>
      <w:r>
        <w:rPr>
          <w:rFonts w:ascii="Arial"/>
          <w:i/>
          <w:sz w:val="20"/>
        </w:rPr>
        <w:t>Transitos</w:t>
      </w:r>
      <w:r>
        <w:rPr>
          <w:rFonts w:ascii="Arial"/>
          <w:i/>
          <w:spacing w:val="7"/>
          <w:sz w:val="20"/>
        </w:rPr>
        <w:t> </w:t>
      </w:r>
      <w:r>
        <w:rPr>
          <w:rFonts w:ascii="Arial"/>
          <w:i/>
          <w:sz w:val="20"/>
        </w:rPr>
        <w:t>y</w:t>
      </w:r>
      <w:r>
        <w:rPr>
          <w:rFonts w:ascii="Arial"/>
          <w:i/>
          <w:spacing w:val="7"/>
          <w:sz w:val="20"/>
        </w:rPr>
        <w:t> </w:t>
      </w:r>
      <w:r>
        <w:rPr>
          <w:rFonts w:ascii="Arial"/>
          <w:i/>
          <w:sz w:val="20"/>
        </w:rPr>
        <w:t>Transportes</w:t>
      </w:r>
      <w:r>
        <w:rPr>
          <w:rFonts w:ascii="Arial"/>
          <w:i/>
          <w:spacing w:val="7"/>
          <w:sz w:val="20"/>
        </w:rPr>
        <w:t> </w:t>
      </w:r>
      <w:r>
        <w:rPr>
          <w:rFonts w:ascii="Arial"/>
          <w:i/>
          <w:sz w:val="20"/>
        </w:rPr>
        <w:t>Integrales</w:t>
      </w:r>
      <w:r>
        <w:rPr>
          <w:rFonts w:ascii="Arial"/>
          <w:i/>
          <w:spacing w:val="7"/>
          <w:sz w:val="20"/>
        </w:rPr>
        <w:t> </w:t>
      </w:r>
      <w:r>
        <w:rPr>
          <w:rFonts w:ascii="Arial"/>
          <w:i/>
          <w:sz w:val="20"/>
        </w:rPr>
        <w:t>SL</w:t>
      </w:r>
      <w:r>
        <w:rPr>
          <w:rFonts w:ascii="Arial"/>
          <w:i/>
          <w:spacing w:val="7"/>
          <w:sz w:val="20"/>
        </w:rPr>
        <w:t> </w:t>
      </w:r>
      <w:r>
        <w:rPr>
          <w:rFonts w:ascii="Arial"/>
          <w:i/>
          <w:sz w:val="20"/>
        </w:rPr>
        <w:t>[2003]</w:t>
      </w:r>
      <w:r>
        <w:rPr>
          <w:rFonts w:ascii="Arial"/>
          <w:i/>
          <w:spacing w:val="7"/>
          <w:sz w:val="20"/>
        </w:rPr>
        <w:t> </w:t>
      </w:r>
      <w:r>
        <w:rPr>
          <w:rFonts w:ascii="Arial"/>
          <w:i/>
          <w:sz w:val="20"/>
        </w:rPr>
        <w:t>EWCA</w:t>
      </w:r>
      <w:r>
        <w:rPr>
          <w:rFonts w:ascii="Arial"/>
          <w:i/>
          <w:spacing w:val="7"/>
          <w:sz w:val="20"/>
        </w:rPr>
        <w:t> </w:t>
      </w:r>
      <w:r>
        <w:rPr>
          <w:rFonts w:ascii="Arial"/>
          <w:i/>
          <w:sz w:val="20"/>
        </w:rPr>
        <w:t>Civ</w:t>
      </w:r>
      <w:r>
        <w:rPr>
          <w:rFonts w:ascii="Arial"/>
          <w:i/>
          <w:spacing w:val="7"/>
          <w:sz w:val="20"/>
        </w:rPr>
        <w:t> </w:t>
      </w:r>
      <w:r>
        <w:rPr>
          <w:rFonts w:ascii="Arial"/>
          <w:i/>
          <w:sz w:val="20"/>
        </w:rPr>
        <w:t>113;</w:t>
      </w:r>
      <w:r>
        <w:rPr>
          <w:rFonts w:ascii="Arial"/>
          <w:i/>
          <w:spacing w:val="7"/>
          <w:sz w:val="20"/>
        </w:rPr>
        <w:t> </w:t>
      </w:r>
      <w:r>
        <w:rPr>
          <w:rFonts w:ascii="Arial"/>
          <w:i/>
          <w:spacing w:val="-2"/>
          <w:sz w:val="20"/>
        </w:rPr>
        <w:t>[2003]</w:t>
      </w:r>
    </w:p>
    <w:p>
      <w:pPr>
        <w:spacing w:line="227" w:lineRule="exact" w:before="0"/>
        <w:ind w:left="705" w:right="0" w:firstLine="0"/>
        <w:jc w:val="left"/>
        <w:rPr>
          <w:sz w:val="20"/>
        </w:rPr>
      </w:pPr>
      <w:r>
        <w:rPr>
          <w:rFonts w:ascii="Arial" w:hAnsi="Arial"/>
          <w:i/>
          <w:sz w:val="20"/>
        </w:rPr>
        <w:t>Q.B.</w:t>
      </w:r>
      <w:r>
        <w:rPr>
          <w:rFonts w:ascii="Arial" w:hAnsi="Arial"/>
          <w:i/>
          <w:spacing w:val="-1"/>
          <w:sz w:val="20"/>
        </w:rPr>
        <w:t> </w:t>
      </w:r>
      <w:r>
        <w:rPr>
          <w:rFonts w:ascii="Arial" w:hAnsi="Arial"/>
          <w:i/>
          <w:sz w:val="20"/>
        </w:rPr>
        <w:t>1270</w:t>
      </w:r>
      <w:r>
        <w:rPr>
          <w:sz w:val="20"/>
        </w:rPr>
        <w:t>, at </w:t>
      </w:r>
      <w:r>
        <w:rPr>
          <w:spacing w:val="-2"/>
          <w:sz w:val="20"/>
        </w:rPr>
        <w:t>[63]–[65].</w:t>
      </w:r>
    </w:p>
    <w:p>
      <w:pPr>
        <w:pStyle w:val="BodyText"/>
        <w:spacing w:before="5"/>
      </w:pPr>
    </w:p>
    <w:p>
      <w:pPr>
        <w:tabs>
          <w:tab w:pos="705" w:val="left" w:leader="none"/>
        </w:tabs>
        <w:spacing w:before="0"/>
        <w:ind w:left="165" w:right="0" w:firstLine="0"/>
        <w:jc w:val="left"/>
        <w:rPr>
          <w:sz w:val="20"/>
        </w:rPr>
      </w:pPr>
      <w:bookmarkStart w:name="_bookmark131" w:id="133"/>
      <w:bookmarkEnd w:id="133"/>
      <w:r>
        <w:rPr/>
      </w:r>
      <w:hyperlink w:history="true" w:anchor="_bookmark54">
        <w:r>
          <w:rPr>
            <w:color w:val="005DA1"/>
            <w:spacing w:val="-5"/>
            <w:position w:val="5"/>
            <w:sz w:val="14"/>
            <w:u w:val="single" w:color="005DA1"/>
          </w:rPr>
          <w:t>41</w:t>
        </w:r>
      </w:hyperlink>
      <w:r>
        <w:rPr>
          <w:spacing w:val="-5"/>
          <w:position w:val="5"/>
          <w:sz w:val="14"/>
        </w:rPr>
        <w:t>.</w:t>
      </w:r>
      <w:r>
        <w:rPr>
          <w:position w:val="5"/>
          <w:sz w:val="14"/>
        </w:rPr>
        <w:tab/>
      </w:r>
      <w:r>
        <w:rPr>
          <w:sz w:val="20"/>
        </w:rPr>
        <w:t>For the nature of this relationship, see</w:t>
      </w:r>
      <w:r>
        <w:rPr>
          <w:spacing w:val="-1"/>
          <w:sz w:val="20"/>
        </w:rPr>
        <w:t> </w:t>
      </w:r>
      <w:r>
        <w:rPr>
          <w:rFonts w:ascii="Arial"/>
          <w:i/>
          <w:sz w:val="20"/>
        </w:rPr>
        <w:t>Kalwak v Consistent Group Ltd [2007] I.R.L.R. </w:t>
      </w:r>
      <w:r>
        <w:rPr>
          <w:rFonts w:ascii="Arial"/>
          <w:i/>
          <w:spacing w:val="-4"/>
          <w:sz w:val="20"/>
        </w:rPr>
        <w:t>560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32" w:id="134"/>
      <w:bookmarkEnd w:id="134"/>
      <w:r>
        <w:rPr/>
      </w:r>
      <w:hyperlink w:history="true" w:anchor="_bookmark55">
        <w:r>
          <w:rPr>
            <w:color w:val="005DA1"/>
            <w:spacing w:val="-4"/>
            <w:position w:val="5"/>
            <w:sz w:val="14"/>
            <w:u w:val="single" w:color="005DA1"/>
          </w:rPr>
          <w:t>42</w:t>
        </w:r>
      </w:hyperlink>
      <w:r>
        <w:rPr>
          <w:spacing w:val="-4"/>
          <w:position w:val="5"/>
          <w:sz w:val="14"/>
        </w:rPr>
        <w:t>.</w:t>
      </w:r>
      <w:r>
        <w:rPr>
          <w:position w:val="5"/>
          <w:sz w:val="14"/>
        </w:rPr>
        <w:tab/>
      </w:r>
      <w:r>
        <w:rPr>
          <w:sz w:val="20"/>
        </w:rPr>
        <w:t>For</w:t>
      </w:r>
      <w:r>
        <w:rPr>
          <w:spacing w:val="32"/>
          <w:sz w:val="20"/>
        </w:rPr>
        <w:t> </w:t>
      </w:r>
      <w:r>
        <w:rPr>
          <w:sz w:val="20"/>
        </w:rPr>
        <w:t>recognition</w:t>
      </w:r>
      <w:r>
        <w:rPr>
          <w:spacing w:val="32"/>
          <w:sz w:val="20"/>
        </w:rPr>
        <w:t> </w:t>
      </w:r>
      <w:r>
        <w:rPr>
          <w:sz w:val="20"/>
        </w:rPr>
        <w:t>of</w:t>
      </w:r>
      <w:r>
        <w:rPr>
          <w:spacing w:val="32"/>
          <w:sz w:val="20"/>
        </w:rPr>
        <w:t> </w:t>
      </w:r>
      <w:r>
        <w:rPr>
          <w:sz w:val="20"/>
        </w:rPr>
        <w:t>this</w:t>
      </w:r>
      <w:r>
        <w:rPr>
          <w:spacing w:val="32"/>
          <w:sz w:val="20"/>
        </w:rPr>
        <w:t> </w:t>
      </w:r>
      <w:r>
        <w:rPr>
          <w:sz w:val="20"/>
        </w:rPr>
        <w:t>possibility,</w:t>
      </w:r>
      <w:r>
        <w:rPr>
          <w:spacing w:val="32"/>
          <w:sz w:val="20"/>
        </w:rPr>
        <w:t> </w:t>
      </w:r>
      <w:r>
        <w:rPr>
          <w:sz w:val="20"/>
        </w:rPr>
        <w:t>see</w:t>
      </w:r>
      <w:r>
        <w:rPr>
          <w:spacing w:val="32"/>
          <w:sz w:val="20"/>
        </w:rPr>
        <w:t> </w:t>
      </w:r>
      <w:r>
        <w:rPr>
          <w:rFonts w:ascii="Arial"/>
          <w:i/>
          <w:sz w:val="20"/>
        </w:rPr>
        <w:t>Dacas</w:t>
      </w:r>
      <w:r>
        <w:rPr>
          <w:rFonts w:ascii="Arial"/>
          <w:i/>
          <w:spacing w:val="32"/>
          <w:sz w:val="20"/>
        </w:rPr>
        <w:t> </w:t>
      </w:r>
      <w:r>
        <w:rPr>
          <w:rFonts w:ascii="Arial"/>
          <w:i/>
          <w:sz w:val="20"/>
        </w:rPr>
        <w:t>v</w:t>
      </w:r>
      <w:r>
        <w:rPr>
          <w:rFonts w:ascii="Arial"/>
          <w:i/>
          <w:spacing w:val="32"/>
          <w:sz w:val="20"/>
        </w:rPr>
        <w:t> </w:t>
      </w:r>
      <w:r>
        <w:rPr>
          <w:rFonts w:ascii="Arial"/>
          <w:i/>
          <w:sz w:val="20"/>
        </w:rPr>
        <w:t>Brook</w:t>
      </w:r>
      <w:r>
        <w:rPr>
          <w:rFonts w:ascii="Arial"/>
          <w:i/>
          <w:spacing w:val="32"/>
          <w:sz w:val="20"/>
        </w:rPr>
        <w:t> </w:t>
      </w:r>
      <w:r>
        <w:rPr>
          <w:rFonts w:ascii="Arial"/>
          <w:i/>
          <w:sz w:val="20"/>
        </w:rPr>
        <w:t>Street</w:t>
      </w:r>
      <w:r>
        <w:rPr>
          <w:rFonts w:ascii="Arial"/>
          <w:i/>
          <w:spacing w:val="32"/>
          <w:sz w:val="20"/>
        </w:rPr>
        <w:t> </w:t>
      </w:r>
      <w:r>
        <w:rPr>
          <w:rFonts w:ascii="Arial"/>
          <w:i/>
          <w:sz w:val="20"/>
        </w:rPr>
        <w:t>Bureau</w:t>
      </w:r>
      <w:r>
        <w:rPr>
          <w:rFonts w:ascii="Arial"/>
          <w:i/>
          <w:spacing w:val="32"/>
          <w:sz w:val="20"/>
        </w:rPr>
        <w:t> </w:t>
      </w:r>
      <w:r>
        <w:rPr>
          <w:rFonts w:ascii="Arial"/>
          <w:i/>
          <w:sz w:val="20"/>
        </w:rPr>
        <w:t>[2004]</w:t>
      </w:r>
      <w:r>
        <w:rPr>
          <w:rFonts w:ascii="Arial"/>
          <w:i/>
          <w:spacing w:val="32"/>
          <w:sz w:val="20"/>
        </w:rPr>
        <w:t> </w:t>
      </w:r>
      <w:r>
        <w:rPr>
          <w:rFonts w:ascii="Arial"/>
          <w:i/>
          <w:sz w:val="20"/>
        </w:rPr>
        <w:t>EWCA</w:t>
      </w:r>
      <w:r>
        <w:rPr>
          <w:rFonts w:ascii="Arial"/>
          <w:i/>
          <w:spacing w:val="32"/>
          <w:sz w:val="20"/>
        </w:rPr>
        <w:t> </w:t>
      </w:r>
      <w:r>
        <w:rPr>
          <w:rFonts w:ascii="Arial"/>
          <w:i/>
          <w:sz w:val="20"/>
        </w:rPr>
        <w:t>Civ</w:t>
      </w:r>
      <w:r>
        <w:rPr>
          <w:rFonts w:ascii="Arial"/>
          <w:i/>
          <w:spacing w:val="32"/>
          <w:sz w:val="20"/>
        </w:rPr>
        <w:t> </w:t>
      </w:r>
      <w:r>
        <w:rPr>
          <w:rFonts w:ascii="Arial"/>
          <w:i/>
          <w:sz w:val="20"/>
        </w:rPr>
        <w:t>217, [2004] I.C.R. 1437</w:t>
      </w:r>
      <w:r>
        <w:rPr>
          <w:sz w:val="20"/>
        </w:rPr>
        <w:t>; </w:t>
      </w:r>
      <w:r>
        <w:rPr>
          <w:rFonts w:ascii="Arial"/>
          <w:i/>
          <w:sz w:val="20"/>
        </w:rPr>
        <w:t>Cable &amp; Wireless plc v Muscat [2006] EWCA Civ 220, [2006] I.C.R. 975</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33" w:id="135"/>
      <w:bookmarkEnd w:id="135"/>
      <w:r>
        <w:rPr/>
      </w:r>
      <w:hyperlink w:history="true" w:anchor="_bookmark56">
        <w:r>
          <w:rPr>
            <w:color w:val="005DA1"/>
            <w:spacing w:val="-4"/>
            <w:position w:val="5"/>
            <w:sz w:val="14"/>
            <w:u w:val="single" w:color="005DA1"/>
          </w:rPr>
          <w:t>43</w:t>
        </w:r>
      </w:hyperlink>
      <w:r>
        <w:rPr>
          <w:spacing w:val="-4"/>
          <w:position w:val="5"/>
          <w:sz w:val="14"/>
        </w:rPr>
        <w:t>.</w:t>
      </w:r>
      <w:r>
        <w:rPr>
          <w:position w:val="5"/>
          <w:sz w:val="14"/>
        </w:rPr>
        <w:tab/>
      </w:r>
      <w:r>
        <w:rPr>
          <w:rFonts w:ascii="Arial" w:hAnsi="Arial"/>
          <w:i/>
          <w:sz w:val="20"/>
        </w:rPr>
        <w:t>James v Greenwich LBC [2008] EWCA Civ 35 </w:t>
      </w:r>
      <w:r>
        <w:rPr>
          <w:sz w:val="20"/>
        </w:rPr>
        <w:t>at [23], citing </w:t>
      </w:r>
      <w:r>
        <w:rPr>
          <w:rFonts w:ascii="Arial" w:hAnsi="Arial"/>
          <w:i/>
          <w:sz w:val="20"/>
        </w:rPr>
        <w:t>The Aramis [1989] 1 Lloyd’s </w:t>
      </w:r>
      <w:r>
        <w:rPr>
          <w:rFonts w:ascii="Arial" w:hAnsi="Arial"/>
          <w:i/>
          <w:sz w:val="20"/>
        </w:rPr>
        <w:t>Rep. 213 </w:t>
      </w:r>
      <w:r>
        <w:rPr>
          <w:sz w:val="20"/>
        </w:rPr>
        <w:t>at 224, and applying the general principle stated in para.2-169 above.</w:t>
      </w:r>
    </w:p>
    <w:p>
      <w:pPr>
        <w:pStyle w:val="BodyText"/>
        <w:spacing w:before="9"/>
      </w:pPr>
    </w:p>
    <w:p>
      <w:pPr>
        <w:spacing w:line="235" w:lineRule="auto" w:before="0"/>
        <w:ind w:left="705" w:right="168" w:hanging="541"/>
        <w:jc w:val="both"/>
        <w:rPr>
          <w:rFonts w:ascii="Arial"/>
          <w:i/>
          <w:sz w:val="20"/>
        </w:rPr>
      </w:pPr>
      <w:bookmarkStart w:name="_bookmark134" w:id="136"/>
      <w:bookmarkEnd w:id="136"/>
      <w:r>
        <w:rPr/>
      </w:r>
      <w:hyperlink w:history="true" w:anchor="_bookmark57">
        <w:r>
          <w:rPr>
            <w:color w:val="005DA1"/>
            <w:position w:val="5"/>
            <w:sz w:val="14"/>
            <w:u w:val="single" w:color="005DA1"/>
          </w:rPr>
          <w:t>44</w:t>
        </w:r>
      </w:hyperlink>
      <w:r>
        <w:rPr>
          <w:position w:val="5"/>
          <w:sz w:val="14"/>
        </w:rPr>
        <w:t>.</w:t>
      </w:r>
      <w:r>
        <w:rPr>
          <w:spacing w:val="80"/>
          <w:position w:val="5"/>
          <w:sz w:val="14"/>
        </w:rPr>
        <w:t>  </w:t>
      </w:r>
      <w:r>
        <w:rPr>
          <w:sz w:val="20"/>
        </w:rPr>
        <w:t>Cases</w:t>
      </w:r>
      <w:r>
        <w:rPr>
          <w:spacing w:val="-1"/>
          <w:sz w:val="20"/>
        </w:rPr>
        <w:t> </w:t>
      </w:r>
      <w:r>
        <w:rPr>
          <w:sz w:val="20"/>
        </w:rPr>
        <w:t>in</w:t>
      </w:r>
      <w:r>
        <w:rPr>
          <w:spacing w:val="-1"/>
          <w:sz w:val="20"/>
        </w:rPr>
        <w:t> </w:t>
      </w:r>
      <w:r>
        <w:rPr>
          <w:sz w:val="20"/>
        </w:rPr>
        <w:t>which</w:t>
      </w:r>
      <w:r>
        <w:rPr>
          <w:spacing w:val="-1"/>
          <w:sz w:val="20"/>
        </w:rPr>
        <w:t> </w:t>
      </w:r>
      <w:r>
        <w:rPr>
          <w:sz w:val="20"/>
        </w:rPr>
        <w:t>this</w:t>
      </w:r>
      <w:r>
        <w:rPr>
          <w:spacing w:val="-1"/>
          <w:sz w:val="20"/>
        </w:rPr>
        <w:t> </w:t>
      </w:r>
      <w:r>
        <w:rPr>
          <w:sz w:val="20"/>
        </w:rPr>
        <w:t>requirement</w:t>
      </w:r>
      <w:r>
        <w:rPr>
          <w:spacing w:val="-1"/>
          <w:sz w:val="20"/>
        </w:rPr>
        <w:t> </w:t>
      </w:r>
      <w:r>
        <w:rPr>
          <w:sz w:val="20"/>
        </w:rPr>
        <w:t>was</w:t>
      </w:r>
      <w:r>
        <w:rPr>
          <w:spacing w:val="-1"/>
          <w:sz w:val="20"/>
        </w:rPr>
        <w:t> </w:t>
      </w:r>
      <w:r>
        <w:rPr>
          <w:sz w:val="20"/>
        </w:rPr>
        <w:t>not</w:t>
      </w:r>
      <w:r>
        <w:rPr>
          <w:spacing w:val="-1"/>
          <w:sz w:val="20"/>
        </w:rPr>
        <w:t> </w:t>
      </w:r>
      <w:r>
        <w:rPr>
          <w:sz w:val="20"/>
        </w:rPr>
        <w:t>satisfied</w:t>
      </w:r>
      <w:r>
        <w:rPr>
          <w:spacing w:val="-1"/>
          <w:sz w:val="20"/>
        </w:rPr>
        <w:t> </w:t>
      </w:r>
      <w:r>
        <w:rPr>
          <w:sz w:val="20"/>
        </w:rPr>
        <w:t>include</w:t>
      </w:r>
      <w:r>
        <w:rPr>
          <w:spacing w:val="-1"/>
          <w:sz w:val="20"/>
        </w:rPr>
        <w:t> </w:t>
      </w:r>
      <w:r>
        <w:rPr>
          <w:sz w:val="20"/>
        </w:rPr>
        <w:t>the</w:t>
      </w:r>
      <w:r>
        <w:rPr>
          <w:spacing w:val="-2"/>
          <w:sz w:val="20"/>
        </w:rPr>
        <w:t> </w:t>
      </w:r>
      <w:r>
        <w:rPr>
          <w:rFonts w:ascii="Arial"/>
          <w:i/>
          <w:sz w:val="20"/>
        </w:rPr>
        <w:t>James</w:t>
      </w:r>
      <w:r>
        <w:rPr>
          <w:rFonts w:ascii="Arial"/>
          <w:i/>
          <w:spacing w:val="-2"/>
          <w:sz w:val="20"/>
        </w:rPr>
        <w:t> </w:t>
      </w:r>
      <w:r>
        <w:rPr>
          <w:sz w:val="20"/>
        </w:rPr>
        <w:t>case,</w:t>
      </w:r>
      <w:r>
        <w:rPr>
          <w:spacing w:val="-1"/>
          <w:sz w:val="20"/>
        </w:rPr>
        <w:t> </w:t>
      </w:r>
      <w:r>
        <w:rPr>
          <w:sz w:val="20"/>
        </w:rPr>
        <w:t>above</w:t>
      </w:r>
      <w:r>
        <w:rPr>
          <w:spacing w:val="-1"/>
          <w:sz w:val="20"/>
        </w:rPr>
        <w:t> </w:t>
      </w:r>
      <w:r>
        <w:rPr>
          <w:sz w:val="20"/>
        </w:rPr>
        <w:t>n.41;</w:t>
      </w:r>
      <w:r>
        <w:rPr>
          <w:spacing w:val="-2"/>
          <w:sz w:val="20"/>
        </w:rPr>
        <w:t> </w:t>
      </w:r>
      <w:r>
        <w:rPr>
          <w:rFonts w:ascii="Arial"/>
          <w:i/>
          <w:sz w:val="20"/>
        </w:rPr>
        <w:t>Cairns</w:t>
      </w:r>
      <w:r>
        <w:rPr>
          <w:rFonts w:ascii="Arial"/>
          <w:i/>
          <w:spacing w:val="-1"/>
          <w:sz w:val="20"/>
        </w:rPr>
        <w:t> </w:t>
      </w:r>
      <w:r>
        <w:rPr>
          <w:rFonts w:ascii="Arial"/>
          <w:i/>
          <w:sz w:val="20"/>
        </w:rPr>
        <w:t>v Visteon UK Ltd [2007] I.R.L.R. 175 </w:t>
      </w:r>
      <w:r>
        <w:rPr>
          <w:sz w:val="20"/>
        </w:rPr>
        <w:t>and </w:t>
      </w:r>
      <w:r>
        <w:rPr>
          <w:rFonts w:ascii="Arial"/>
          <w:i/>
          <w:sz w:val="20"/>
        </w:rPr>
        <w:t>Croke v Hydro Aluminium Worcester Ltd [2007] I.C.R. 1303</w:t>
      </w:r>
      <w:r>
        <w:rPr>
          <w:sz w:val="20"/>
        </w:rPr>
        <w:t>; </w:t>
      </w:r>
      <w:r>
        <w:rPr>
          <w:rFonts w:ascii="Arial"/>
          <w:i/>
          <w:sz w:val="20"/>
        </w:rPr>
        <w:t>Alstom Transport v Tilson [2010] EWCA Civ 1308, [2011] I.R.L.R. 169 </w:t>
      </w:r>
      <w:r>
        <w:rPr>
          <w:sz w:val="20"/>
        </w:rPr>
        <w:t>(where B had expressly</w:t>
      </w:r>
      <w:r>
        <w:rPr>
          <w:spacing w:val="10"/>
          <w:sz w:val="20"/>
        </w:rPr>
        <w:t> </w:t>
      </w:r>
      <w:r>
        <w:rPr>
          <w:sz w:val="20"/>
        </w:rPr>
        <w:t>refused,</w:t>
      </w:r>
      <w:r>
        <w:rPr>
          <w:spacing w:val="10"/>
          <w:sz w:val="20"/>
        </w:rPr>
        <w:t> </w:t>
      </w:r>
      <w:r>
        <w:rPr>
          <w:sz w:val="20"/>
        </w:rPr>
        <w:t>when</w:t>
      </w:r>
      <w:r>
        <w:rPr>
          <w:spacing w:val="10"/>
          <w:sz w:val="20"/>
        </w:rPr>
        <w:t> </w:t>
      </w:r>
      <w:r>
        <w:rPr>
          <w:sz w:val="20"/>
        </w:rPr>
        <w:t>invited</w:t>
      </w:r>
      <w:r>
        <w:rPr>
          <w:spacing w:val="10"/>
          <w:sz w:val="20"/>
        </w:rPr>
        <w:t> </w:t>
      </w:r>
      <w:r>
        <w:rPr>
          <w:sz w:val="20"/>
        </w:rPr>
        <w:t>to</w:t>
      </w:r>
      <w:r>
        <w:rPr>
          <w:spacing w:val="10"/>
          <w:sz w:val="20"/>
        </w:rPr>
        <w:t> </w:t>
      </w:r>
      <w:r>
        <w:rPr>
          <w:sz w:val="20"/>
        </w:rPr>
        <w:t>do</w:t>
      </w:r>
      <w:r>
        <w:rPr>
          <w:spacing w:val="10"/>
          <w:sz w:val="20"/>
        </w:rPr>
        <w:t> </w:t>
      </w:r>
      <w:r>
        <w:rPr>
          <w:sz w:val="20"/>
        </w:rPr>
        <w:t>so,</w:t>
      </w:r>
      <w:r>
        <w:rPr>
          <w:spacing w:val="10"/>
          <w:sz w:val="20"/>
        </w:rPr>
        <w:t> </w:t>
      </w:r>
      <w:r>
        <w:rPr>
          <w:sz w:val="20"/>
        </w:rPr>
        <w:t>to</w:t>
      </w:r>
      <w:r>
        <w:rPr>
          <w:spacing w:val="10"/>
          <w:sz w:val="20"/>
        </w:rPr>
        <w:t> </w:t>
      </w:r>
      <w:r>
        <w:rPr>
          <w:sz w:val="20"/>
        </w:rPr>
        <w:t>enter</w:t>
      </w:r>
      <w:r>
        <w:rPr>
          <w:spacing w:val="10"/>
          <w:sz w:val="20"/>
        </w:rPr>
        <w:t> </w:t>
      </w:r>
      <w:r>
        <w:rPr>
          <w:sz w:val="20"/>
        </w:rPr>
        <w:t>into</w:t>
      </w:r>
      <w:r>
        <w:rPr>
          <w:spacing w:val="10"/>
          <w:sz w:val="20"/>
        </w:rPr>
        <w:t> </w:t>
      </w:r>
      <w:r>
        <w:rPr>
          <w:sz w:val="20"/>
        </w:rPr>
        <w:t>an</w:t>
      </w:r>
      <w:r>
        <w:rPr>
          <w:spacing w:val="10"/>
          <w:sz w:val="20"/>
        </w:rPr>
        <w:t> </w:t>
      </w:r>
      <w:r>
        <w:rPr>
          <w:sz w:val="20"/>
        </w:rPr>
        <w:t>express</w:t>
      </w:r>
      <w:r>
        <w:rPr>
          <w:spacing w:val="10"/>
          <w:sz w:val="20"/>
        </w:rPr>
        <w:t> </w:t>
      </w:r>
      <w:r>
        <w:rPr>
          <w:sz w:val="20"/>
        </w:rPr>
        <w:t>contract</w:t>
      </w:r>
      <w:r>
        <w:rPr>
          <w:spacing w:val="10"/>
          <w:sz w:val="20"/>
        </w:rPr>
        <w:t> </w:t>
      </w:r>
      <w:r>
        <w:rPr>
          <w:sz w:val="20"/>
        </w:rPr>
        <w:t>with</w:t>
      </w:r>
      <w:r>
        <w:rPr>
          <w:spacing w:val="10"/>
          <w:sz w:val="20"/>
        </w:rPr>
        <w:t> </w:t>
      </w:r>
      <w:r>
        <w:rPr>
          <w:sz w:val="20"/>
        </w:rPr>
        <w:t>C);</w:t>
      </w:r>
      <w:r>
        <w:rPr>
          <w:spacing w:val="10"/>
          <w:sz w:val="20"/>
        </w:rPr>
        <w:t> </w:t>
      </w:r>
      <w:r>
        <w:rPr>
          <w:sz w:val="20"/>
        </w:rPr>
        <w:t>cf.</w:t>
      </w:r>
      <w:r>
        <w:rPr>
          <w:spacing w:val="9"/>
          <w:sz w:val="20"/>
        </w:rPr>
        <w:t> </w:t>
      </w:r>
      <w:r>
        <w:rPr>
          <w:rFonts w:ascii="Arial"/>
          <w:i/>
          <w:sz w:val="20"/>
        </w:rPr>
        <w:t>Evans</w:t>
      </w:r>
      <w:r>
        <w:rPr>
          <w:rFonts w:ascii="Arial"/>
          <w:i/>
          <w:spacing w:val="10"/>
          <w:sz w:val="20"/>
        </w:rPr>
        <w:t> </w:t>
      </w:r>
      <w:r>
        <w:rPr>
          <w:rFonts w:ascii="Arial"/>
          <w:i/>
          <w:spacing w:val="-10"/>
          <w:sz w:val="20"/>
        </w:rPr>
        <w:t>v</w:t>
      </w:r>
    </w:p>
    <w:p>
      <w:pPr>
        <w:spacing w:after="0" w:line="235" w:lineRule="auto"/>
        <w:jc w:val="both"/>
        <w:rPr>
          <w:rFonts w:ascii="Arial"/>
          <w:i/>
          <w:sz w:val="20"/>
        </w:rPr>
        <w:sectPr>
          <w:type w:val="continuous"/>
          <w:pgSz w:w="11900" w:h="16840"/>
          <w:pgMar w:header="971" w:footer="0" w:top="1160" w:bottom="280" w:left="1275" w:right="1275"/>
        </w:sectPr>
      </w:pPr>
    </w:p>
    <w:p>
      <w:pPr>
        <w:pStyle w:val="BodyText"/>
        <w:spacing w:before="24"/>
        <w:rPr>
          <w:rFonts w:ascii="Arial"/>
          <w:i/>
        </w:rPr>
      </w:pPr>
    </w:p>
    <w:p>
      <w:pPr>
        <w:pStyle w:val="BodyText"/>
        <w:spacing w:line="235" w:lineRule="auto" w:before="1"/>
        <w:ind w:left="705" w:right="167"/>
        <w:jc w:val="both"/>
      </w:pPr>
      <w:r>
        <w:rPr>
          <w:rFonts w:ascii="Arial"/>
          <w:i/>
        </w:rPr>
        <w:t>Parasol Ltd [2010] EWCA Civ 866, [2011] I.C.R. 37</w:t>
      </w:r>
      <w:r>
        <w:rPr/>
        <w:t>, where the Court of Appeal held that B had an arguable case on the point but evidently regarded it as unlikely that B would be able at </w:t>
      </w:r>
      <w:r>
        <w:rPr/>
        <w:t>the trial to establish that there was a contract between B and C. For further discussion of this line of cases, see Vol.II, para.40-027. For legislative intervention in such situations, see Agency Workers Regulations 2010, SI 2010/93, below para.40-027.</w:t>
      </w:r>
    </w:p>
    <w:p>
      <w:pPr>
        <w:pStyle w:val="BodyText"/>
        <w:spacing w:before="8"/>
      </w:pPr>
    </w:p>
    <w:p>
      <w:pPr>
        <w:spacing w:line="235" w:lineRule="auto" w:before="0"/>
        <w:ind w:left="705" w:right="168" w:hanging="541"/>
        <w:jc w:val="both"/>
        <w:rPr>
          <w:sz w:val="20"/>
        </w:rPr>
      </w:pPr>
      <w:bookmarkStart w:name="_bookmark135" w:id="137"/>
      <w:bookmarkEnd w:id="137"/>
      <w:r>
        <w:rPr/>
      </w:r>
      <w:hyperlink w:history="true" w:anchor="_bookmark58">
        <w:r>
          <w:rPr>
            <w:color w:val="005DA1"/>
            <w:position w:val="5"/>
            <w:sz w:val="14"/>
            <w:u w:val="single" w:color="005DA1"/>
          </w:rPr>
          <w:t>45</w:t>
        </w:r>
      </w:hyperlink>
      <w:r>
        <w:rPr>
          <w:position w:val="5"/>
          <w:sz w:val="14"/>
        </w:rPr>
        <w:t>.</w:t>
      </w:r>
      <w:r>
        <w:rPr>
          <w:spacing w:val="40"/>
          <w:position w:val="5"/>
          <w:sz w:val="14"/>
        </w:rPr>
        <w:t>  </w:t>
      </w:r>
      <w:r>
        <w:rPr>
          <w:rFonts w:ascii="Arial"/>
          <w:i/>
          <w:sz w:val="20"/>
        </w:rPr>
        <w:t>Campbell Discount Co Ltd v Gall [1961] 1 Q.B. 431</w:t>
      </w:r>
      <w:r>
        <w:rPr>
          <w:sz w:val="20"/>
        </w:rPr>
        <w:t>; reversed on other points in </w:t>
      </w:r>
      <w:r>
        <w:rPr>
          <w:rFonts w:ascii="Arial"/>
          <w:i/>
          <w:sz w:val="20"/>
        </w:rPr>
        <w:t>Branwhite v Worcester Works Finance Ltd [1969] 1 A.C. 552 </w:t>
      </w:r>
      <w:r>
        <w:rPr>
          <w:sz w:val="20"/>
        </w:rPr>
        <w:t>and </w:t>
      </w:r>
      <w:r>
        <w:rPr>
          <w:rFonts w:ascii="Arial"/>
          <w:i/>
          <w:sz w:val="20"/>
        </w:rPr>
        <w:t>United Dominions Trust Ltd v </w:t>
      </w:r>
      <w:r>
        <w:rPr>
          <w:rFonts w:ascii="Arial"/>
          <w:i/>
          <w:sz w:val="20"/>
        </w:rPr>
        <w:t>Western [1976] Q.B. 513</w:t>
      </w:r>
      <w:r>
        <w:rPr>
          <w:sz w:val="20"/>
        </w:rPr>
        <w:t>.</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136" w:id="138"/>
      <w:bookmarkEnd w:id="138"/>
      <w:r>
        <w:rPr/>
      </w:r>
      <w:hyperlink w:history="true" w:anchor="_bookmark59">
        <w:r>
          <w:rPr>
            <w:color w:val="005DA1"/>
            <w:spacing w:val="-4"/>
            <w:position w:val="5"/>
            <w:sz w:val="14"/>
            <w:u w:val="single" w:color="005DA1"/>
          </w:rPr>
          <w:t>46</w:t>
        </w:r>
      </w:hyperlink>
      <w:r>
        <w:rPr>
          <w:spacing w:val="-4"/>
          <w:position w:val="5"/>
          <w:sz w:val="14"/>
        </w:rPr>
        <w:t>.</w:t>
      </w:r>
      <w:r>
        <w:rPr>
          <w:position w:val="5"/>
          <w:sz w:val="14"/>
        </w:rPr>
        <w:tab/>
      </w:r>
      <w:r>
        <w:rPr>
          <w:rFonts w:ascii="Arial"/>
          <w:i/>
          <w:sz w:val="20"/>
        </w:rPr>
        <w:t>Brown v Sheen &amp; Richmond Car Sales Ltd [1950] 1 All E.R. 1102</w:t>
      </w:r>
      <w:r>
        <w:rPr>
          <w:sz w:val="20"/>
        </w:rPr>
        <w:t>; </w:t>
      </w:r>
      <w:r>
        <w:rPr>
          <w:rFonts w:ascii="Arial"/>
          <w:i/>
          <w:sz w:val="20"/>
        </w:rPr>
        <w:t>Andrews v Hopkinson [1957] 1</w:t>
      </w:r>
      <w:r>
        <w:rPr>
          <w:rFonts w:ascii="Arial"/>
          <w:i/>
          <w:spacing w:val="17"/>
          <w:sz w:val="20"/>
        </w:rPr>
        <w:t> </w:t>
      </w:r>
      <w:r>
        <w:rPr>
          <w:rFonts w:ascii="Arial"/>
          <w:i/>
          <w:sz w:val="20"/>
        </w:rPr>
        <w:t>Q.B.</w:t>
      </w:r>
      <w:r>
        <w:rPr>
          <w:rFonts w:ascii="Arial"/>
          <w:i/>
          <w:spacing w:val="18"/>
          <w:sz w:val="20"/>
        </w:rPr>
        <w:t> </w:t>
      </w:r>
      <w:r>
        <w:rPr>
          <w:rFonts w:ascii="Arial"/>
          <w:i/>
          <w:sz w:val="20"/>
        </w:rPr>
        <w:t>229</w:t>
      </w:r>
      <w:r>
        <w:rPr>
          <w:sz w:val="20"/>
        </w:rPr>
        <w:t>;</w:t>
      </w:r>
      <w:r>
        <w:rPr>
          <w:spacing w:val="18"/>
          <w:sz w:val="20"/>
        </w:rPr>
        <w:t> </w:t>
      </w:r>
      <w:r>
        <w:rPr>
          <w:sz w:val="20"/>
        </w:rPr>
        <w:t>Diamond</w:t>
      </w:r>
      <w:r>
        <w:rPr>
          <w:spacing w:val="18"/>
          <w:sz w:val="20"/>
        </w:rPr>
        <w:t> </w:t>
      </w:r>
      <w:r>
        <w:rPr>
          <w:sz w:val="20"/>
        </w:rPr>
        <w:t>(1957)</w:t>
      </w:r>
      <w:r>
        <w:rPr>
          <w:spacing w:val="18"/>
          <w:sz w:val="20"/>
        </w:rPr>
        <w:t> </w:t>
      </w:r>
      <w:r>
        <w:rPr>
          <w:sz w:val="20"/>
        </w:rPr>
        <w:t>21</w:t>
      </w:r>
      <w:r>
        <w:rPr>
          <w:spacing w:val="18"/>
          <w:sz w:val="20"/>
        </w:rPr>
        <w:t> </w:t>
      </w:r>
      <w:r>
        <w:rPr>
          <w:sz w:val="20"/>
        </w:rPr>
        <w:t>M.L.R.</w:t>
      </w:r>
      <w:r>
        <w:rPr>
          <w:spacing w:val="18"/>
          <w:sz w:val="20"/>
        </w:rPr>
        <w:t> </w:t>
      </w:r>
      <w:r>
        <w:rPr>
          <w:sz w:val="20"/>
        </w:rPr>
        <w:t>177;</w:t>
      </w:r>
      <w:r>
        <w:rPr>
          <w:spacing w:val="18"/>
          <w:sz w:val="20"/>
        </w:rPr>
        <w:t> </w:t>
      </w:r>
      <w:r>
        <w:rPr>
          <w:sz w:val="20"/>
        </w:rPr>
        <w:t>cf.</w:t>
      </w:r>
      <w:r>
        <w:rPr>
          <w:spacing w:val="17"/>
          <w:sz w:val="20"/>
        </w:rPr>
        <w:t> </w:t>
      </w:r>
      <w:r>
        <w:rPr>
          <w:rFonts w:ascii="Arial"/>
          <w:i/>
          <w:sz w:val="20"/>
        </w:rPr>
        <w:t>Astley,</w:t>
      </w:r>
      <w:r>
        <w:rPr>
          <w:rFonts w:ascii="Arial"/>
          <w:i/>
          <w:spacing w:val="18"/>
          <w:sz w:val="20"/>
        </w:rPr>
        <w:t> </w:t>
      </w:r>
      <w:r>
        <w:rPr>
          <w:rFonts w:ascii="Arial"/>
          <w:i/>
          <w:sz w:val="20"/>
        </w:rPr>
        <w:t>Industrial</w:t>
      </w:r>
      <w:r>
        <w:rPr>
          <w:rFonts w:ascii="Arial"/>
          <w:i/>
          <w:spacing w:val="18"/>
          <w:sz w:val="20"/>
        </w:rPr>
        <w:t> </w:t>
      </w:r>
      <w:r>
        <w:rPr>
          <w:rFonts w:ascii="Arial"/>
          <w:i/>
          <w:sz w:val="20"/>
        </w:rPr>
        <w:t>Trust</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Grimley</w:t>
      </w:r>
      <w:r>
        <w:rPr>
          <w:rFonts w:ascii="Arial"/>
          <w:i/>
          <w:spacing w:val="18"/>
          <w:sz w:val="20"/>
        </w:rPr>
        <w:t> </w:t>
      </w:r>
      <w:r>
        <w:rPr>
          <w:rFonts w:ascii="Arial"/>
          <w:i/>
          <w:sz w:val="20"/>
        </w:rPr>
        <w:t>[1963]</w:t>
      </w:r>
      <w:r>
        <w:rPr>
          <w:rFonts w:ascii="Arial"/>
          <w:i/>
          <w:spacing w:val="18"/>
          <w:sz w:val="20"/>
        </w:rPr>
        <w:t> </w:t>
      </w:r>
      <w:r>
        <w:rPr>
          <w:rFonts w:ascii="Arial"/>
          <w:i/>
          <w:spacing w:val="-10"/>
          <w:sz w:val="20"/>
        </w:rPr>
        <w:t>1</w:t>
      </w:r>
    </w:p>
    <w:p>
      <w:pPr>
        <w:spacing w:line="225" w:lineRule="exact" w:before="0"/>
        <w:ind w:left="705" w:right="0" w:firstLine="0"/>
        <w:jc w:val="left"/>
        <w:rPr>
          <w:sz w:val="20"/>
        </w:rPr>
      </w:pPr>
      <w:r>
        <w:rPr>
          <w:rFonts w:ascii="Arial"/>
          <w:i/>
          <w:sz w:val="20"/>
        </w:rPr>
        <w:t>W.L.R.</w:t>
      </w:r>
      <w:r>
        <w:rPr>
          <w:rFonts w:ascii="Arial"/>
          <w:i/>
          <w:spacing w:val="-1"/>
          <w:sz w:val="20"/>
        </w:rPr>
        <w:t> </w:t>
      </w:r>
      <w:r>
        <w:rPr>
          <w:rFonts w:ascii="Arial"/>
          <w:i/>
          <w:sz w:val="20"/>
        </w:rPr>
        <w:t>584</w:t>
      </w:r>
      <w:r>
        <w:rPr>
          <w:sz w:val="20"/>
        </w:rPr>
        <w:t>. As to damages, see</w:t>
      </w:r>
      <w:r>
        <w:rPr>
          <w:spacing w:val="-1"/>
          <w:sz w:val="20"/>
        </w:rPr>
        <w:t> </w:t>
      </w:r>
      <w:r>
        <w:rPr>
          <w:rFonts w:ascii="Arial"/>
          <w:i/>
          <w:sz w:val="20"/>
        </w:rPr>
        <w:t>Yeoman Credit Ltd v Odgers [1962] 1 W.L.R. </w:t>
      </w:r>
      <w:r>
        <w:rPr>
          <w:rFonts w:ascii="Arial"/>
          <w:i/>
          <w:spacing w:val="-4"/>
          <w:sz w:val="20"/>
        </w:rPr>
        <w:t>215</w:t>
      </w:r>
      <w:r>
        <w:rPr>
          <w:spacing w:val="-4"/>
          <w:sz w:val="20"/>
        </w:rPr>
        <w:t>.</w:t>
      </w:r>
    </w:p>
    <w:p>
      <w:pPr>
        <w:pStyle w:val="BodyText"/>
        <w:spacing w:before="5"/>
      </w:pPr>
    </w:p>
    <w:p>
      <w:pPr>
        <w:pStyle w:val="BodyText"/>
        <w:tabs>
          <w:tab w:pos="705" w:val="left" w:leader="none"/>
        </w:tabs>
        <w:ind w:left="165"/>
      </w:pPr>
      <w:bookmarkStart w:name="_bookmark137" w:id="139"/>
      <w:bookmarkEnd w:id="139"/>
      <w:r>
        <w:rPr/>
      </w:r>
      <w:hyperlink w:history="true" w:anchor="_bookmark60">
        <w:r>
          <w:rPr>
            <w:color w:val="005DA1"/>
            <w:spacing w:val="-5"/>
            <w:position w:val="5"/>
            <w:sz w:val="14"/>
            <w:u w:val="single" w:color="005DA1"/>
          </w:rPr>
          <w:t>47</w:t>
        </w:r>
      </w:hyperlink>
      <w:r>
        <w:rPr>
          <w:spacing w:val="-5"/>
          <w:position w:val="5"/>
          <w:sz w:val="14"/>
        </w:rPr>
        <w:t>.</w:t>
      </w:r>
      <w:r>
        <w:rPr>
          <w:position w:val="5"/>
          <w:sz w:val="14"/>
        </w:rPr>
        <w:tab/>
      </w:r>
      <w:r>
        <w:rPr/>
        <w:t>See Consumer Credit Act 2006, s.2; Vol.II, paras 39-005, 39-</w:t>
      </w:r>
      <w:r>
        <w:rPr>
          <w:spacing w:val="-4"/>
        </w:rPr>
        <w:t>019.</w:t>
      </w:r>
    </w:p>
    <w:p>
      <w:pPr>
        <w:pStyle w:val="BodyText"/>
        <w:spacing w:before="5"/>
      </w:pPr>
    </w:p>
    <w:p>
      <w:pPr>
        <w:pStyle w:val="BodyText"/>
        <w:tabs>
          <w:tab w:pos="705" w:val="left" w:leader="none"/>
        </w:tabs>
        <w:ind w:left="165"/>
      </w:pPr>
      <w:bookmarkStart w:name="_bookmark138" w:id="140"/>
      <w:bookmarkEnd w:id="140"/>
      <w:r>
        <w:rPr/>
      </w:r>
      <w:hyperlink w:history="true" w:anchor="_bookmark61">
        <w:r>
          <w:rPr>
            <w:color w:val="005DA1"/>
            <w:spacing w:val="-5"/>
            <w:position w:val="5"/>
            <w:sz w:val="14"/>
            <w:u w:val="single" w:color="005DA1"/>
          </w:rPr>
          <w:t>48</w:t>
        </w:r>
      </w:hyperlink>
      <w:r>
        <w:rPr>
          <w:spacing w:val="-5"/>
          <w:position w:val="5"/>
          <w:sz w:val="14"/>
        </w:rPr>
        <w:t>.</w:t>
      </w:r>
      <w:r>
        <w:rPr>
          <w:position w:val="5"/>
          <w:sz w:val="14"/>
        </w:rPr>
        <w:tab/>
      </w:r>
      <w:r>
        <w:rPr/>
        <w:t>s.56(2); cf. also </w:t>
      </w:r>
      <w:r>
        <w:rPr>
          <w:spacing w:val="-2"/>
        </w:rPr>
        <w:t>s.75.</w:t>
      </w:r>
    </w:p>
    <w:p>
      <w:pPr>
        <w:pStyle w:val="BodyText"/>
        <w:spacing w:before="5"/>
      </w:pPr>
    </w:p>
    <w:p>
      <w:pPr>
        <w:pStyle w:val="BodyText"/>
        <w:tabs>
          <w:tab w:pos="705" w:val="left" w:leader="none"/>
        </w:tabs>
        <w:ind w:left="165"/>
      </w:pPr>
      <w:bookmarkStart w:name="_bookmark139" w:id="141"/>
      <w:bookmarkEnd w:id="141"/>
      <w:r>
        <w:rPr/>
      </w:r>
      <w:hyperlink w:history="true" w:anchor="_bookmark62">
        <w:r>
          <w:rPr>
            <w:color w:val="005DA1"/>
            <w:spacing w:val="-5"/>
            <w:position w:val="5"/>
            <w:sz w:val="14"/>
            <w:u w:val="single" w:color="005DA1"/>
          </w:rPr>
          <w:t>49</w:t>
        </w:r>
      </w:hyperlink>
      <w:r>
        <w:rPr>
          <w:spacing w:val="-5"/>
          <w:position w:val="5"/>
          <w:sz w:val="14"/>
        </w:rPr>
        <w:t>.</w:t>
      </w:r>
      <w:r>
        <w:rPr>
          <w:position w:val="5"/>
          <w:sz w:val="14"/>
        </w:rPr>
        <w:tab/>
      </w:r>
      <w:r>
        <w:rPr/>
        <w:t>This follows from s.56(2), above, </w:t>
      </w:r>
      <w:r>
        <w:rPr>
          <w:spacing w:val="-2"/>
        </w:rPr>
        <w:t>n.46.</w:t>
      </w:r>
    </w:p>
    <w:p>
      <w:pPr>
        <w:pStyle w:val="BodyText"/>
        <w:spacing w:before="8"/>
      </w:pPr>
    </w:p>
    <w:p>
      <w:pPr>
        <w:spacing w:line="235" w:lineRule="auto" w:before="1"/>
        <w:ind w:left="705" w:right="167" w:hanging="541"/>
        <w:jc w:val="both"/>
        <w:rPr>
          <w:sz w:val="20"/>
        </w:rPr>
      </w:pPr>
      <w:bookmarkStart w:name="_bookmark140" w:id="142"/>
      <w:bookmarkEnd w:id="142"/>
      <w:r>
        <w:rPr/>
      </w:r>
      <w:hyperlink w:history="true" w:anchor="_bookmark63">
        <w:r>
          <w:rPr>
            <w:color w:val="005DA1"/>
            <w:position w:val="5"/>
            <w:sz w:val="14"/>
            <w:u w:val="single" w:color="005DA1"/>
          </w:rPr>
          <w:t>50</w:t>
        </w:r>
      </w:hyperlink>
      <w:r>
        <w:rPr>
          <w:position w:val="5"/>
          <w:sz w:val="14"/>
        </w:rPr>
        <w:t>.</w:t>
      </w:r>
      <w:r>
        <w:rPr>
          <w:spacing w:val="40"/>
          <w:position w:val="5"/>
          <w:sz w:val="14"/>
        </w:rPr>
        <w:t>  </w:t>
      </w:r>
      <w:r>
        <w:rPr>
          <w:rFonts w:ascii="Arial"/>
          <w:i/>
          <w:sz w:val="20"/>
        </w:rPr>
        <w:t>Re Charge Card Services [1987] Ch. 150; affirmed [1989] Ch. 497</w:t>
      </w:r>
      <w:r>
        <w:rPr>
          <w:sz w:val="20"/>
        </w:rPr>
        <w:t>; cf. </w:t>
      </w:r>
      <w:r>
        <w:rPr>
          <w:rFonts w:ascii="Arial"/>
          <w:i/>
          <w:sz w:val="20"/>
        </w:rPr>
        <w:t>Customs and Excise Commissioners v Diners Club Ltd [1989] 1 W.L.R. 1196</w:t>
      </w:r>
      <w:r>
        <w:rPr>
          <w:sz w:val="20"/>
        </w:rPr>
        <w:t>; </w:t>
      </w:r>
      <w:r>
        <w:rPr>
          <w:rFonts w:ascii="Arial"/>
          <w:i/>
          <w:sz w:val="20"/>
        </w:rPr>
        <w:t>First Sport Ltd v Barclays Bank </w:t>
      </w:r>
      <w:r>
        <w:rPr>
          <w:rFonts w:ascii="Arial"/>
          <w:i/>
          <w:sz w:val="20"/>
        </w:rPr>
        <w:t>plc [1993] 1 W.L.R. 1229 </w:t>
      </w:r>
      <w:r>
        <w:rPr>
          <w:sz w:val="20"/>
        </w:rPr>
        <w:t>(where the card had been stolen and been presented by the thief to the retailer). A different analysis probably applies where the card is issued by the suppliers, as is</w:t>
      </w:r>
      <w:r>
        <w:rPr>
          <w:spacing w:val="40"/>
          <w:sz w:val="20"/>
        </w:rPr>
        <w:t> </w:t>
      </w:r>
      <w:r>
        <w:rPr>
          <w:sz w:val="20"/>
        </w:rPr>
        <w:t>the practice of some department stores: </w:t>
      </w:r>
      <w:r>
        <w:rPr>
          <w:rFonts w:ascii="Arial"/>
          <w:i/>
          <w:sz w:val="20"/>
        </w:rPr>
        <w:t>Richardson v Worrall [1985] S.T.C. 693, 720</w:t>
      </w:r>
      <w:r>
        <w:rPr>
          <w:sz w:val="20"/>
        </w:rPr>
        <w:t>.</w:t>
      </w:r>
    </w:p>
    <w:p>
      <w:pPr>
        <w:pStyle w:val="BodyText"/>
        <w:spacing w:before="4"/>
      </w:pPr>
    </w:p>
    <w:p>
      <w:pPr>
        <w:tabs>
          <w:tab w:pos="705" w:val="left" w:leader="none"/>
        </w:tabs>
        <w:spacing w:before="0"/>
        <w:ind w:left="165" w:right="0" w:firstLine="0"/>
        <w:jc w:val="left"/>
        <w:rPr>
          <w:sz w:val="20"/>
        </w:rPr>
      </w:pPr>
      <w:bookmarkStart w:name="_bookmark141" w:id="143"/>
      <w:bookmarkEnd w:id="143"/>
      <w:r>
        <w:rPr/>
      </w:r>
      <w:hyperlink w:history="true" w:anchor="_bookmark64">
        <w:r>
          <w:rPr>
            <w:color w:val="005DA1"/>
            <w:spacing w:val="-5"/>
            <w:position w:val="5"/>
            <w:sz w:val="14"/>
            <w:u w:val="single" w:color="005DA1"/>
          </w:rPr>
          <w:t>51</w:t>
        </w:r>
      </w:hyperlink>
      <w:r>
        <w:rPr>
          <w:spacing w:val="-5"/>
          <w:position w:val="5"/>
          <w:sz w:val="14"/>
        </w:rPr>
        <w:t>.</w:t>
      </w:r>
      <w:r>
        <w:rPr>
          <w:position w:val="5"/>
          <w:sz w:val="14"/>
        </w:rPr>
        <w:tab/>
      </w:r>
      <w:r>
        <w:rPr>
          <w:rFonts w:ascii="Arial"/>
          <w:i/>
          <w:sz w:val="20"/>
        </w:rPr>
        <w:t>[2013] UKSC 15, [2013] 2 All E.R. </w:t>
      </w:r>
      <w:r>
        <w:rPr>
          <w:rFonts w:ascii="Arial"/>
          <w:i/>
          <w:spacing w:val="-4"/>
          <w:sz w:val="20"/>
        </w:rPr>
        <w:t>719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2" w:id="144"/>
      <w:bookmarkEnd w:id="144"/>
      <w:r>
        <w:rPr/>
      </w:r>
      <w:hyperlink w:history="true" w:anchor="_bookmark65">
        <w:r>
          <w:rPr>
            <w:color w:val="005DA1"/>
            <w:spacing w:val="-5"/>
            <w:position w:val="5"/>
            <w:sz w:val="14"/>
            <w:u w:val="single" w:color="005DA1"/>
          </w:rPr>
          <w:t>52</w:t>
        </w:r>
      </w:hyperlink>
      <w:r>
        <w:rPr>
          <w:spacing w:val="-5"/>
          <w:position w:val="5"/>
          <w:sz w:val="14"/>
        </w:rPr>
        <w:t>.</w:t>
      </w:r>
      <w:r>
        <w:rPr>
          <w:position w:val="5"/>
          <w:sz w:val="14"/>
        </w:rPr>
        <w:tab/>
      </w:r>
      <w:r>
        <w:rPr>
          <w:rFonts w:ascii="Arial"/>
          <w:i/>
          <w:sz w:val="20"/>
        </w:rPr>
        <w:t>[2013] UKSC 15</w:t>
      </w:r>
      <w:r>
        <w:rPr>
          <w:rFonts w:ascii="Arial"/>
          <w:i/>
          <w:spacing w:val="-1"/>
          <w:sz w:val="20"/>
        </w:rPr>
        <w:t> </w:t>
      </w:r>
      <w:r>
        <w:rPr>
          <w:sz w:val="20"/>
        </w:rPr>
        <w:t>at </w:t>
      </w:r>
      <w:r>
        <w:rPr>
          <w:spacing w:val="-4"/>
          <w:sz w:val="20"/>
        </w:rPr>
        <w:t>[1].</w:t>
      </w:r>
    </w:p>
    <w:p>
      <w:pPr>
        <w:pStyle w:val="BodyText"/>
        <w:spacing w:before="5"/>
      </w:pPr>
    </w:p>
    <w:p>
      <w:pPr>
        <w:tabs>
          <w:tab w:pos="705" w:val="left" w:leader="none"/>
        </w:tabs>
        <w:spacing w:before="0"/>
        <w:ind w:left="165" w:right="0" w:firstLine="0"/>
        <w:jc w:val="left"/>
        <w:rPr>
          <w:sz w:val="20"/>
        </w:rPr>
      </w:pPr>
      <w:bookmarkStart w:name="_bookmark143" w:id="145"/>
      <w:bookmarkEnd w:id="145"/>
      <w:r>
        <w:rPr/>
      </w:r>
      <w:hyperlink w:history="true" w:anchor="_bookmark66">
        <w:r>
          <w:rPr>
            <w:color w:val="005DA1"/>
            <w:spacing w:val="-5"/>
            <w:position w:val="5"/>
            <w:sz w:val="14"/>
            <w:u w:val="single" w:color="005DA1"/>
          </w:rPr>
          <w:t>53</w:t>
        </w:r>
      </w:hyperlink>
      <w:r>
        <w:rPr>
          <w:spacing w:val="-5"/>
          <w:position w:val="5"/>
          <w:sz w:val="14"/>
        </w:rPr>
        <w:t>.</w:t>
      </w:r>
      <w:r>
        <w:rPr>
          <w:position w:val="5"/>
          <w:sz w:val="14"/>
        </w:rPr>
        <w:tab/>
      </w:r>
      <w:r>
        <w:rPr>
          <w:rFonts w:ascii="Arial"/>
          <w:i/>
          <w:sz w:val="20"/>
        </w:rPr>
        <w:t>[2013] UKSC 15</w:t>
      </w:r>
      <w:r>
        <w:rPr>
          <w:rFonts w:ascii="Arial"/>
          <w:i/>
          <w:spacing w:val="-1"/>
          <w:sz w:val="20"/>
        </w:rPr>
        <w:t> </w:t>
      </w:r>
      <w:r>
        <w:rPr>
          <w:sz w:val="20"/>
        </w:rPr>
        <w:t>at </w:t>
      </w:r>
      <w:r>
        <w:rPr>
          <w:spacing w:val="-4"/>
          <w:sz w:val="20"/>
        </w:rPr>
        <w:t>[3].</w:t>
      </w:r>
    </w:p>
    <w:p>
      <w:pPr>
        <w:pStyle w:val="BodyText"/>
        <w:spacing w:before="5"/>
      </w:pPr>
    </w:p>
    <w:p>
      <w:pPr>
        <w:tabs>
          <w:tab w:pos="705" w:val="left" w:leader="none"/>
        </w:tabs>
        <w:spacing w:before="0"/>
        <w:ind w:left="165" w:right="0" w:firstLine="0"/>
        <w:jc w:val="left"/>
        <w:rPr>
          <w:sz w:val="20"/>
        </w:rPr>
      </w:pPr>
      <w:bookmarkStart w:name="_bookmark144" w:id="146"/>
      <w:bookmarkEnd w:id="146"/>
      <w:r>
        <w:rPr/>
      </w:r>
      <w:hyperlink w:history="true" w:anchor="_bookmark67">
        <w:r>
          <w:rPr>
            <w:color w:val="005DA1"/>
            <w:spacing w:val="-5"/>
            <w:position w:val="5"/>
            <w:sz w:val="14"/>
            <w:u w:val="single" w:color="005DA1"/>
          </w:rPr>
          <w:t>54</w:t>
        </w:r>
      </w:hyperlink>
      <w:r>
        <w:rPr>
          <w:spacing w:val="-5"/>
          <w:position w:val="5"/>
          <w:sz w:val="14"/>
        </w:rPr>
        <w:t>.</w:t>
      </w:r>
      <w:r>
        <w:rPr>
          <w:position w:val="5"/>
          <w:sz w:val="14"/>
        </w:rPr>
        <w:tab/>
      </w:r>
      <w:r>
        <w:rPr>
          <w:rFonts w:ascii="Arial"/>
          <w:i/>
          <w:sz w:val="20"/>
        </w:rPr>
        <w:t>[2013] UKSC 15</w:t>
      </w:r>
      <w:r>
        <w:rPr>
          <w:rFonts w:ascii="Arial"/>
          <w:i/>
          <w:spacing w:val="-1"/>
          <w:sz w:val="20"/>
        </w:rPr>
        <w:t> </w:t>
      </w:r>
      <w:r>
        <w:rPr>
          <w:sz w:val="20"/>
        </w:rPr>
        <w:t>at </w:t>
      </w:r>
      <w:r>
        <w:rPr>
          <w:spacing w:val="-4"/>
          <w:sz w:val="20"/>
        </w:rPr>
        <w:t>[2].</w:t>
      </w:r>
    </w:p>
    <w:p>
      <w:pPr>
        <w:pStyle w:val="BodyText"/>
        <w:spacing w:before="9"/>
      </w:pPr>
    </w:p>
    <w:p>
      <w:pPr>
        <w:pStyle w:val="BodyText"/>
        <w:spacing w:line="235" w:lineRule="auto"/>
        <w:ind w:left="705" w:right="167" w:hanging="541"/>
        <w:jc w:val="both"/>
      </w:pPr>
      <w:bookmarkStart w:name="_bookmark145" w:id="147"/>
      <w:bookmarkEnd w:id="147"/>
      <w:r>
        <w:rPr/>
      </w:r>
      <w:hyperlink w:history="true" w:anchor="_bookmark68">
        <w:r>
          <w:rPr>
            <w:color w:val="005DA1"/>
            <w:position w:val="5"/>
            <w:sz w:val="14"/>
            <w:u w:val="single" w:color="005DA1"/>
          </w:rPr>
          <w:t>55</w:t>
        </w:r>
      </w:hyperlink>
      <w:r>
        <w:rPr>
          <w:position w:val="5"/>
          <w:sz w:val="14"/>
        </w:rPr>
        <w:t>.</w:t>
      </w:r>
      <w:r>
        <w:rPr>
          <w:spacing w:val="80"/>
          <w:position w:val="5"/>
          <w:sz w:val="14"/>
        </w:rPr>
        <w:t>  </w:t>
      </w:r>
      <w:r>
        <w:rPr/>
        <w:t>As Lord Reed explains at [11], the analysis that follows in the text above would not apply to “sales promotion or customer loyalty schemes which are operated by retailers as part of </w:t>
      </w:r>
      <w:r>
        <w:rPr/>
        <w:t>their own business.” In such cases, there would be no “promoter” in the sense described above.</w:t>
      </w:r>
    </w:p>
    <w:p>
      <w:pPr>
        <w:pStyle w:val="BodyText"/>
        <w:spacing w:before="5"/>
      </w:pPr>
    </w:p>
    <w:p>
      <w:pPr>
        <w:tabs>
          <w:tab w:pos="705" w:val="left" w:leader="none"/>
        </w:tabs>
        <w:spacing w:before="0"/>
        <w:ind w:left="165" w:right="0" w:firstLine="0"/>
        <w:jc w:val="left"/>
        <w:rPr>
          <w:sz w:val="20"/>
        </w:rPr>
      </w:pPr>
      <w:bookmarkStart w:name="_bookmark146" w:id="148"/>
      <w:bookmarkEnd w:id="148"/>
      <w:r>
        <w:rPr/>
      </w:r>
      <w:hyperlink w:history="true" w:anchor="_bookmark69">
        <w:r>
          <w:rPr>
            <w:color w:val="005DA1"/>
            <w:spacing w:val="-5"/>
            <w:position w:val="5"/>
            <w:sz w:val="14"/>
            <w:u w:val="single" w:color="005DA1"/>
          </w:rPr>
          <w:t>56</w:t>
        </w:r>
      </w:hyperlink>
      <w:r>
        <w:rPr>
          <w:spacing w:val="-5"/>
          <w:position w:val="5"/>
          <w:sz w:val="14"/>
        </w:rPr>
        <w:t>.</w:t>
      </w:r>
      <w:r>
        <w:rPr>
          <w:position w:val="5"/>
          <w:sz w:val="14"/>
        </w:rPr>
        <w:tab/>
      </w:r>
      <w:r>
        <w:rPr>
          <w:rFonts w:ascii="Arial"/>
          <w:i/>
          <w:sz w:val="20"/>
        </w:rPr>
        <w:t>[2013] UKSC 15</w:t>
      </w:r>
      <w:r>
        <w:rPr>
          <w:rFonts w:ascii="Arial"/>
          <w:i/>
          <w:spacing w:val="-1"/>
          <w:sz w:val="20"/>
        </w:rPr>
        <w:t> </w:t>
      </w:r>
      <w:r>
        <w:rPr>
          <w:sz w:val="20"/>
        </w:rPr>
        <w:t>at </w:t>
      </w:r>
      <w:r>
        <w:rPr>
          <w:spacing w:val="-4"/>
          <w:sz w:val="20"/>
        </w:rPr>
        <w:t>[3].</w:t>
      </w:r>
    </w:p>
    <w:p>
      <w:pPr>
        <w:pStyle w:val="BodyText"/>
        <w:spacing w:before="5"/>
      </w:pPr>
    </w:p>
    <w:p>
      <w:pPr>
        <w:tabs>
          <w:tab w:pos="705" w:val="left" w:leader="none"/>
        </w:tabs>
        <w:spacing w:before="0"/>
        <w:ind w:left="165" w:right="0" w:firstLine="0"/>
        <w:jc w:val="left"/>
        <w:rPr>
          <w:sz w:val="20"/>
        </w:rPr>
      </w:pPr>
      <w:bookmarkStart w:name="_bookmark147" w:id="149"/>
      <w:bookmarkEnd w:id="149"/>
      <w:r>
        <w:rPr/>
      </w:r>
      <w:hyperlink w:history="true" w:anchor="_bookmark69">
        <w:r>
          <w:rPr>
            <w:color w:val="005DA1"/>
            <w:spacing w:val="-5"/>
            <w:position w:val="5"/>
            <w:sz w:val="14"/>
            <w:u w:val="single" w:color="005DA1"/>
          </w:rPr>
          <w:t>57</w:t>
        </w:r>
      </w:hyperlink>
      <w:r>
        <w:rPr>
          <w:spacing w:val="-5"/>
          <w:position w:val="5"/>
          <w:sz w:val="14"/>
        </w:rPr>
        <w:t>.</w:t>
      </w:r>
      <w:r>
        <w:rPr>
          <w:position w:val="5"/>
          <w:sz w:val="14"/>
        </w:rPr>
        <w:tab/>
      </w:r>
      <w:r>
        <w:rPr>
          <w:rFonts w:ascii="Arial"/>
          <w:i/>
          <w:sz w:val="20"/>
        </w:rPr>
        <w:t>[2013] UKSC 15</w:t>
      </w:r>
      <w:r>
        <w:rPr>
          <w:rFonts w:ascii="Arial"/>
          <w:i/>
          <w:spacing w:val="-1"/>
          <w:sz w:val="20"/>
        </w:rPr>
        <w:t> </w:t>
      </w:r>
      <w:r>
        <w:rPr>
          <w:sz w:val="20"/>
        </w:rPr>
        <w:t>at </w:t>
      </w:r>
      <w:r>
        <w:rPr>
          <w:spacing w:val="-4"/>
          <w:sz w:val="20"/>
        </w:rPr>
        <w:t>[4].</w:t>
      </w:r>
    </w:p>
    <w:p>
      <w:pPr>
        <w:pStyle w:val="BodyText"/>
        <w:spacing w:before="5"/>
      </w:pPr>
    </w:p>
    <w:p>
      <w:pPr>
        <w:tabs>
          <w:tab w:pos="705" w:val="left" w:leader="none"/>
        </w:tabs>
        <w:spacing w:before="0"/>
        <w:ind w:left="165" w:right="0" w:firstLine="0"/>
        <w:jc w:val="left"/>
        <w:rPr>
          <w:sz w:val="20"/>
        </w:rPr>
      </w:pPr>
      <w:bookmarkStart w:name="_bookmark148" w:id="150"/>
      <w:bookmarkEnd w:id="150"/>
      <w:r>
        <w:rPr/>
      </w:r>
      <w:hyperlink w:history="true" w:anchor="_bookmark70">
        <w:r>
          <w:rPr>
            <w:color w:val="005DA1"/>
            <w:spacing w:val="-5"/>
            <w:position w:val="5"/>
            <w:sz w:val="14"/>
            <w:u w:val="single" w:color="005DA1"/>
          </w:rPr>
          <w:t>58</w:t>
        </w:r>
      </w:hyperlink>
      <w:r>
        <w:rPr>
          <w:spacing w:val="-5"/>
          <w:position w:val="5"/>
          <w:sz w:val="14"/>
        </w:rPr>
        <w:t>.</w:t>
      </w:r>
      <w:r>
        <w:rPr>
          <w:position w:val="5"/>
          <w:sz w:val="14"/>
        </w:rPr>
        <w:tab/>
      </w:r>
      <w:r>
        <w:rPr>
          <w:rFonts w:ascii="Arial"/>
          <w:i/>
          <w:sz w:val="20"/>
        </w:rPr>
        <w:t>[2013] UKSC 15</w:t>
      </w:r>
      <w:r>
        <w:rPr>
          <w:rFonts w:ascii="Arial"/>
          <w:i/>
          <w:spacing w:val="-1"/>
          <w:sz w:val="20"/>
        </w:rPr>
        <w:t> </w:t>
      </w:r>
      <w:r>
        <w:rPr>
          <w:sz w:val="20"/>
        </w:rPr>
        <w:t>at </w:t>
      </w:r>
      <w:r>
        <w:rPr>
          <w:spacing w:val="-4"/>
          <w:sz w:val="20"/>
        </w:rPr>
        <w:t>[5].</w:t>
      </w:r>
    </w:p>
    <w:p>
      <w:pPr>
        <w:pStyle w:val="BodyText"/>
        <w:spacing w:before="5"/>
      </w:pPr>
    </w:p>
    <w:p>
      <w:pPr>
        <w:tabs>
          <w:tab w:pos="705" w:val="left" w:leader="none"/>
        </w:tabs>
        <w:spacing w:before="0"/>
        <w:ind w:left="165" w:right="0" w:firstLine="0"/>
        <w:jc w:val="left"/>
        <w:rPr>
          <w:sz w:val="20"/>
        </w:rPr>
      </w:pPr>
      <w:bookmarkStart w:name="_bookmark149" w:id="151"/>
      <w:bookmarkEnd w:id="151"/>
      <w:r>
        <w:rPr/>
      </w:r>
      <w:hyperlink w:history="true" w:anchor="_bookmark71">
        <w:r>
          <w:rPr>
            <w:color w:val="005DA1"/>
            <w:spacing w:val="-5"/>
            <w:position w:val="5"/>
            <w:sz w:val="14"/>
            <w:u w:val="single" w:color="005DA1"/>
          </w:rPr>
          <w:t>59</w:t>
        </w:r>
      </w:hyperlink>
      <w:r>
        <w:rPr>
          <w:spacing w:val="-5"/>
          <w:position w:val="5"/>
          <w:sz w:val="14"/>
        </w:rPr>
        <w:t>.</w:t>
      </w:r>
      <w:r>
        <w:rPr>
          <w:position w:val="5"/>
          <w:sz w:val="14"/>
        </w:rPr>
        <w:tab/>
      </w:r>
      <w:r>
        <w:rPr>
          <w:sz w:val="20"/>
        </w:rPr>
        <w:t>Above, </w:t>
      </w:r>
      <w:r>
        <w:rPr>
          <w:spacing w:val="-2"/>
          <w:sz w:val="20"/>
        </w:rPr>
        <w:t>n.49.</w:t>
      </w:r>
    </w:p>
    <w:p>
      <w:pPr>
        <w:pStyle w:val="BodyText"/>
        <w:spacing w:before="5"/>
      </w:pPr>
    </w:p>
    <w:p>
      <w:pPr>
        <w:tabs>
          <w:tab w:pos="705" w:val="left" w:leader="none"/>
        </w:tabs>
        <w:spacing w:before="0"/>
        <w:ind w:left="165" w:right="0" w:firstLine="0"/>
        <w:jc w:val="left"/>
        <w:rPr>
          <w:sz w:val="20"/>
        </w:rPr>
      </w:pPr>
      <w:bookmarkStart w:name="_bookmark150" w:id="152"/>
      <w:bookmarkEnd w:id="152"/>
      <w:r>
        <w:rPr/>
      </w:r>
      <w:hyperlink w:history="true" w:anchor="_bookmark72">
        <w:r>
          <w:rPr>
            <w:color w:val="005DA1"/>
            <w:spacing w:val="-5"/>
            <w:position w:val="5"/>
            <w:sz w:val="14"/>
            <w:u w:val="single" w:color="005DA1"/>
          </w:rPr>
          <w:t>60</w:t>
        </w:r>
      </w:hyperlink>
      <w:r>
        <w:rPr>
          <w:spacing w:val="-5"/>
          <w:position w:val="5"/>
          <w:sz w:val="14"/>
        </w:rPr>
        <w:t>.</w:t>
      </w:r>
      <w:r>
        <w:rPr>
          <w:position w:val="5"/>
          <w:sz w:val="14"/>
        </w:rPr>
        <w:tab/>
      </w:r>
      <w:r>
        <w:rPr>
          <w:rFonts w:ascii="Arial"/>
          <w:i/>
          <w:sz w:val="20"/>
        </w:rPr>
        <w:t>[2013]</w:t>
      </w:r>
      <w:r>
        <w:rPr>
          <w:rFonts w:ascii="Arial"/>
          <w:i/>
          <w:spacing w:val="-2"/>
          <w:sz w:val="20"/>
        </w:rPr>
        <w:t> </w:t>
      </w:r>
      <w:r>
        <w:rPr>
          <w:rFonts w:ascii="Arial"/>
          <w:i/>
          <w:sz w:val="20"/>
        </w:rPr>
        <w:t>UKSC 15</w:t>
      </w:r>
      <w:r>
        <w:rPr>
          <w:rFonts w:ascii="Arial"/>
          <w:i/>
          <w:spacing w:val="-1"/>
          <w:sz w:val="20"/>
        </w:rPr>
        <w:t> </w:t>
      </w:r>
      <w:r>
        <w:rPr>
          <w:sz w:val="20"/>
        </w:rPr>
        <w:t>at [12], </w:t>
      </w:r>
      <w:r>
        <w:rPr>
          <w:spacing w:val="-2"/>
          <w:sz w:val="20"/>
        </w:rPr>
        <w:t>[72].</w:t>
      </w:r>
    </w:p>
    <w:p>
      <w:pPr>
        <w:pStyle w:val="BodyText"/>
        <w:spacing w:before="5"/>
      </w:pPr>
    </w:p>
    <w:p>
      <w:pPr>
        <w:tabs>
          <w:tab w:pos="705" w:val="left" w:leader="none"/>
        </w:tabs>
        <w:spacing w:before="0"/>
        <w:ind w:left="165" w:right="0" w:firstLine="0"/>
        <w:jc w:val="left"/>
        <w:rPr>
          <w:sz w:val="20"/>
        </w:rPr>
      </w:pPr>
      <w:bookmarkStart w:name="_bookmark151" w:id="153"/>
      <w:bookmarkEnd w:id="153"/>
      <w:r>
        <w:rPr/>
      </w:r>
      <w:hyperlink w:history="true" w:anchor="_bookmark73">
        <w:r>
          <w:rPr>
            <w:color w:val="005DA1"/>
            <w:spacing w:val="-5"/>
            <w:position w:val="5"/>
            <w:sz w:val="14"/>
            <w:u w:val="single" w:color="005DA1"/>
          </w:rPr>
          <w:t>61</w:t>
        </w:r>
      </w:hyperlink>
      <w:r>
        <w:rPr>
          <w:spacing w:val="-5"/>
          <w:position w:val="5"/>
          <w:sz w:val="14"/>
        </w:rPr>
        <w:t>.</w:t>
      </w:r>
      <w:r>
        <w:rPr>
          <w:position w:val="5"/>
          <w:sz w:val="14"/>
        </w:rPr>
        <w:tab/>
      </w:r>
      <w:r>
        <w:rPr>
          <w:rFonts w:ascii="Arial"/>
          <w:i/>
          <w:sz w:val="20"/>
        </w:rPr>
        <w:t>[2013]</w:t>
      </w:r>
      <w:r>
        <w:rPr>
          <w:rFonts w:ascii="Arial"/>
          <w:i/>
          <w:spacing w:val="-2"/>
          <w:sz w:val="20"/>
        </w:rPr>
        <w:t> </w:t>
      </w:r>
      <w:r>
        <w:rPr>
          <w:rFonts w:ascii="Arial"/>
          <w:i/>
          <w:sz w:val="20"/>
        </w:rPr>
        <w:t>UKSC 15</w:t>
      </w:r>
      <w:r>
        <w:rPr>
          <w:rFonts w:ascii="Arial"/>
          <w:i/>
          <w:spacing w:val="-1"/>
          <w:sz w:val="20"/>
        </w:rPr>
        <w:t> </w:t>
      </w:r>
      <w:r>
        <w:rPr>
          <w:sz w:val="20"/>
        </w:rPr>
        <w:t>at </w:t>
      </w:r>
      <w:r>
        <w:rPr>
          <w:spacing w:val="-2"/>
          <w:sz w:val="20"/>
        </w:rPr>
        <w:t>[26].</w:t>
      </w:r>
    </w:p>
    <w:p>
      <w:pPr>
        <w:pStyle w:val="BodyText"/>
        <w:spacing w:before="9"/>
      </w:pPr>
    </w:p>
    <w:p>
      <w:pPr>
        <w:tabs>
          <w:tab w:pos="705" w:val="left" w:leader="none"/>
        </w:tabs>
        <w:spacing w:line="235" w:lineRule="auto" w:before="0"/>
        <w:ind w:left="705" w:right="168" w:hanging="541"/>
        <w:jc w:val="left"/>
        <w:rPr>
          <w:sz w:val="20"/>
        </w:rPr>
      </w:pPr>
      <w:bookmarkStart w:name="_bookmark152" w:id="154"/>
      <w:bookmarkEnd w:id="154"/>
      <w:r>
        <w:rPr/>
      </w:r>
      <w:hyperlink w:history="true" w:anchor="_bookmark74">
        <w:r>
          <w:rPr>
            <w:color w:val="005DA1"/>
            <w:spacing w:val="-4"/>
            <w:position w:val="5"/>
            <w:sz w:val="14"/>
            <w:u w:val="single" w:color="005DA1"/>
          </w:rPr>
          <w:t>62</w:t>
        </w:r>
      </w:hyperlink>
      <w:r>
        <w:rPr>
          <w:spacing w:val="-4"/>
          <w:position w:val="5"/>
          <w:sz w:val="14"/>
        </w:rPr>
        <w:t>.</w:t>
      </w:r>
      <w:r>
        <w:rPr>
          <w:position w:val="5"/>
          <w:sz w:val="14"/>
        </w:rPr>
        <w:tab/>
      </w:r>
      <w:r>
        <w:rPr>
          <w:sz w:val="20"/>
        </w:rPr>
        <w:t>cf.</w:t>
      </w:r>
      <w:r>
        <w:rPr>
          <w:spacing w:val="33"/>
          <w:sz w:val="20"/>
        </w:rPr>
        <w:t> </w:t>
      </w:r>
      <w:r>
        <w:rPr>
          <w:rFonts w:ascii="Arial"/>
          <w:i/>
          <w:sz w:val="20"/>
        </w:rPr>
        <w:t>Brikom</w:t>
      </w:r>
      <w:r>
        <w:rPr>
          <w:rFonts w:ascii="Arial"/>
          <w:i/>
          <w:spacing w:val="33"/>
          <w:sz w:val="20"/>
        </w:rPr>
        <w:t> </w:t>
      </w:r>
      <w:r>
        <w:rPr>
          <w:rFonts w:ascii="Arial"/>
          <w:i/>
          <w:sz w:val="20"/>
        </w:rPr>
        <w:t>Investments</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Carr</w:t>
      </w:r>
      <w:r>
        <w:rPr>
          <w:rFonts w:ascii="Arial"/>
          <w:i/>
          <w:spacing w:val="33"/>
          <w:sz w:val="20"/>
        </w:rPr>
        <w:t> </w:t>
      </w:r>
      <w:r>
        <w:rPr>
          <w:rFonts w:ascii="Arial"/>
          <w:i/>
          <w:sz w:val="20"/>
        </w:rPr>
        <w:t>[1979]</w:t>
      </w:r>
      <w:r>
        <w:rPr>
          <w:rFonts w:ascii="Arial"/>
          <w:i/>
          <w:spacing w:val="33"/>
          <w:sz w:val="20"/>
        </w:rPr>
        <w:t> </w:t>
      </w:r>
      <w:r>
        <w:rPr>
          <w:rFonts w:ascii="Arial"/>
          <w:i/>
          <w:sz w:val="20"/>
        </w:rPr>
        <w:t>Q.B</w:t>
      </w:r>
      <w:r>
        <w:rPr>
          <w:rFonts w:ascii="Arial"/>
          <w:i/>
          <w:spacing w:val="33"/>
          <w:sz w:val="20"/>
        </w:rPr>
        <w:t> </w:t>
      </w:r>
      <w:r>
        <w:rPr>
          <w:rFonts w:ascii="Arial"/>
          <w:i/>
          <w:sz w:val="20"/>
        </w:rPr>
        <w:t>467</w:t>
      </w:r>
      <w:r>
        <w:rPr>
          <w:sz w:val="20"/>
        </w:rPr>
        <w:t>,</w:t>
      </w:r>
      <w:r>
        <w:rPr>
          <w:spacing w:val="33"/>
          <w:sz w:val="20"/>
        </w:rPr>
        <w:t> </w:t>
      </w:r>
      <w:r>
        <w:rPr>
          <w:sz w:val="20"/>
        </w:rPr>
        <w:t>above,</w:t>
      </w:r>
      <w:r>
        <w:rPr>
          <w:spacing w:val="33"/>
          <w:sz w:val="20"/>
        </w:rPr>
        <w:t> </w:t>
      </w:r>
      <w:r>
        <w:rPr>
          <w:sz w:val="20"/>
        </w:rPr>
        <w:t>para.4-081,</w:t>
      </w:r>
      <w:r>
        <w:rPr>
          <w:spacing w:val="33"/>
          <w:sz w:val="20"/>
        </w:rPr>
        <w:t> </w:t>
      </w:r>
      <w:r>
        <w:rPr>
          <w:sz w:val="20"/>
        </w:rPr>
        <w:t>where</w:t>
      </w:r>
      <w:r>
        <w:rPr>
          <w:spacing w:val="33"/>
          <w:sz w:val="20"/>
        </w:rPr>
        <w:t> </w:t>
      </w:r>
      <w:r>
        <w:rPr>
          <w:sz w:val="20"/>
        </w:rPr>
        <w:t>no</w:t>
      </w:r>
      <w:r>
        <w:rPr>
          <w:spacing w:val="33"/>
          <w:sz w:val="20"/>
        </w:rPr>
        <w:t> </w:t>
      </w:r>
      <w:r>
        <w:rPr>
          <w:sz w:val="20"/>
        </w:rPr>
        <w:t>third</w:t>
      </w:r>
      <w:r>
        <w:rPr>
          <w:spacing w:val="33"/>
          <w:sz w:val="20"/>
        </w:rPr>
        <w:t> </w:t>
      </w:r>
      <w:r>
        <w:rPr>
          <w:sz w:val="20"/>
        </w:rPr>
        <w:t>party problem arose.</w:t>
      </w:r>
    </w:p>
    <w:p>
      <w:pPr>
        <w:pStyle w:val="BodyText"/>
        <w:spacing w:before="9"/>
      </w:pPr>
    </w:p>
    <w:p>
      <w:pPr>
        <w:pStyle w:val="BodyText"/>
        <w:spacing w:line="235" w:lineRule="auto"/>
        <w:ind w:left="705" w:right="167" w:hanging="541"/>
        <w:jc w:val="both"/>
      </w:pPr>
      <w:bookmarkStart w:name="_bookmark153" w:id="155"/>
      <w:bookmarkEnd w:id="155"/>
      <w:r>
        <w:rPr/>
      </w:r>
      <w:hyperlink w:history="true" w:anchor="_bookmark75">
        <w:r>
          <w:rPr>
            <w:color w:val="005DA1"/>
            <w:position w:val="5"/>
            <w:sz w:val="14"/>
            <w:u w:val="single" w:color="005DA1"/>
          </w:rPr>
          <w:t>63</w:t>
        </w:r>
      </w:hyperlink>
      <w:r>
        <w:rPr>
          <w:position w:val="5"/>
          <w:sz w:val="14"/>
        </w:rPr>
        <w:t>.</w:t>
      </w:r>
      <w:r>
        <w:rPr>
          <w:spacing w:val="80"/>
          <w:w w:val="150"/>
          <w:position w:val="5"/>
          <w:sz w:val="14"/>
        </w:rPr>
        <w:t>  </w:t>
      </w:r>
      <w:r>
        <w:rPr/>
        <w:t>In the </w:t>
      </w:r>
      <w:r>
        <w:rPr>
          <w:rFonts w:ascii="Arial" w:hAnsi="Arial"/>
          <w:i/>
        </w:rPr>
        <w:t>Shanklin Pier </w:t>
      </w:r>
      <w:r>
        <w:rPr/>
        <w:t>case (above, para.18-005 at n.25) McNair J. said at 856: “I see no reason why there may not be an enforceable warranty between A [the defendant] and B [the </w:t>
      </w:r>
      <w:r>
        <w:rPr/>
        <w:t>plaintiff] supported by the consideration that B should cause C [the contractors employed by the plaintiffs] to enter into a contract with A [viz. to buy the paint from A].”</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154" w:id="156"/>
      <w:bookmarkEnd w:id="156"/>
      <w:r>
        <w:rPr/>
      </w:r>
      <w:hyperlink w:history="true" w:anchor="_bookmark76">
        <w:r>
          <w:rPr>
            <w:color w:val="005DA1"/>
            <w:spacing w:val="-5"/>
            <w:sz w:val="14"/>
            <w:u w:val="single" w:color="005DA1"/>
          </w:rPr>
          <w:t>64</w:t>
        </w:r>
      </w:hyperlink>
      <w:r>
        <w:rPr>
          <w:spacing w:val="-5"/>
          <w:sz w:val="14"/>
        </w:rPr>
        <w:t>.</w:t>
      </w:r>
    </w:p>
    <w:p>
      <w:pPr>
        <w:spacing w:line="227" w:lineRule="exact" w:before="208"/>
        <w:ind w:left="335" w:right="0" w:firstLine="0"/>
        <w:jc w:val="left"/>
        <w:rPr>
          <w:rFonts w:ascii="Arial"/>
          <w:i/>
          <w:sz w:val="20"/>
        </w:rPr>
      </w:pPr>
      <w:r>
        <w:rPr/>
        <w:br w:type="column"/>
      </w:r>
      <w:r>
        <w:rPr>
          <w:sz w:val="20"/>
        </w:rPr>
        <w:t>cf.,</w:t>
      </w:r>
      <w:r>
        <w:rPr>
          <w:spacing w:val="24"/>
          <w:sz w:val="20"/>
        </w:rPr>
        <w:t> </w:t>
      </w:r>
      <w:r>
        <w:rPr>
          <w:sz w:val="20"/>
        </w:rPr>
        <w:t>in</w:t>
      </w:r>
      <w:r>
        <w:rPr>
          <w:spacing w:val="24"/>
          <w:sz w:val="20"/>
        </w:rPr>
        <w:t> </w:t>
      </w:r>
      <w:r>
        <w:rPr>
          <w:sz w:val="20"/>
        </w:rPr>
        <w:t>another</w:t>
      </w:r>
      <w:r>
        <w:rPr>
          <w:spacing w:val="24"/>
          <w:sz w:val="20"/>
        </w:rPr>
        <w:t> </w:t>
      </w:r>
      <w:r>
        <w:rPr>
          <w:sz w:val="20"/>
        </w:rPr>
        <w:t>context,</w:t>
      </w:r>
      <w:r>
        <w:rPr>
          <w:spacing w:val="24"/>
          <w:sz w:val="20"/>
        </w:rPr>
        <w:t> </w:t>
      </w:r>
      <w:r>
        <w:rPr>
          <w:rFonts w:ascii="Arial"/>
          <w:i/>
          <w:sz w:val="20"/>
        </w:rPr>
        <w:t>Penn</w:t>
      </w:r>
      <w:r>
        <w:rPr>
          <w:rFonts w:ascii="Arial"/>
          <w:i/>
          <w:spacing w:val="24"/>
          <w:sz w:val="20"/>
        </w:rPr>
        <w:t> </w:t>
      </w:r>
      <w:r>
        <w:rPr>
          <w:rFonts w:ascii="Arial"/>
          <w:i/>
          <w:sz w:val="20"/>
        </w:rPr>
        <w:t>v</w:t>
      </w:r>
      <w:r>
        <w:rPr>
          <w:rFonts w:ascii="Arial"/>
          <w:i/>
          <w:spacing w:val="24"/>
          <w:sz w:val="20"/>
        </w:rPr>
        <w:t> </w:t>
      </w:r>
      <w:r>
        <w:rPr>
          <w:rFonts w:ascii="Arial"/>
          <w:i/>
          <w:sz w:val="20"/>
        </w:rPr>
        <w:t>Bristol</w:t>
      </w:r>
      <w:r>
        <w:rPr>
          <w:rFonts w:ascii="Arial"/>
          <w:i/>
          <w:spacing w:val="24"/>
          <w:sz w:val="20"/>
        </w:rPr>
        <w:t> </w:t>
      </w:r>
      <w:r>
        <w:rPr>
          <w:rFonts w:ascii="Arial"/>
          <w:i/>
          <w:sz w:val="20"/>
        </w:rPr>
        <w:t>&amp;</w:t>
      </w:r>
      <w:r>
        <w:rPr>
          <w:rFonts w:ascii="Arial"/>
          <w:i/>
          <w:spacing w:val="24"/>
          <w:sz w:val="20"/>
        </w:rPr>
        <w:t> </w:t>
      </w:r>
      <w:r>
        <w:rPr>
          <w:rFonts w:ascii="Arial"/>
          <w:i/>
          <w:sz w:val="20"/>
        </w:rPr>
        <w:t>West</w:t>
      </w:r>
      <w:r>
        <w:rPr>
          <w:rFonts w:ascii="Arial"/>
          <w:i/>
          <w:spacing w:val="24"/>
          <w:sz w:val="20"/>
        </w:rPr>
        <w:t> </w:t>
      </w:r>
      <w:r>
        <w:rPr>
          <w:rFonts w:ascii="Arial"/>
          <w:i/>
          <w:sz w:val="20"/>
        </w:rPr>
        <w:t>Building</w:t>
      </w:r>
      <w:r>
        <w:rPr>
          <w:rFonts w:ascii="Arial"/>
          <w:i/>
          <w:spacing w:val="24"/>
          <w:sz w:val="20"/>
        </w:rPr>
        <w:t> </w:t>
      </w:r>
      <w:r>
        <w:rPr>
          <w:rFonts w:ascii="Arial"/>
          <w:i/>
          <w:sz w:val="20"/>
        </w:rPr>
        <w:t>Society</w:t>
      </w:r>
      <w:r>
        <w:rPr>
          <w:rFonts w:ascii="Arial"/>
          <w:i/>
          <w:spacing w:val="24"/>
          <w:sz w:val="20"/>
        </w:rPr>
        <w:t> </w:t>
      </w:r>
      <w:r>
        <w:rPr>
          <w:rFonts w:ascii="Arial"/>
          <w:i/>
          <w:sz w:val="20"/>
        </w:rPr>
        <w:t>[1997]</w:t>
      </w:r>
      <w:r>
        <w:rPr>
          <w:rFonts w:ascii="Arial"/>
          <w:i/>
          <w:spacing w:val="24"/>
          <w:sz w:val="20"/>
        </w:rPr>
        <w:t> </w:t>
      </w:r>
      <w:r>
        <w:rPr>
          <w:rFonts w:ascii="Arial"/>
          <w:i/>
          <w:sz w:val="20"/>
        </w:rPr>
        <w:t>1</w:t>
      </w:r>
      <w:r>
        <w:rPr>
          <w:rFonts w:ascii="Arial"/>
          <w:i/>
          <w:spacing w:val="24"/>
          <w:sz w:val="20"/>
        </w:rPr>
        <w:t> </w:t>
      </w:r>
      <w:r>
        <w:rPr>
          <w:rFonts w:ascii="Arial"/>
          <w:i/>
          <w:sz w:val="20"/>
        </w:rPr>
        <w:t>W.L.R.</w:t>
      </w:r>
      <w:r>
        <w:rPr>
          <w:rFonts w:ascii="Arial"/>
          <w:i/>
          <w:spacing w:val="24"/>
          <w:sz w:val="20"/>
        </w:rPr>
        <w:t> </w:t>
      </w:r>
      <w:r>
        <w:rPr>
          <w:rFonts w:ascii="Arial"/>
          <w:i/>
          <w:sz w:val="20"/>
        </w:rPr>
        <w:t>1356,</w:t>
      </w:r>
      <w:r>
        <w:rPr>
          <w:rFonts w:ascii="Arial"/>
          <w:i/>
          <w:spacing w:val="24"/>
          <w:sz w:val="20"/>
        </w:rPr>
        <w:t> </w:t>
      </w:r>
      <w:r>
        <w:rPr>
          <w:rFonts w:ascii="Arial"/>
          <w:i/>
          <w:spacing w:val="-4"/>
          <w:sz w:val="20"/>
        </w:rPr>
        <w:t>1363</w:t>
      </w:r>
    </w:p>
    <w:p>
      <w:pPr>
        <w:pStyle w:val="BodyText"/>
        <w:spacing w:line="227" w:lineRule="exact"/>
        <w:ind w:left="165"/>
      </w:pPr>
      <w:r>
        <w:rPr/>
        <w:drawing>
          <wp:anchor distT="0" distB="0" distL="0" distR="0" allowOverlap="1" layoutInCell="1" locked="0" behindDoc="0" simplePos="0" relativeHeight="15742464">
            <wp:simplePos x="0" y="0"/>
            <wp:positionH relativeFrom="page">
              <wp:posOffset>1257846</wp:posOffset>
            </wp:positionH>
            <wp:positionV relativeFrom="paragraph">
              <wp:posOffset>-116349</wp:posOffset>
            </wp:positionV>
            <wp:extent cx="107988" cy="10798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7" cstate="print"/>
                    <a:stretch>
                      <a:fillRect/>
                    </a:stretch>
                  </pic:blipFill>
                  <pic:spPr>
                    <a:xfrm>
                      <a:off x="0" y="0"/>
                      <a:ext cx="107988" cy="107988"/>
                    </a:xfrm>
                    <a:prstGeom prst="rect">
                      <a:avLst/>
                    </a:prstGeom>
                  </pic:spPr>
                </pic:pic>
              </a:graphicData>
            </a:graphic>
          </wp:anchor>
        </w:drawing>
      </w:r>
      <w:r>
        <w:rPr/>
        <w:t>(“entering</w:t>
      </w:r>
      <w:r>
        <w:rPr>
          <w:spacing w:val="16"/>
        </w:rPr>
        <w:t> </w:t>
      </w:r>
      <w:r>
        <w:rPr/>
        <w:t>into</w:t>
      </w:r>
      <w:r>
        <w:rPr>
          <w:spacing w:val="16"/>
        </w:rPr>
        <w:t> </w:t>
      </w:r>
      <w:r>
        <w:rPr/>
        <w:t>some</w:t>
      </w:r>
      <w:r>
        <w:rPr>
          <w:spacing w:val="16"/>
        </w:rPr>
        <w:t> </w:t>
      </w:r>
      <w:r>
        <w:rPr/>
        <w:t>transaction</w:t>
      </w:r>
      <w:r>
        <w:rPr>
          <w:spacing w:val="16"/>
        </w:rPr>
        <w:t> </w:t>
      </w:r>
      <w:r>
        <w:rPr/>
        <w:t>with</w:t>
      </w:r>
      <w:r>
        <w:rPr>
          <w:spacing w:val="16"/>
        </w:rPr>
        <w:t> </w:t>
      </w:r>
      <w:r>
        <w:rPr/>
        <w:t>a</w:t>
      </w:r>
      <w:r>
        <w:rPr>
          <w:spacing w:val="16"/>
        </w:rPr>
        <w:t> </w:t>
      </w:r>
      <w:r>
        <w:rPr/>
        <w:t>third</w:t>
      </w:r>
      <w:r>
        <w:rPr>
          <w:spacing w:val="16"/>
        </w:rPr>
        <w:t> </w:t>
      </w:r>
      <w:r>
        <w:rPr/>
        <w:t>party”).</w:t>
      </w:r>
      <w:r>
        <w:rPr>
          <w:spacing w:val="16"/>
        </w:rPr>
        <w:t> </w:t>
      </w:r>
      <w:r>
        <w:rPr/>
        <w:t>For</w:t>
      </w:r>
      <w:r>
        <w:rPr>
          <w:spacing w:val="16"/>
        </w:rPr>
        <w:t> </w:t>
      </w:r>
      <w:r>
        <w:rPr/>
        <w:t>another</w:t>
      </w:r>
      <w:r>
        <w:rPr>
          <w:spacing w:val="16"/>
        </w:rPr>
        <w:t> </w:t>
      </w:r>
      <w:r>
        <w:rPr/>
        <w:t>case</w:t>
      </w:r>
      <w:r>
        <w:rPr>
          <w:spacing w:val="16"/>
        </w:rPr>
        <w:t> </w:t>
      </w:r>
      <w:r>
        <w:rPr/>
        <w:t>(again</w:t>
      </w:r>
      <w:r>
        <w:rPr>
          <w:spacing w:val="16"/>
        </w:rPr>
        <w:t> </w:t>
      </w:r>
      <w:r>
        <w:rPr/>
        <w:t>not</w:t>
      </w:r>
      <w:r>
        <w:rPr>
          <w:spacing w:val="16"/>
        </w:rPr>
        <w:t> </w:t>
      </w:r>
      <w:r>
        <w:rPr/>
        <w:t>involving</w:t>
      </w:r>
      <w:r>
        <w:rPr>
          <w:spacing w:val="16"/>
        </w:rPr>
        <w:t> </w:t>
      </w:r>
      <w:r>
        <w:rPr>
          <w:spacing w:val="-5"/>
        </w:rPr>
        <w:t>any</w:t>
      </w:r>
    </w:p>
    <w:p>
      <w:pPr>
        <w:pStyle w:val="BodyText"/>
        <w:spacing w:after="0" w:line="227" w:lineRule="exact"/>
        <w:sectPr>
          <w:type w:val="continuous"/>
          <w:pgSz w:w="11900" w:h="16840"/>
          <w:pgMar w:header="971" w:footer="0" w:top="1160" w:bottom="280" w:left="1275" w:right="1275"/>
          <w:cols w:num="2" w:equalWidth="0">
            <w:col w:w="400" w:space="141"/>
            <w:col w:w="8809"/>
          </w:cols>
        </w:sectPr>
      </w:pPr>
    </w:p>
    <w:p>
      <w:pPr>
        <w:pStyle w:val="BodyText"/>
        <w:spacing w:before="24"/>
      </w:pPr>
    </w:p>
    <w:p>
      <w:pPr>
        <w:spacing w:line="235" w:lineRule="auto" w:before="1"/>
        <w:ind w:left="705" w:right="167" w:firstLine="0"/>
        <w:jc w:val="both"/>
        <w:rPr>
          <w:sz w:val="20"/>
        </w:rPr>
      </w:pPr>
      <w:r>
        <w:rPr>
          <w:sz w:val="20"/>
        </w:rPr>
        <w:t>third party) in which the claimant provided consideration for the defendant’s promise giving </w:t>
      </w:r>
      <w:r>
        <w:rPr>
          <w:sz w:val="20"/>
        </w:rPr>
        <w:t>rise to a collateral contract by entering into the main contract, see </w:t>
      </w:r>
      <w:r>
        <w:rPr>
          <w:rFonts w:ascii="Arial" w:hAnsi="Arial"/>
          <w:i/>
          <w:sz w:val="20"/>
        </w:rPr>
        <w:t>Hughes v Pendragon Sabre Ltd [2016]</w:t>
      </w:r>
      <w:r>
        <w:rPr>
          <w:rFonts w:ascii="Arial" w:hAnsi="Arial"/>
          <w:i/>
          <w:spacing w:val="30"/>
          <w:sz w:val="20"/>
        </w:rPr>
        <w:t> </w:t>
      </w:r>
      <w:r>
        <w:rPr>
          <w:rFonts w:ascii="Arial" w:hAnsi="Arial"/>
          <w:i/>
          <w:sz w:val="20"/>
        </w:rPr>
        <w:t>EWCA</w:t>
      </w:r>
      <w:r>
        <w:rPr>
          <w:rFonts w:ascii="Arial" w:hAnsi="Arial"/>
          <w:i/>
          <w:spacing w:val="30"/>
          <w:sz w:val="20"/>
        </w:rPr>
        <w:t> </w:t>
      </w:r>
      <w:r>
        <w:rPr>
          <w:rFonts w:ascii="Arial" w:hAnsi="Arial"/>
          <w:i/>
          <w:sz w:val="20"/>
        </w:rPr>
        <w:t>Civ</w:t>
      </w:r>
      <w:r>
        <w:rPr>
          <w:rFonts w:ascii="Arial" w:hAnsi="Arial"/>
          <w:i/>
          <w:spacing w:val="30"/>
          <w:sz w:val="20"/>
        </w:rPr>
        <w:t> </w:t>
      </w:r>
      <w:r>
        <w:rPr>
          <w:rFonts w:ascii="Arial" w:hAnsi="Arial"/>
          <w:i/>
          <w:sz w:val="20"/>
        </w:rPr>
        <w:t>18,</w:t>
      </w:r>
      <w:r>
        <w:rPr>
          <w:rFonts w:ascii="Arial" w:hAnsi="Arial"/>
          <w:i/>
          <w:spacing w:val="30"/>
          <w:sz w:val="20"/>
        </w:rPr>
        <w:t> </w:t>
      </w:r>
      <w:r>
        <w:rPr>
          <w:rFonts w:ascii="Arial" w:hAnsi="Arial"/>
          <w:i/>
          <w:sz w:val="20"/>
        </w:rPr>
        <w:t>[2016]</w:t>
      </w:r>
      <w:r>
        <w:rPr>
          <w:rFonts w:ascii="Arial" w:hAnsi="Arial"/>
          <w:i/>
          <w:spacing w:val="30"/>
          <w:sz w:val="20"/>
        </w:rPr>
        <w:t> </w:t>
      </w:r>
      <w:r>
        <w:rPr>
          <w:rFonts w:ascii="Arial" w:hAnsi="Arial"/>
          <w:i/>
          <w:sz w:val="20"/>
        </w:rPr>
        <w:t>1</w:t>
      </w:r>
      <w:r>
        <w:rPr>
          <w:rFonts w:ascii="Arial" w:hAnsi="Arial"/>
          <w:i/>
          <w:spacing w:val="30"/>
          <w:sz w:val="20"/>
        </w:rPr>
        <w:t> </w:t>
      </w:r>
      <w:r>
        <w:rPr>
          <w:rFonts w:ascii="Arial" w:hAnsi="Arial"/>
          <w:i/>
          <w:sz w:val="20"/>
        </w:rPr>
        <w:t>Lloyd’s</w:t>
      </w:r>
      <w:r>
        <w:rPr>
          <w:rFonts w:ascii="Arial" w:hAnsi="Arial"/>
          <w:i/>
          <w:spacing w:val="30"/>
          <w:sz w:val="20"/>
        </w:rPr>
        <w:t> </w:t>
      </w:r>
      <w:r>
        <w:rPr>
          <w:rFonts w:ascii="Arial" w:hAnsi="Arial"/>
          <w:i/>
          <w:sz w:val="20"/>
        </w:rPr>
        <w:t>Rep.</w:t>
      </w:r>
      <w:r>
        <w:rPr>
          <w:rFonts w:ascii="Arial" w:hAnsi="Arial"/>
          <w:i/>
          <w:spacing w:val="30"/>
          <w:sz w:val="20"/>
        </w:rPr>
        <w:t> </w:t>
      </w:r>
      <w:r>
        <w:rPr>
          <w:rFonts w:ascii="Arial" w:hAnsi="Arial"/>
          <w:i/>
          <w:sz w:val="20"/>
        </w:rPr>
        <w:t>311</w:t>
      </w:r>
      <w:r>
        <w:rPr>
          <w:rFonts w:ascii="Arial" w:hAnsi="Arial"/>
          <w:i/>
          <w:spacing w:val="30"/>
          <w:sz w:val="20"/>
        </w:rPr>
        <w:t> </w:t>
      </w:r>
      <w:r>
        <w:rPr>
          <w:sz w:val="20"/>
        </w:rPr>
        <w:t>at</w:t>
      </w:r>
      <w:r>
        <w:rPr>
          <w:spacing w:val="30"/>
          <w:sz w:val="20"/>
        </w:rPr>
        <w:t> </w:t>
      </w:r>
      <w:r>
        <w:rPr>
          <w:sz w:val="20"/>
        </w:rPr>
        <w:t>[32],</w:t>
      </w:r>
      <w:r>
        <w:rPr>
          <w:spacing w:val="30"/>
          <w:sz w:val="20"/>
        </w:rPr>
        <w:t> </w:t>
      </w:r>
      <w:r>
        <w:rPr>
          <w:sz w:val="20"/>
        </w:rPr>
        <w:t>[35].</w:t>
      </w:r>
      <w:r>
        <w:rPr>
          <w:spacing w:val="30"/>
          <w:sz w:val="20"/>
        </w:rPr>
        <w:t> </w:t>
      </w:r>
      <w:r>
        <w:rPr>
          <w:sz w:val="20"/>
        </w:rPr>
        <w:t>For</w:t>
      </w:r>
      <w:r>
        <w:rPr>
          <w:spacing w:val="30"/>
          <w:sz w:val="20"/>
        </w:rPr>
        <w:t> </w:t>
      </w:r>
      <w:r>
        <w:rPr>
          <w:sz w:val="20"/>
        </w:rPr>
        <w:t>this</w:t>
      </w:r>
      <w:r>
        <w:rPr>
          <w:spacing w:val="30"/>
          <w:sz w:val="20"/>
        </w:rPr>
        <w:t> </w:t>
      </w:r>
      <w:r>
        <w:rPr>
          <w:sz w:val="20"/>
        </w:rPr>
        <w:t>case,</w:t>
      </w:r>
      <w:r>
        <w:rPr>
          <w:spacing w:val="30"/>
          <w:sz w:val="20"/>
        </w:rPr>
        <w:t> </w:t>
      </w:r>
      <w:r>
        <w:rPr>
          <w:sz w:val="20"/>
        </w:rPr>
        <w:t>see</w:t>
      </w:r>
      <w:r>
        <w:rPr>
          <w:spacing w:val="30"/>
          <w:sz w:val="20"/>
        </w:rPr>
        <w:t> </w:t>
      </w:r>
      <w:r>
        <w:rPr>
          <w:sz w:val="20"/>
        </w:rPr>
        <w:t>also</w:t>
      </w:r>
      <w:r>
        <w:rPr>
          <w:spacing w:val="30"/>
          <w:sz w:val="20"/>
        </w:rPr>
        <w:t> </w:t>
      </w:r>
      <w:r>
        <w:rPr>
          <w:spacing w:val="-2"/>
          <w:sz w:val="20"/>
        </w:rPr>
        <w:t>paras</w:t>
      </w:r>
    </w:p>
    <w:p>
      <w:pPr>
        <w:pStyle w:val="BodyText"/>
        <w:spacing w:line="225" w:lineRule="exact"/>
        <w:ind w:left="705"/>
        <w:jc w:val="both"/>
      </w:pPr>
      <w:r>
        <w:rPr/>
        <w:t>2-120, 44-</w:t>
      </w:r>
      <w:r>
        <w:rPr>
          <w:spacing w:val="-4"/>
        </w:rPr>
        <w:t>020.</w:t>
      </w:r>
    </w:p>
    <w:p>
      <w:pPr>
        <w:pStyle w:val="BodyText"/>
        <w:spacing w:before="8"/>
      </w:pPr>
    </w:p>
    <w:p>
      <w:pPr>
        <w:pStyle w:val="BodyText"/>
        <w:spacing w:line="235" w:lineRule="auto"/>
        <w:ind w:left="705" w:right="167" w:hanging="541"/>
        <w:jc w:val="both"/>
      </w:pPr>
      <w:bookmarkStart w:name="_bookmark155" w:id="157"/>
      <w:bookmarkEnd w:id="157"/>
      <w:r>
        <w:rPr/>
      </w:r>
      <w:hyperlink w:history="true" w:anchor="_bookmark77">
        <w:r>
          <w:rPr>
            <w:color w:val="005DA1"/>
            <w:position w:val="5"/>
            <w:sz w:val="14"/>
            <w:u w:val="single" w:color="005DA1"/>
          </w:rPr>
          <w:t>65</w:t>
        </w:r>
      </w:hyperlink>
      <w:r>
        <w:rPr>
          <w:position w:val="5"/>
          <w:sz w:val="14"/>
        </w:rPr>
        <w:t>.</w:t>
      </w:r>
      <w:r>
        <w:rPr>
          <w:spacing w:val="80"/>
          <w:position w:val="5"/>
          <w:sz w:val="14"/>
        </w:rPr>
        <w:t>  </w:t>
      </w:r>
      <w:r>
        <w:rPr>
          <w:rFonts w:ascii="Arial" w:hAnsi="Arial"/>
          <w:i/>
        </w:rPr>
        <w:t>Customs and Excise Commissioners v Diners Club Ltd [1989] 1 W.L.R. 1196</w:t>
      </w:r>
      <w:r>
        <w:rPr/>
        <w:t>. For discussion </w:t>
      </w:r>
      <w:r>
        <w:rPr/>
        <w:t>of the question whether payment for a supply of goods by use of a bank card, so that the payment was made by a third party, constituted “consideration” within EC Directives relating to VAT see </w:t>
      </w:r>
      <w:r>
        <w:rPr>
          <w:rFonts w:ascii="Arial" w:hAnsi="Arial"/>
          <w:i/>
        </w:rPr>
        <w:t>Dixons Retail plc v Revenue and Customs Commissioners (C-494/12) [2014] Ch. 326, Court of Justice of the European Union</w:t>
      </w:r>
      <w:r>
        <w:rPr/>
        <w:t>, at [31]–[38]. This subject is beyond the scope of this Chapter, but it is interesting to note that the CJEU in the </w:t>
      </w:r>
      <w:r>
        <w:rPr>
          <w:rFonts w:ascii="Arial" w:hAnsi="Arial"/>
          <w:i/>
        </w:rPr>
        <w:t>Dixons </w:t>
      </w:r>
      <w:r>
        <w:rPr/>
        <w:t>case analysed such a situation as consisting of “two transactions” (at [34]), i.e. of (1) a sale of the goods to the purchaser for an agreed price, and (2) a contract for the provision of services by the third party to the supplier of the goods (the services being those of guaranteeing payment and of promoting the supplier’s business in various ways (at [34])). This reasoning bears some resemblance to the common</w:t>
      </w:r>
      <w:r>
        <w:rPr>
          <w:spacing w:val="40"/>
        </w:rPr>
        <w:t> </w:t>
      </w:r>
      <w:r>
        <w:rPr/>
        <w:t>law approach to the problem of consideration in the situations discussed in the text above; and this is also true of the Court’s conclusion that the requirement of “consideration” stated in Council Directive 77/388/EEC (“the Sixth VAT Directive”) art.11A(1)(a) and in Council Directive 2006/112/EC art.73, could be satisfied where payment was made by a “third party” (i.e. by the issuer of the card) at [38]; and that the requirement of “consideration” for a supply of goods or services could therefore be satisfied even though the “consideration” was not “obtained directly from the person to whom the goods or services are supplied” (at [35]).</w:t>
      </w:r>
    </w:p>
    <w:p>
      <w:pPr>
        <w:pStyle w:val="BodyText"/>
        <w:spacing w:before="4"/>
      </w:pPr>
    </w:p>
    <w:p>
      <w:pPr>
        <w:pStyle w:val="BodyText"/>
        <w:tabs>
          <w:tab w:pos="705" w:val="left" w:leader="none"/>
        </w:tabs>
        <w:spacing w:line="235" w:lineRule="auto"/>
        <w:ind w:left="705" w:right="168" w:hanging="541"/>
      </w:pPr>
      <w:bookmarkStart w:name="_bookmark156" w:id="158"/>
      <w:bookmarkEnd w:id="158"/>
      <w:r>
        <w:rPr/>
      </w:r>
      <w:hyperlink w:history="true" w:anchor="_bookmark78">
        <w:r>
          <w:rPr>
            <w:color w:val="005DA1"/>
            <w:spacing w:val="-4"/>
            <w:position w:val="5"/>
            <w:sz w:val="14"/>
            <w:u w:val="single" w:color="005DA1"/>
          </w:rPr>
          <w:t>66</w:t>
        </w:r>
      </w:hyperlink>
      <w:r>
        <w:rPr>
          <w:spacing w:val="-4"/>
          <w:position w:val="5"/>
          <w:sz w:val="14"/>
        </w:rPr>
        <w:t>.</w:t>
      </w:r>
      <w:r>
        <w:rPr>
          <w:position w:val="5"/>
          <w:sz w:val="14"/>
        </w:rPr>
        <w:tab/>
      </w:r>
      <w:r>
        <w:rPr/>
        <w:t>As</w:t>
      </w:r>
      <w:r>
        <w:rPr>
          <w:spacing w:val="32"/>
        </w:rPr>
        <w:t> </w:t>
      </w:r>
      <w:r>
        <w:rPr/>
        <w:t>was</w:t>
      </w:r>
      <w:r>
        <w:rPr>
          <w:spacing w:val="32"/>
        </w:rPr>
        <w:t> </w:t>
      </w:r>
      <w:r>
        <w:rPr/>
        <w:t>pointed</w:t>
      </w:r>
      <w:r>
        <w:rPr>
          <w:spacing w:val="32"/>
        </w:rPr>
        <w:t> </w:t>
      </w:r>
      <w:r>
        <w:rPr/>
        <w:t>out</w:t>
      </w:r>
      <w:r>
        <w:rPr>
          <w:spacing w:val="32"/>
        </w:rPr>
        <w:t> </w:t>
      </w:r>
      <w:r>
        <w:rPr/>
        <w:t>in</w:t>
      </w:r>
      <w:r>
        <w:rPr>
          <w:spacing w:val="32"/>
        </w:rPr>
        <w:t> </w:t>
      </w:r>
      <w:r>
        <w:rPr/>
        <w:t>para.18-009</w:t>
      </w:r>
      <w:r>
        <w:rPr>
          <w:spacing w:val="32"/>
        </w:rPr>
        <w:t> </w:t>
      </w:r>
      <w:r>
        <w:rPr/>
        <w:t>after</w:t>
      </w:r>
      <w:r>
        <w:rPr>
          <w:spacing w:val="32"/>
        </w:rPr>
        <w:t> </w:t>
      </w:r>
      <w:r>
        <w:rPr/>
        <w:t>n.56,</w:t>
      </w:r>
      <w:r>
        <w:rPr>
          <w:spacing w:val="32"/>
        </w:rPr>
        <w:t> </w:t>
      </w:r>
      <w:r>
        <w:rPr/>
        <w:t>none</w:t>
      </w:r>
      <w:r>
        <w:rPr>
          <w:spacing w:val="32"/>
        </w:rPr>
        <w:t> </w:t>
      </w:r>
      <w:r>
        <w:rPr/>
        <w:t>of</w:t>
      </w:r>
      <w:r>
        <w:rPr>
          <w:spacing w:val="32"/>
        </w:rPr>
        <w:t> </w:t>
      </w:r>
      <w:r>
        <w:rPr/>
        <w:t>the</w:t>
      </w:r>
      <w:r>
        <w:rPr>
          <w:spacing w:val="32"/>
        </w:rPr>
        <w:t> </w:t>
      </w:r>
      <w:r>
        <w:rPr/>
        <w:t>three</w:t>
      </w:r>
      <w:r>
        <w:rPr>
          <w:spacing w:val="32"/>
        </w:rPr>
        <w:t> </w:t>
      </w:r>
      <w:r>
        <w:rPr/>
        <w:t>contracts</w:t>
      </w:r>
      <w:r>
        <w:rPr>
          <w:spacing w:val="32"/>
        </w:rPr>
        <w:t> </w:t>
      </w:r>
      <w:r>
        <w:rPr/>
        <w:t>described</w:t>
      </w:r>
      <w:r>
        <w:rPr>
          <w:spacing w:val="32"/>
        </w:rPr>
        <w:t> </w:t>
      </w:r>
      <w:r>
        <w:rPr/>
        <w:t>in</w:t>
      </w:r>
      <w:r>
        <w:rPr>
          <w:spacing w:val="32"/>
        </w:rPr>
        <w:t> </w:t>
      </w:r>
      <w:r>
        <w:rPr/>
        <w:t>that paragraph is, strictly speaking, “collateral” to any of the others.</w:t>
      </w:r>
    </w:p>
    <w:p>
      <w:pPr>
        <w:pStyle w:val="BodyText"/>
        <w:spacing w:before="5"/>
      </w:pPr>
    </w:p>
    <w:p>
      <w:pPr>
        <w:tabs>
          <w:tab w:pos="705" w:val="left" w:leader="none"/>
        </w:tabs>
        <w:spacing w:before="1"/>
        <w:ind w:left="165" w:right="0" w:firstLine="0"/>
        <w:jc w:val="left"/>
        <w:rPr>
          <w:sz w:val="20"/>
        </w:rPr>
      </w:pPr>
      <w:bookmarkStart w:name="_bookmark157" w:id="159"/>
      <w:bookmarkEnd w:id="159"/>
      <w:r>
        <w:rPr/>
      </w:r>
      <w:hyperlink w:history="true" w:anchor="_bookmark79">
        <w:r>
          <w:rPr>
            <w:color w:val="005DA1"/>
            <w:spacing w:val="-5"/>
            <w:position w:val="5"/>
            <w:sz w:val="14"/>
            <w:u w:val="single" w:color="005DA1"/>
          </w:rPr>
          <w:t>67</w:t>
        </w:r>
      </w:hyperlink>
      <w:r>
        <w:rPr>
          <w:spacing w:val="-5"/>
          <w:position w:val="5"/>
          <w:sz w:val="14"/>
        </w:rPr>
        <w:t>.</w:t>
      </w:r>
      <w:r>
        <w:rPr>
          <w:position w:val="5"/>
          <w:sz w:val="14"/>
        </w:rPr>
        <w:tab/>
      </w:r>
      <w:r>
        <w:rPr>
          <w:rFonts w:ascii="Arial"/>
          <w:i/>
          <w:sz w:val="20"/>
        </w:rPr>
        <w:t>[1968] 1 W.L.R. </w:t>
      </w:r>
      <w:r>
        <w:rPr>
          <w:rFonts w:ascii="Arial"/>
          <w:i/>
          <w:spacing w:val="-4"/>
          <w:sz w:val="20"/>
        </w:rPr>
        <w:t>1498</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58" w:id="160"/>
      <w:bookmarkEnd w:id="160"/>
      <w:r>
        <w:rPr/>
      </w:r>
      <w:hyperlink w:history="true" w:anchor="_bookmark80">
        <w:r>
          <w:rPr>
            <w:color w:val="005DA1"/>
            <w:spacing w:val="-4"/>
            <w:position w:val="5"/>
            <w:sz w:val="14"/>
            <w:u w:val="single" w:color="005DA1"/>
          </w:rPr>
          <w:t>68</w:t>
        </w:r>
      </w:hyperlink>
      <w:r>
        <w:rPr>
          <w:spacing w:val="-4"/>
          <w:position w:val="5"/>
          <w:sz w:val="14"/>
        </w:rPr>
        <w:t>.</w:t>
      </w:r>
      <w:r>
        <w:rPr>
          <w:position w:val="5"/>
          <w:sz w:val="14"/>
        </w:rPr>
        <w:tab/>
      </w:r>
      <w:r>
        <w:rPr>
          <w:sz w:val="20"/>
        </w:rPr>
        <w:t>cf.</w:t>
      </w:r>
      <w:r>
        <w:rPr>
          <w:spacing w:val="20"/>
          <w:sz w:val="20"/>
        </w:rPr>
        <w:t> </w:t>
      </w:r>
      <w:r>
        <w:rPr>
          <w:rFonts w:ascii="Arial" w:hAnsi="Arial"/>
          <w:i/>
          <w:sz w:val="20"/>
        </w:rPr>
        <w:t>Godfrey</w:t>
      </w:r>
      <w:r>
        <w:rPr>
          <w:rFonts w:ascii="Arial" w:hAnsi="Arial"/>
          <w:i/>
          <w:spacing w:val="20"/>
          <w:sz w:val="20"/>
        </w:rPr>
        <w:t> </w:t>
      </w:r>
      <w:r>
        <w:rPr>
          <w:rFonts w:ascii="Arial" w:hAnsi="Arial"/>
          <w:i/>
          <w:sz w:val="20"/>
        </w:rPr>
        <w:t>Davies</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Culling</w:t>
      </w:r>
      <w:r>
        <w:rPr>
          <w:rFonts w:ascii="Arial" w:hAnsi="Arial"/>
          <w:i/>
          <w:spacing w:val="20"/>
          <w:sz w:val="20"/>
        </w:rPr>
        <w:t> </w:t>
      </w:r>
      <w:r>
        <w:rPr>
          <w:rFonts w:ascii="Arial" w:hAnsi="Arial"/>
          <w:i/>
          <w:sz w:val="20"/>
        </w:rPr>
        <w:t>and</w:t>
      </w:r>
      <w:r>
        <w:rPr>
          <w:rFonts w:ascii="Arial" w:hAnsi="Arial"/>
          <w:i/>
          <w:spacing w:val="20"/>
          <w:sz w:val="20"/>
        </w:rPr>
        <w:t> </w:t>
      </w:r>
      <w:r>
        <w:rPr>
          <w:rFonts w:ascii="Arial" w:hAnsi="Arial"/>
          <w:i/>
          <w:sz w:val="20"/>
        </w:rPr>
        <w:t>Hecht</w:t>
      </w:r>
      <w:r>
        <w:rPr>
          <w:rFonts w:ascii="Arial" w:hAnsi="Arial"/>
          <w:i/>
          <w:spacing w:val="20"/>
          <w:sz w:val="20"/>
        </w:rPr>
        <w:t> </w:t>
      </w:r>
      <w:r>
        <w:rPr>
          <w:rFonts w:ascii="Arial" w:hAnsi="Arial"/>
          <w:i/>
          <w:sz w:val="20"/>
        </w:rPr>
        <w:t>[1962]</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349</w:t>
      </w:r>
      <w:r>
        <w:rPr>
          <w:sz w:val="20"/>
        </w:rPr>
        <w:t>;</w:t>
      </w:r>
      <w:r>
        <w:rPr>
          <w:spacing w:val="20"/>
          <w:sz w:val="20"/>
        </w:rPr>
        <w:t> </w:t>
      </w:r>
      <w:r>
        <w:rPr>
          <w:rFonts w:ascii="Arial" w:hAnsi="Arial"/>
          <w:i/>
          <w:sz w:val="20"/>
        </w:rPr>
        <w:t>Cooter</w:t>
      </w:r>
      <w:r>
        <w:rPr>
          <w:rFonts w:ascii="Arial" w:hAnsi="Arial"/>
          <w:i/>
          <w:spacing w:val="20"/>
          <w:sz w:val="20"/>
        </w:rPr>
        <w:t> </w:t>
      </w:r>
      <w:r>
        <w:rPr>
          <w:rFonts w:ascii="Arial" w:hAnsi="Arial"/>
          <w:i/>
          <w:sz w:val="20"/>
        </w:rPr>
        <w:t>&amp;</w:t>
      </w:r>
      <w:r>
        <w:rPr>
          <w:rFonts w:ascii="Arial" w:hAnsi="Arial"/>
          <w:i/>
          <w:spacing w:val="20"/>
          <w:sz w:val="20"/>
        </w:rPr>
        <w:t> </w:t>
      </w:r>
      <w:r>
        <w:rPr>
          <w:rFonts w:ascii="Arial" w:hAnsi="Arial"/>
          <w:i/>
          <w:sz w:val="20"/>
        </w:rPr>
        <w:t>Green</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 Tyrell [1962] 2 Lloyd’s Rep. 377</w:t>
      </w:r>
      <w:r>
        <w:rPr>
          <w:sz w:val="20"/>
        </w:rPr>
        <w:t>; </w:t>
      </w:r>
      <w:r>
        <w:rPr>
          <w:rFonts w:ascii="Arial" w:hAnsi="Arial"/>
          <w:i/>
          <w:sz w:val="20"/>
        </w:rPr>
        <w:t>Brown &amp; Davies v Galbraith [1972] 1 W.L.R. 997</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159" w:id="161"/>
      <w:bookmarkEnd w:id="161"/>
      <w:r>
        <w:rPr/>
      </w:r>
      <w:hyperlink w:history="true" w:anchor="_bookmark81">
        <w:r>
          <w:rPr>
            <w:color w:val="005DA1"/>
            <w:spacing w:val="-4"/>
            <w:position w:val="5"/>
            <w:sz w:val="14"/>
            <w:u w:val="single" w:color="005DA1"/>
          </w:rPr>
          <w:t>69</w:t>
        </w:r>
      </w:hyperlink>
      <w:r>
        <w:rPr>
          <w:spacing w:val="-4"/>
          <w:position w:val="5"/>
          <w:sz w:val="14"/>
        </w:rPr>
        <w:t>.</w:t>
      </w:r>
      <w:r>
        <w:rPr>
          <w:position w:val="5"/>
          <w:sz w:val="14"/>
        </w:rPr>
        <w:tab/>
      </w:r>
      <w:r>
        <w:rPr>
          <w:rFonts w:ascii="Arial"/>
          <w:i/>
          <w:sz w:val="20"/>
        </w:rPr>
        <w:t>[1968] 1 W.L.R. </w:t>
      </w:r>
      <w:r>
        <w:rPr>
          <w:sz w:val="20"/>
        </w:rPr>
        <w:t>at 1505; cf. </w:t>
      </w:r>
      <w:r>
        <w:rPr>
          <w:rFonts w:ascii="Arial"/>
          <w:i/>
          <w:sz w:val="20"/>
        </w:rPr>
        <w:t>West Bromwich Albion Football Club v El Safty [2006] EWCA Civ</w:t>
      </w:r>
      <w:r>
        <w:rPr>
          <w:rFonts w:ascii="Arial"/>
          <w:i/>
          <w:spacing w:val="40"/>
          <w:sz w:val="20"/>
        </w:rPr>
        <w:t> </w:t>
      </w:r>
      <w:r>
        <w:rPr>
          <w:rFonts w:ascii="Arial"/>
          <w:i/>
          <w:sz w:val="20"/>
        </w:rPr>
        <w:t>1299, [2006] B.M.L.R. 179</w:t>
      </w:r>
      <w:r>
        <w:rPr>
          <w:sz w:val="20"/>
        </w:rPr>
        <w:t>.</w:t>
      </w:r>
    </w:p>
    <w:p>
      <w:pPr>
        <w:pStyle w:val="BodyText"/>
        <w:spacing w:before="9"/>
      </w:pPr>
    </w:p>
    <w:p>
      <w:pPr>
        <w:spacing w:line="235" w:lineRule="auto" w:before="0"/>
        <w:ind w:left="705" w:right="167" w:hanging="541"/>
        <w:jc w:val="both"/>
        <w:rPr>
          <w:sz w:val="20"/>
        </w:rPr>
      </w:pPr>
      <w:bookmarkStart w:name="_bookmark160" w:id="162"/>
      <w:bookmarkEnd w:id="162"/>
      <w:r>
        <w:rPr/>
      </w:r>
      <w:hyperlink w:history="true" w:anchor="_bookmark82">
        <w:r>
          <w:rPr>
            <w:color w:val="005DA1"/>
            <w:position w:val="5"/>
            <w:sz w:val="14"/>
            <w:u w:val="single" w:color="005DA1"/>
          </w:rPr>
          <w:t>70</w:t>
        </w:r>
      </w:hyperlink>
      <w:r>
        <w:rPr>
          <w:position w:val="5"/>
          <w:sz w:val="14"/>
        </w:rPr>
        <w:t>.</w:t>
      </w:r>
      <w:r>
        <w:rPr>
          <w:spacing w:val="80"/>
          <w:position w:val="5"/>
          <w:sz w:val="14"/>
        </w:rPr>
        <w:t>  </w:t>
      </w:r>
      <w:r>
        <w:rPr>
          <w:sz w:val="20"/>
        </w:rPr>
        <w:t>Above, para.4-006; the transfer of possession might subject the repairer to the obligations of </w:t>
      </w:r>
      <w:r>
        <w:rPr>
          <w:sz w:val="20"/>
        </w:rPr>
        <w:t>a bailee, but these would not include an obligation to carry out the repairs. For reasoning similar</w:t>
      </w:r>
      <w:r>
        <w:rPr>
          <w:spacing w:val="40"/>
          <w:sz w:val="20"/>
        </w:rPr>
        <w:t> </w:t>
      </w:r>
      <w:r>
        <w:rPr>
          <w:sz w:val="20"/>
        </w:rPr>
        <w:t>to that in the </w:t>
      </w:r>
      <w:r>
        <w:rPr>
          <w:rFonts w:ascii="Arial" w:hAnsi="Arial"/>
          <w:i/>
          <w:sz w:val="20"/>
        </w:rPr>
        <w:t>Charnock </w:t>
      </w:r>
      <w:r>
        <w:rPr>
          <w:sz w:val="20"/>
        </w:rPr>
        <w:t>case (above, n.65), see </w:t>
      </w:r>
      <w:r>
        <w:rPr>
          <w:rFonts w:ascii="Arial" w:hAnsi="Arial"/>
          <w:i/>
          <w:sz w:val="20"/>
        </w:rPr>
        <w:t>International Petroleum Refining &amp; Supply Ltd v Caleb Brett &amp; Son Ltd [1980] 1 Lloyd’s Rep. 569, 594</w:t>
      </w:r>
      <w:r>
        <w:rPr>
          <w:sz w:val="20"/>
        </w:rPr>
        <w:t>.</w:t>
      </w:r>
    </w:p>
    <w:p>
      <w:pPr>
        <w:pStyle w:val="BodyText"/>
        <w:spacing w:before="4"/>
      </w:pPr>
    </w:p>
    <w:p>
      <w:pPr>
        <w:tabs>
          <w:tab w:pos="705" w:val="left" w:leader="none"/>
        </w:tabs>
        <w:spacing w:before="1"/>
        <w:ind w:left="165" w:right="0" w:firstLine="0"/>
        <w:jc w:val="left"/>
        <w:rPr>
          <w:sz w:val="20"/>
        </w:rPr>
      </w:pPr>
      <w:bookmarkStart w:name="_bookmark161" w:id="163"/>
      <w:bookmarkEnd w:id="163"/>
      <w:r>
        <w:rPr/>
      </w:r>
      <w:hyperlink w:history="true" w:anchor="_bookmark83">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Heilbut,</w:t>
      </w:r>
      <w:r>
        <w:rPr>
          <w:rFonts w:ascii="Arial"/>
          <w:i/>
          <w:spacing w:val="-1"/>
          <w:sz w:val="20"/>
        </w:rPr>
        <w:t> </w:t>
      </w:r>
      <w:r>
        <w:rPr>
          <w:rFonts w:ascii="Arial"/>
          <w:i/>
          <w:sz w:val="20"/>
        </w:rPr>
        <w:t>Symons &amp; Co v Buckleton [1913] A.C. 30, 47</w:t>
      </w:r>
      <w:r>
        <w:rPr>
          <w:sz w:val="20"/>
        </w:rPr>
        <w:t>; above, para.2-</w:t>
      </w:r>
      <w:r>
        <w:rPr>
          <w:spacing w:val="-4"/>
          <w:sz w:val="20"/>
        </w:rPr>
        <w:t>169.</w:t>
      </w:r>
    </w:p>
    <w:p>
      <w:pPr>
        <w:pStyle w:val="BodyText"/>
        <w:spacing w:before="4"/>
      </w:pPr>
    </w:p>
    <w:p>
      <w:pPr>
        <w:tabs>
          <w:tab w:pos="705" w:val="left" w:leader="none"/>
        </w:tabs>
        <w:spacing w:before="1"/>
        <w:ind w:left="165" w:right="0" w:firstLine="0"/>
        <w:jc w:val="left"/>
        <w:rPr>
          <w:sz w:val="20"/>
        </w:rPr>
      </w:pPr>
      <w:bookmarkStart w:name="_bookmark162" w:id="164"/>
      <w:bookmarkEnd w:id="164"/>
      <w:r>
        <w:rPr/>
      </w:r>
      <w:hyperlink w:history="true" w:anchor="_bookmark84">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[1970] 1 Q.B. </w:t>
      </w:r>
      <w:r>
        <w:rPr>
          <w:rFonts w:ascii="Arial"/>
          <w:i/>
          <w:spacing w:val="-5"/>
          <w:sz w:val="20"/>
        </w:rPr>
        <w:t>95</w:t>
      </w:r>
      <w:r>
        <w:rPr>
          <w:spacing w:val="-5"/>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63" w:id="165"/>
      <w:bookmarkEnd w:id="165"/>
      <w:r>
        <w:rPr/>
      </w:r>
      <w:hyperlink w:history="true" w:anchor="_bookmark85">
        <w:r>
          <w:rPr>
            <w:color w:val="005DA1"/>
            <w:spacing w:val="-4"/>
            <w:position w:val="5"/>
            <w:sz w:val="14"/>
            <w:u w:val="single" w:color="005DA1"/>
          </w:rPr>
          <w:t>73</w:t>
        </w:r>
      </w:hyperlink>
      <w:r>
        <w:rPr>
          <w:spacing w:val="-4"/>
          <w:position w:val="5"/>
          <w:sz w:val="14"/>
        </w:rPr>
        <w:t>.</w:t>
      </w:r>
      <w:r>
        <w:rPr>
          <w:position w:val="5"/>
          <w:sz w:val="14"/>
        </w:rPr>
        <w:tab/>
      </w:r>
      <w:r>
        <w:rPr>
          <w:sz w:val="20"/>
        </w:rPr>
        <w:t>cf. also </w:t>
      </w:r>
      <w:r>
        <w:rPr>
          <w:rFonts w:ascii="Arial"/>
          <w:i/>
          <w:sz w:val="20"/>
        </w:rPr>
        <w:t>Hannam v Bradford C.C. [1970] 1 W.L.R. 937</w:t>
      </w:r>
      <w:r>
        <w:rPr>
          <w:sz w:val="20"/>
        </w:rPr>
        <w:t>; </w:t>
      </w:r>
      <w:r>
        <w:rPr>
          <w:rFonts w:ascii="Arial"/>
          <w:i/>
          <w:sz w:val="20"/>
        </w:rPr>
        <w:t>Construction Industry Training Board v</w:t>
      </w:r>
      <w:r>
        <w:rPr>
          <w:rFonts w:ascii="Arial"/>
          <w:i/>
          <w:spacing w:val="40"/>
          <w:sz w:val="20"/>
        </w:rPr>
        <w:t> </w:t>
      </w:r>
      <w:r>
        <w:rPr>
          <w:rFonts w:ascii="Arial"/>
          <w:i/>
          <w:sz w:val="20"/>
        </w:rPr>
        <w:t>Labour Force Ltd [1970] 3 All E.R. 220</w:t>
      </w:r>
      <w:r>
        <w:rPr>
          <w:sz w:val="20"/>
        </w:rPr>
        <w:t>.</w:t>
      </w:r>
    </w:p>
    <w:p>
      <w:pPr>
        <w:pStyle w:val="BodyText"/>
        <w:spacing w:before="6"/>
      </w:pPr>
    </w:p>
    <w:p>
      <w:pPr>
        <w:tabs>
          <w:tab w:pos="705" w:val="left" w:leader="none"/>
        </w:tabs>
        <w:spacing w:before="0"/>
        <w:ind w:left="165" w:right="0" w:firstLine="0"/>
        <w:jc w:val="left"/>
        <w:rPr>
          <w:sz w:val="20"/>
        </w:rPr>
      </w:pPr>
      <w:bookmarkStart w:name="_bookmark164" w:id="166"/>
      <w:bookmarkEnd w:id="166"/>
      <w:r>
        <w:rPr/>
      </w:r>
      <w:hyperlink w:history="true" w:anchor="_bookmark86">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(1980)</w:t>
      </w:r>
      <w:r>
        <w:rPr>
          <w:rFonts w:ascii="Arial"/>
          <w:i/>
          <w:spacing w:val="-1"/>
          <w:sz w:val="20"/>
        </w:rPr>
        <w:t> </w:t>
      </w:r>
      <w:r>
        <w:rPr>
          <w:rFonts w:ascii="Arial"/>
          <w:i/>
          <w:sz w:val="20"/>
        </w:rPr>
        <w:t>14 Build.L.R. 1</w:t>
      </w:r>
      <w:r>
        <w:rPr>
          <w:sz w:val="20"/>
        </w:rPr>
        <w:t>; cf. </w:t>
      </w:r>
      <w:r>
        <w:rPr>
          <w:rFonts w:ascii="Arial"/>
          <w:i/>
          <w:sz w:val="20"/>
        </w:rPr>
        <w:t>Lambert v</w:t>
      </w:r>
      <w:r>
        <w:rPr>
          <w:rFonts w:ascii="Arial"/>
          <w:i/>
          <w:spacing w:val="-1"/>
          <w:sz w:val="20"/>
        </w:rPr>
        <w:t> </w:t>
      </w:r>
      <w:r>
        <w:rPr>
          <w:rFonts w:ascii="Arial"/>
          <w:i/>
          <w:sz w:val="20"/>
        </w:rPr>
        <w:t>Lewis [1982] A.C. 225</w:t>
      </w:r>
      <w:r>
        <w:rPr>
          <w:sz w:val="20"/>
        </w:rPr>
        <w:t>; above, para.2-</w:t>
      </w:r>
      <w:r>
        <w:rPr>
          <w:spacing w:val="-4"/>
          <w:sz w:val="20"/>
        </w:rPr>
        <w:t>173.</w:t>
      </w:r>
    </w:p>
    <w:p>
      <w:pPr>
        <w:pStyle w:val="BodyText"/>
        <w:spacing w:before="9"/>
      </w:pPr>
    </w:p>
    <w:p>
      <w:pPr>
        <w:tabs>
          <w:tab w:pos="705" w:val="left" w:leader="none"/>
        </w:tabs>
        <w:spacing w:line="235" w:lineRule="auto" w:before="0"/>
        <w:ind w:left="705" w:right="168" w:hanging="541"/>
        <w:jc w:val="left"/>
        <w:rPr>
          <w:sz w:val="20"/>
        </w:rPr>
      </w:pPr>
      <w:bookmarkStart w:name="_bookmark165" w:id="167"/>
      <w:bookmarkEnd w:id="167"/>
      <w:r>
        <w:rPr/>
      </w:r>
      <w:hyperlink w:history="true" w:anchor="_bookmark87">
        <w:r>
          <w:rPr>
            <w:color w:val="005DA1"/>
            <w:spacing w:val="-4"/>
            <w:position w:val="5"/>
            <w:sz w:val="14"/>
            <w:u w:val="single" w:color="005DA1"/>
          </w:rPr>
          <w:t>75</w:t>
        </w:r>
      </w:hyperlink>
      <w:r>
        <w:rPr>
          <w:spacing w:val="-4"/>
          <w:position w:val="5"/>
          <w:sz w:val="14"/>
        </w:rPr>
        <w:t>.</w:t>
      </w:r>
      <w:r>
        <w:rPr>
          <w:position w:val="5"/>
          <w:sz w:val="14"/>
        </w:rPr>
        <w:tab/>
      </w:r>
      <w:r>
        <w:rPr>
          <w:rFonts w:ascii="Arial"/>
          <w:i/>
          <w:sz w:val="20"/>
        </w:rPr>
        <w:t>Fuji Seal Europe v Catalytic Combustion Corp [2005] EWHC 1649, 102 Con L.R. 47 </w:t>
      </w:r>
      <w:r>
        <w:rPr>
          <w:sz w:val="20"/>
        </w:rPr>
        <w:t>(where, as in the </w:t>
      </w:r>
      <w:r>
        <w:rPr>
          <w:rFonts w:ascii="Arial"/>
          <w:i/>
          <w:sz w:val="20"/>
        </w:rPr>
        <w:t>I.B.A. </w:t>
      </w:r>
      <w:r>
        <w:rPr>
          <w:sz w:val="20"/>
        </w:rPr>
        <w:t>case, above, n.72, C was held liable in tort).</w:t>
      </w:r>
    </w:p>
    <w:p>
      <w:pPr>
        <w:pStyle w:val="BodyText"/>
        <w:spacing w:before="9"/>
      </w:pPr>
    </w:p>
    <w:p>
      <w:pPr>
        <w:tabs>
          <w:tab w:pos="705" w:val="left" w:leader="none"/>
        </w:tabs>
        <w:spacing w:line="235" w:lineRule="auto" w:before="0"/>
        <w:ind w:left="705" w:right="168" w:hanging="541"/>
        <w:jc w:val="left"/>
        <w:rPr>
          <w:sz w:val="20"/>
        </w:rPr>
      </w:pPr>
      <w:bookmarkStart w:name="_bookmark166" w:id="168"/>
      <w:bookmarkEnd w:id="168"/>
      <w:r>
        <w:rPr/>
      </w:r>
      <w:hyperlink w:history="true" w:anchor="_bookmark88">
        <w:r>
          <w:rPr>
            <w:color w:val="005DA1"/>
            <w:spacing w:val="-4"/>
            <w:position w:val="5"/>
            <w:sz w:val="14"/>
            <w:u w:val="single" w:color="005DA1"/>
          </w:rPr>
          <w:t>76</w:t>
        </w:r>
      </w:hyperlink>
      <w:r>
        <w:rPr>
          <w:spacing w:val="-4"/>
          <w:position w:val="5"/>
          <w:sz w:val="14"/>
        </w:rPr>
        <w:t>.</w:t>
      </w:r>
      <w:r>
        <w:rPr>
          <w:position w:val="5"/>
          <w:sz w:val="14"/>
        </w:rPr>
        <w:tab/>
      </w:r>
      <w:r>
        <w:rPr>
          <w:rFonts w:ascii="Arial"/>
          <w:i/>
          <w:sz w:val="20"/>
        </w:rPr>
        <w:t>Law Debenture Trust Corp. v Ural Caspian Oil Corp. Ltd [1993] 1 W.L.R. 138, 142; reversed </w:t>
      </w:r>
      <w:r>
        <w:rPr>
          <w:rFonts w:ascii="Arial"/>
          <w:i/>
          <w:sz w:val="20"/>
        </w:rPr>
        <w:t>on another point [1995] Ch. 152</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7" w:id="169"/>
      <w:bookmarkEnd w:id="169"/>
      <w:r>
        <w:rPr/>
      </w:r>
      <w:hyperlink w:history="true" w:anchor="_bookmark89">
        <w:r>
          <w:rPr>
            <w:color w:val="005DA1"/>
            <w:spacing w:val="-5"/>
            <w:position w:val="5"/>
            <w:sz w:val="14"/>
            <w:u w:val="single" w:color="005DA1"/>
          </w:rPr>
          <w:t>77</w:t>
        </w:r>
      </w:hyperlink>
      <w:r>
        <w:rPr>
          <w:spacing w:val="-5"/>
          <w:position w:val="5"/>
          <w:sz w:val="14"/>
        </w:rPr>
        <w:t>.</w:t>
      </w:r>
      <w:r>
        <w:rPr>
          <w:position w:val="5"/>
          <w:sz w:val="14"/>
        </w:rPr>
        <w:tab/>
      </w:r>
      <w:r>
        <w:rPr>
          <w:rFonts w:ascii="Arial"/>
          <w:i/>
          <w:sz w:val="20"/>
        </w:rPr>
        <w:t>Hybart</w:t>
      </w:r>
      <w:r>
        <w:rPr>
          <w:rFonts w:ascii="Arial"/>
          <w:i/>
          <w:spacing w:val="30"/>
          <w:sz w:val="20"/>
        </w:rPr>
        <w:t> </w:t>
      </w:r>
      <w:r>
        <w:rPr>
          <w:rFonts w:ascii="Arial"/>
          <w:i/>
          <w:sz w:val="20"/>
        </w:rPr>
        <w:t>v</w:t>
      </w:r>
      <w:r>
        <w:rPr>
          <w:rFonts w:ascii="Arial"/>
          <w:i/>
          <w:spacing w:val="31"/>
          <w:sz w:val="20"/>
        </w:rPr>
        <w:t> </w:t>
      </w:r>
      <w:r>
        <w:rPr>
          <w:rFonts w:ascii="Arial"/>
          <w:i/>
          <w:sz w:val="20"/>
        </w:rPr>
        <w:t>Packer</w:t>
      </w:r>
      <w:r>
        <w:rPr>
          <w:rFonts w:ascii="Arial"/>
          <w:i/>
          <w:spacing w:val="31"/>
          <w:sz w:val="20"/>
        </w:rPr>
        <w:t> </w:t>
      </w:r>
      <w:r>
        <w:rPr>
          <w:rFonts w:ascii="Arial"/>
          <w:i/>
          <w:sz w:val="20"/>
        </w:rPr>
        <w:t>(1858)</w:t>
      </w:r>
      <w:r>
        <w:rPr>
          <w:rFonts w:ascii="Arial"/>
          <w:i/>
          <w:spacing w:val="31"/>
          <w:sz w:val="20"/>
        </w:rPr>
        <w:t> </w:t>
      </w:r>
      <w:r>
        <w:rPr>
          <w:rFonts w:ascii="Arial"/>
          <w:i/>
          <w:sz w:val="20"/>
        </w:rPr>
        <w:t>4</w:t>
      </w:r>
      <w:r>
        <w:rPr>
          <w:rFonts w:ascii="Arial"/>
          <w:i/>
          <w:spacing w:val="31"/>
          <w:sz w:val="20"/>
        </w:rPr>
        <w:t> </w:t>
      </w:r>
      <w:r>
        <w:rPr>
          <w:rFonts w:ascii="Arial"/>
          <w:i/>
          <w:sz w:val="20"/>
        </w:rPr>
        <w:t>C.B.(N.S.)</w:t>
      </w:r>
      <w:r>
        <w:rPr>
          <w:rFonts w:ascii="Arial"/>
          <w:i/>
          <w:spacing w:val="31"/>
          <w:sz w:val="20"/>
        </w:rPr>
        <w:t> </w:t>
      </w:r>
      <w:r>
        <w:rPr>
          <w:rFonts w:ascii="Arial"/>
          <w:i/>
          <w:sz w:val="20"/>
        </w:rPr>
        <w:t>209</w:t>
      </w:r>
      <w:r>
        <w:rPr>
          <w:sz w:val="20"/>
        </w:rPr>
        <w:t>;</w:t>
      </w:r>
      <w:r>
        <w:rPr>
          <w:spacing w:val="31"/>
          <w:sz w:val="20"/>
        </w:rPr>
        <w:t> </w:t>
      </w:r>
      <w:r>
        <w:rPr>
          <w:rFonts w:ascii="Arial"/>
          <w:i/>
          <w:sz w:val="20"/>
        </w:rPr>
        <w:t>Gray</w:t>
      </w:r>
      <w:r>
        <w:rPr>
          <w:rFonts w:ascii="Arial"/>
          <w:i/>
          <w:spacing w:val="31"/>
          <w:sz w:val="20"/>
        </w:rPr>
        <w:t> </w:t>
      </w:r>
      <w:r>
        <w:rPr>
          <w:rFonts w:ascii="Arial"/>
          <w:i/>
          <w:sz w:val="20"/>
        </w:rPr>
        <w:t>v</w:t>
      </w:r>
      <w:r>
        <w:rPr>
          <w:rFonts w:ascii="Arial"/>
          <w:i/>
          <w:spacing w:val="30"/>
          <w:sz w:val="20"/>
        </w:rPr>
        <w:t> </w:t>
      </w:r>
      <w:r>
        <w:rPr>
          <w:rFonts w:ascii="Arial"/>
          <w:i/>
          <w:sz w:val="20"/>
        </w:rPr>
        <w:t>Pearson</w:t>
      </w:r>
      <w:r>
        <w:rPr>
          <w:rFonts w:ascii="Arial"/>
          <w:i/>
          <w:spacing w:val="31"/>
          <w:sz w:val="20"/>
        </w:rPr>
        <w:t> </w:t>
      </w:r>
      <w:r>
        <w:rPr>
          <w:rFonts w:ascii="Arial"/>
          <w:i/>
          <w:sz w:val="20"/>
        </w:rPr>
        <w:t>(1870)</w:t>
      </w:r>
      <w:r>
        <w:rPr>
          <w:rFonts w:ascii="Arial"/>
          <w:i/>
          <w:spacing w:val="31"/>
          <w:sz w:val="20"/>
        </w:rPr>
        <w:t> </w:t>
      </w:r>
      <w:r>
        <w:rPr>
          <w:rFonts w:ascii="Arial"/>
          <w:i/>
          <w:sz w:val="20"/>
        </w:rPr>
        <w:t>L.R.</w:t>
      </w:r>
      <w:r>
        <w:rPr>
          <w:rFonts w:ascii="Arial"/>
          <w:i/>
          <w:spacing w:val="31"/>
          <w:sz w:val="20"/>
        </w:rPr>
        <w:t> </w:t>
      </w:r>
      <w:r>
        <w:rPr>
          <w:rFonts w:ascii="Arial"/>
          <w:i/>
          <w:sz w:val="20"/>
        </w:rPr>
        <w:t>5</w:t>
      </w:r>
      <w:r>
        <w:rPr>
          <w:rFonts w:ascii="Arial"/>
          <w:i/>
          <w:spacing w:val="31"/>
          <w:sz w:val="20"/>
        </w:rPr>
        <w:t> </w:t>
      </w:r>
      <w:r>
        <w:rPr>
          <w:rFonts w:ascii="Arial"/>
          <w:i/>
          <w:sz w:val="20"/>
        </w:rPr>
        <w:t>C.P.</w:t>
      </w:r>
      <w:r>
        <w:rPr>
          <w:rFonts w:ascii="Arial"/>
          <w:i/>
          <w:spacing w:val="31"/>
          <w:sz w:val="20"/>
        </w:rPr>
        <w:t> </w:t>
      </w:r>
      <w:r>
        <w:rPr>
          <w:rFonts w:ascii="Arial"/>
          <w:i/>
          <w:sz w:val="20"/>
        </w:rPr>
        <w:t>568</w:t>
      </w:r>
      <w:r>
        <w:rPr>
          <w:sz w:val="20"/>
        </w:rPr>
        <w:t>;</w:t>
      </w:r>
      <w:r>
        <w:rPr>
          <w:spacing w:val="31"/>
          <w:sz w:val="20"/>
        </w:rPr>
        <w:t> </w:t>
      </w:r>
      <w:r>
        <w:rPr>
          <w:rFonts w:ascii="Arial"/>
          <w:i/>
          <w:sz w:val="20"/>
        </w:rPr>
        <w:t>Evans</w:t>
      </w:r>
      <w:r>
        <w:rPr>
          <w:rFonts w:ascii="Arial"/>
          <w:i/>
          <w:spacing w:val="31"/>
          <w:sz w:val="20"/>
        </w:rPr>
        <w:t> </w:t>
      </w:r>
      <w:r>
        <w:rPr>
          <w:rFonts w:ascii="Arial"/>
          <w:i/>
          <w:spacing w:val="-10"/>
          <w:sz w:val="20"/>
        </w:rPr>
        <w:t>v</w:t>
      </w:r>
    </w:p>
    <w:p>
      <w:pPr>
        <w:spacing w:line="235" w:lineRule="auto" w:before="2"/>
        <w:ind w:left="705" w:right="167" w:firstLine="0"/>
        <w:jc w:val="both"/>
        <w:rPr>
          <w:sz w:val="20"/>
        </w:rPr>
      </w:pPr>
      <w:r>
        <w:rPr>
          <w:rFonts w:ascii="Arial" w:hAnsi="Arial"/>
          <w:i/>
          <w:sz w:val="20"/>
        </w:rPr>
        <w:t>Hooper (1875) 1 Q.B.D. 45</w:t>
      </w:r>
      <w:r>
        <w:rPr>
          <w:sz w:val="20"/>
        </w:rPr>
        <w:t>; </w:t>
      </w:r>
      <w:r>
        <w:rPr>
          <w:rFonts w:ascii="Arial" w:hAnsi="Arial"/>
          <w:i/>
          <w:sz w:val="20"/>
        </w:rPr>
        <w:t>Lee v Showmen’s Guild [1952] 2 Q.B. 329 </w:t>
      </w:r>
      <w:r>
        <w:rPr>
          <w:sz w:val="20"/>
        </w:rPr>
        <w:t>at 341; </w:t>
      </w:r>
      <w:r>
        <w:rPr>
          <w:rFonts w:ascii="Arial" w:hAnsi="Arial"/>
          <w:i/>
          <w:sz w:val="20"/>
        </w:rPr>
        <w:t>Nutting v</w:t>
      </w:r>
      <w:r>
        <w:rPr>
          <w:rFonts w:ascii="Arial" w:hAnsi="Arial"/>
          <w:i/>
          <w:spacing w:val="40"/>
          <w:sz w:val="20"/>
        </w:rPr>
        <w:t> </w:t>
      </w:r>
      <w:r>
        <w:rPr>
          <w:rFonts w:ascii="Arial" w:hAnsi="Arial"/>
          <w:i/>
          <w:sz w:val="20"/>
        </w:rPr>
        <w:t>Baldwin</w:t>
      </w:r>
      <w:r>
        <w:rPr>
          <w:rFonts w:ascii="Arial" w:hAnsi="Arial"/>
          <w:i/>
          <w:spacing w:val="-1"/>
          <w:sz w:val="20"/>
        </w:rPr>
        <w:t> </w:t>
      </w:r>
      <w:r>
        <w:rPr>
          <w:rFonts w:ascii="Arial" w:hAnsi="Arial"/>
          <w:i/>
          <w:sz w:val="20"/>
        </w:rPr>
        <w:t>[1995]</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201</w:t>
      </w:r>
      <w:r>
        <w:rPr>
          <w:sz w:val="20"/>
        </w:rPr>
        <w:t>.</w:t>
      </w:r>
      <w:r>
        <w:rPr>
          <w:spacing w:val="-1"/>
          <w:sz w:val="20"/>
        </w:rPr>
        <w:t> </w:t>
      </w:r>
      <w:r>
        <w:rPr>
          <w:sz w:val="20"/>
        </w:rPr>
        <w:t>But</w:t>
      </w:r>
      <w:r>
        <w:rPr>
          <w:spacing w:val="-1"/>
          <w:sz w:val="20"/>
        </w:rPr>
        <w:t> </w:t>
      </w:r>
      <w:r>
        <w:rPr>
          <w:sz w:val="20"/>
        </w:rPr>
        <w:t>in</w:t>
      </w:r>
      <w:r>
        <w:rPr>
          <w:spacing w:val="-1"/>
          <w:sz w:val="20"/>
        </w:rPr>
        <w:t> </w:t>
      </w:r>
      <w:r>
        <w:rPr>
          <w:rFonts w:ascii="Arial" w:hAnsi="Arial"/>
          <w:i/>
          <w:sz w:val="20"/>
        </w:rPr>
        <w:t>Anderton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Rowland,</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Times,</w:t>
      </w:r>
      <w:r>
        <w:rPr>
          <w:rFonts w:ascii="Arial" w:hAnsi="Arial"/>
          <w:i/>
          <w:spacing w:val="-1"/>
          <w:sz w:val="20"/>
        </w:rPr>
        <w:t> </w:t>
      </w:r>
      <w:r>
        <w:rPr>
          <w:rFonts w:ascii="Arial" w:hAnsi="Arial"/>
          <w:i/>
          <w:sz w:val="20"/>
        </w:rPr>
        <w:t>November</w:t>
      </w:r>
      <w:r>
        <w:rPr>
          <w:rFonts w:ascii="Arial" w:hAnsi="Arial"/>
          <w:i/>
          <w:spacing w:val="-1"/>
          <w:sz w:val="20"/>
        </w:rPr>
        <w:t> </w:t>
      </w:r>
      <w:r>
        <w:rPr>
          <w:rFonts w:ascii="Arial" w:hAnsi="Arial"/>
          <w:i/>
          <w:sz w:val="20"/>
        </w:rPr>
        <w:t>5,</w:t>
      </w:r>
      <w:r>
        <w:rPr>
          <w:rFonts w:ascii="Arial" w:hAnsi="Arial"/>
          <w:i/>
          <w:spacing w:val="-1"/>
          <w:sz w:val="20"/>
        </w:rPr>
        <w:t> </w:t>
      </w:r>
      <w:r>
        <w:rPr>
          <w:rFonts w:ascii="Arial" w:hAnsi="Arial"/>
          <w:i/>
          <w:sz w:val="20"/>
        </w:rPr>
        <w:t>1999</w:t>
      </w:r>
      <w:r>
        <w:rPr>
          <w:sz w:val="20"/>
        </w:rPr>
        <w:t>,</w:t>
      </w:r>
      <w:r>
        <w:rPr>
          <w:spacing w:val="-1"/>
          <w:sz w:val="20"/>
        </w:rPr>
        <w:t> </w:t>
      </w:r>
      <w:r>
        <w:rPr>
          <w:sz w:val="20"/>
        </w:rPr>
        <w:t>it</w:t>
      </w:r>
      <w:r>
        <w:rPr>
          <w:spacing w:val="-1"/>
          <w:sz w:val="20"/>
        </w:rPr>
        <w:t> </w:t>
      </w:r>
      <w:r>
        <w:rPr>
          <w:sz w:val="20"/>
        </w:rPr>
        <w:t>was held that breach of the rules by one member did not, as a matter of construction, give another member</w:t>
      </w:r>
      <w:r>
        <w:rPr>
          <w:spacing w:val="-2"/>
          <w:sz w:val="20"/>
        </w:rPr>
        <w:t> </w:t>
      </w:r>
      <w:r>
        <w:rPr>
          <w:sz w:val="20"/>
        </w:rPr>
        <w:t>a</w:t>
      </w:r>
      <w:r>
        <w:rPr>
          <w:spacing w:val="-2"/>
          <w:sz w:val="20"/>
        </w:rPr>
        <w:t> </w:t>
      </w:r>
      <w:r>
        <w:rPr>
          <w:sz w:val="20"/>
        </w:rPr>
        <w:t>right</w:t>
      </w:r>
      <w:r>
        <w:rPr>
          <w:spacing w:val="-2"/>
          <w:sz w:val="20"/>
        </w:rPr>
        <w:t> </w:t>
      </w:r>
      <w:r>
        <w:rPr>
          <w:sz w:val="20"/>
        </w:rPr>
        <w:t>of</w:t>
      </w:r>
      <w:r>
        <w:rPr>
          <w:spacing w:val="-2"/>
          <w:sz w:val="20"/>
        </w:rPr>
        <w:t> </w:t>
      </w:r>
      <w:r>
        <w:rPr>
          <w:sz w:val="20"/>
        </w:rPr>
        <w:t>action</w:t>
      </w:r>
      <w:r>
        <w:rPr>
          <w:spacing w:val="-2"/>
          <w:sz w:val="20"/>
        </w:rPr>
        <w:t> </w:t>
      </w:r>
      <w:r>
        <w:rPr>
          <w:sz w:val="20"/>
        </w:rPr>
        <w:t>in</w:t>
      </w:r>
      <w:r>
        <w:rPr>
          <w:spacing w:val="-2"/>
          <w:sz w:val="20"/>
        </w:rPr>
        <w:t> </w:t>
      </w:r>
      <w:r>
        <w:rPr>
          <w:sz w:val="20"/>
        </w:rPr>
        <w:t>damages</w:t>
      </w:r>
      <w:r>
        <w:rPr>
          <w:spacing w:val="-2"/>
          <w:sz w:val="20"/>
        </w:rPr>
        <w:t> </w:t>
      </w:r>
      <w:r>
        <w:rPr>
          <w:sz w:val="20"/>
        </w:rPr>
        <w:t>against</w:t>
      </w:r>
      <w:r>
        <w:rPr>
          <w:spacing w:val="-2"/>
          <w:sz w:val="20"/>
        </w:rPr>
        <w:t> </w:t>
      </w:r>
      <w:r>
        <w:rPr>
          <w:sz w:val="20"/>
        </w:rPr>
        <w:t>the</w:t>
      </w:r>
      <w:r>
        <w:rPr>
          <w:spacing w:val="-2"/>
          <w:sz w:val="20"/>
        </w:rPr>
        <w:t> </w:t>
      </w:r>
      <w:r>
        <w:rPr>
          <w:sz w:val="20"/>
        </w:rPr>
        <w:t>member</w:t>
      </w:r>
      <w:r>
        <w:rPr>
          <w:spacing w:val="-2"/>
          <w:sz w:val="20"/>
        </w:rPr>
        <w:t> </w:t>
      </w:r>
      <w:r>
        <w:rPr>
          <w:sz w:val="20"/>
        </w:rPr>
        <w:t>guilty</w:t>
      </w:r>
      <w:r>
        <w:rPr>
          <w:spacing w:val="-2"/>
          <w:sz w:val="20"/>
        </w:rPr>
        <w:t> </w:t>
      </w:r>
      <w:r>
        <w:rPr>
          <w:sz w:val="20"/>
        </w:rPr>
        <w:t>of</w:t>
      </w:r>
      <w:r>
        <w:rPr>
          <w:spacing w:val="-2"/>
          <w:sz w:val="20"/>
        </w:rPr>
        <w:t> </w:t>
      </w:r>
      <w:r>
        <w:rPr>
          <w:sz w:val="20"/>
        </w:rPr>
        <w:t>the</w:t>
      </w:r>
      <w:r>
        <w:rPr>
          <w:spacing w:val="-2"/>
          <w:sz w:val="20"/>
        </w:rPr>
        <w:t> </w:t>
      </w:r>
      <w:r>
        <w:rPr>
          <w:sz w:val="20"/>
        </w:rPr>
        <w:t>breach.</w:t>
      </w:r>
      <w:r>
        <w:rPr>
          <w:spacing w:val="-2"/>
          <w:sz w:val="20"/>
        </w:rPr>
        <w:t> </w:t>
      </w:r>
      <w:r>
        <w:rPr>
          <w:sz w:val="20"/>
        </w:rPr>
        <w:t>And</w:t>
      </w:r>
      <w:r>
        <w:rPr>
          <w:spacing w:val="-2"/>
          <w:sz w:val="20"/>
        </w:rPr>
        <w:t> </w:t>
      </w:r>
      <w:r>
        <w:rPr>
          <w:sz w:val="20"/>
        </w:rPr>
        <w:t>where</w:t>
      </w:r>
      <w:r>
        <w:rPr>
          <w:spacing w:val="-2"/>
          <w:sz w:val="20"/>
        </w:rPr>
        <w:t> </w:t>
      </w:r>
      <w:r>
        <w:rPr>
          <w:sz w:val="20"/>
        </w:rPr>
        <w:t>a</w:t>
      </w:r>
      <w:r>
        <w:rPr>
          <w:spacing w:val="-2"/>
          <w:sz w:val="20"/>
        </w:rPr>
        <w:t> </w:t>
      </w:r>
      <w:r>
        <w:rPr>
          <w:sz w:val="20"/>
        </w:rPr>
        <w:t>club was </w:t>
      </w:r>
      <w:r>
        <w:rPr>
          <w:rFonts w:ascii="Arial" w:hAnsi="Arial"/>
          <w:i/>
          <w:sz w:val="20"/>
        </w:rPr>
        <w:t>owned by a company</w:t>
      </w:r>
      <w:r>
        <w:rPr>
          <w:rFonts w:ascii="Arial" w:hAnsi="Arial"/>
          <w:i/>
          <w:spacing w:val="-1"/>
          <w:sz w:val="20"/>
        </w:rPr>
        <w:t> </w:t>
      </w:r>
      <w:r>
        <w:rPr>
          <w:sz w:val="20"/>
        </w:rPr>
        <w:t>of which the club’s members were shareholders, the rules of the club were held to constitute contracts between each member and the company, and not between </w:t>
      </w:r>
      <w:r>
        <w:rPr>
          <w:spacing w:val="-5"/>
          <w:sz w:val="20"/>
        </w:rPr>
        <w:t>the</w:t>
      </w:r>
    </w:p>
    <w:p>
      <w:pPr>
        <w:spacing w:after="0" w:line="235" w:lineRule="auto"/>
        <w:jc w:val="both"/>
        <w:rPr>
          <w:sz w:val="20"/>
        </w:rPr>
        <w:sectPr>
          <w:pgSz w:w="11900" w:h="16840"/>
          <w:pgMar w:header="971" w:footer="0" w:top="1160" w:bottom="280" w:left="1275" w:right="1275"/>
        </w:sectPr>
      </w:pPr>
    </w:p>
    <w:p>
      <w:pPr>
        <w:pStyle w:val="BodyText"/>
        <w:spacing w:before="21"/>
      </w:pPr>
    </w:p>
    <w:p>
      <w:pPr>
        <w:spacing w:before="0"/>
        <w:ind w:left="705" w:right="0" w:firstLine="0"/>
        <w:jc w:val="left"/>
        <w:rPr>
          <w:sz w:val="20"/>
        </w:rPr>
      </w:pPr>
      <w:r>
        <w:rPr>
          <w:sz w:val="20"/>
        </w:rPr>
        <w:t>members inter se:</w:t>
      </w:r>
      <w:r>
        <w:rPr>
          <w:spacing w:val="-1"/>
          <w:sz w:val="20"/>
        </w:rPr>
        <w:t> </w:t>
      </w:r>
      <w:r>
        <w:rPr>
          <w:rFonts w:ascii="Arial"/>
          <w:i/>
          <w:sz w:val="20"/>
        </w:rPr>
        <w:t>Peskin v Anderson [2000] 2 B.C.L.C. </w:t>
      </w:r>
      <w:r>
        <w:rPr>
          <w:rFonts w:asci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68" w:id="170"/>
      <w:bookmarkEnd w:id="170"/>
      <w:r>
        <w:rPr/>
      </w:r>
      <w:hyperlink w:history="true" w:anchor="_bookmark90">
        <w:r>
          <w:rPr>
            <w:color w:val="005DA1"/>
            <w:spacing w:val="-5"/>
            <w:position w:val="5"/>
            <w:sz w:val="14"/>
            <w:u w:val="single" w:color="005DA1"/>
          </w:rPr>
          <w:t>78</w:t>
        </w:r>
      </w:hyperlink>
      <w:r>
        <w:rPr>
          <w:spacing w:val="-5"/>
          <w:position w:val="5"/>
          <w:sz w:val="14"/>
        </w:rPr>
        <w:t>.</w:t>
      </w:r>
      <w:r>
        <w:rPr>
          <w:position w:val="5"/>
          <w:sz w:val="14"/>
        </w:rPr>
        <w:tab/>
      </w:r>
      <w:r>
        <w:rPr>
          <w:rFonts w:ascii="Arial" w:hAnsi="Arial"/>
          <w:i/>
          <w:sz w:val="20"/>
        </w:rPr>
        <w:t>Touche Ross &amp; Co v Colin Baker [1992] 2 Lloyd’s Rep. </w:t>
      </w:r>
      <w:r>
        <w:rPr>
          <w:rFonts w:ascii="Arial" w:hAnsi="Arial"/>
          <w:i/>
          <w:spacing w:val="-4"/>
          <w:sz w:val="20"/>
        </w:rPr>
        <w:t>207</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69" w:id="171"/>
      <w:bookmarkEnd w:id="171"/>
      <w:r>
        <w:rPr/>
      </w:r>
      <w:hyperlink w:history="true" w:anchor="_bookmark91">
        <w:r>
          <w:rPr>
            <w:color w:val="005DA1"/>
            <w:spacing w:val="-5"/>
            <w:position w:val="5"/>
            <w:sz w:val="14"/>
            <w:u w:val="single" w:color="005DA1"/>
          </w:rPr>
          <w:t>79</w:t>
        </w:r>
      </w:hyperlink>
      <w:r>
        <w:rPr>
          <w:spacing w:val="-5"/>
          <w:position w:val="5"/>
          <w:sz w:val="14"/>
        </w:rPr>
        <w:t>.</w:t>
      </w:r>
      <w:r>
        <w:rPr>
          <w:position w:val="5"/>
          <w:sz w:val="14"/>
        </w:rPr>
        <w:tab/>
      </w:r>
      <w:r>
        <w:rPr>
          <w:rFonts w:ascii="Arial"/>
          <w:i/>
          <w:sz w:val="20"/>
        </w:rPr>
        <w:t>Soden</w:t>
      </w:r>
      <w:r>
        <w:rPr>
          <w:rFonts w:ascii="Arial"/>
          <w:i/>
          <w:spacing w:val="1"/>
          <w:sz w:val="20"/>
        </w:rPr>
        <w:t> </w:t>
      </w:r>
      <w:r>
        <w:rPr>
          <w:rFonts w:ascii="Arial"/>
          <w:i/>
          <w:sz w:val="20"/>
        </w:rPr>
        <w:t>v</w:t>
      </w:r>
      <w:r>
        <w:rPr>
          <w:rFonts w:ascii="Arial"/>
          <w:i/>
          <w:spacing w:val="1"/>
          <w:sz w:val="20"/>
        </w:rPr>
        <w:t> </w:t>
      </w:r>
      <w:r>
        <w:rPr>
          <w:rFonts w:ascii="Arial"/>
          <w:i/>
          <w:sz w:val="20"/>
        </w:rPr>
        <w:t>British</w:t>
      </w:r>
      <w:r>
        <w:rPr>
          <w:rFonts w:ascii="Arial"/>
          <w:i/>
          <w:spacing w:val="1"/>
          <w:sz w:val="20"/>
        </w:rPr>
        <w:t> </w:t>
      </w:r>
      <w:r>
        <w:rPr>
          <w:rFonts w:ascii="Arial"/>
          <w:i/>
          <w:sz w:val="20"/>
        </w:rPr>
        <w:t>Commonwealth</w:t>
      </w:r>
      <w:r>
        <w:rPr>
          <w:rFonts w:ascii="Arial"/>
          <w:i/>
          <w:spacing w:val="1"/>
          <w:sz w:val="20"/>
        </w:rPr>
        <w:t> </w:t>
      </w:r>
      <w:r>
        <w:rPr>
          <w:rFonts w:ascii="Arial"/>
          <w:i/>
          <w:sz w:val="20"/>
        </w:rPr>
        <w:t>Holdings</w:t>
      </w:r>
      <w:r>
        <w:rPr>
          <w:rFonts w:ascii="Arial"/>
          <w:i/>
          <w:spacing w:val="1"/>
          <w:sz w:val="20"/>
        </w:rPr>
        <w:t> </w:t>
      </w:r>
      <w:r>
        <w:rPr>
          <w:rFonts w:ascii="Arial"/>
          <w:i/>
          <w:sz w:val="20"/>
        </w:rPr>
        <w:t>[1998]</w:t>
      </w:r>
      <w:r>
        <w:rPr>
          <w:rFonts w:ascii="Arial"/>
          <w:i/>
          <w:spacing w:val="1"/>
          <w:sz w:val="20"/>
        </w:rPr>
        <w:t> </w:t>
      </w:r>
      <w:r>
        <w:rPr>
          <w:rFonts w:ascii="Arial"/>
          <w:i/>
          <w:sz w:val="20"/>
        </w:rPr>
        <w:t>A.C.</w:t>
      </w:r>
      <w:r>
        <w:rPr>
          <w:rFonts w:ascii="Arial"/>
          <w:i/>
          <w:spacing w:val="1"/>
          <w:sz w:val="20"/>
        </w:rPr>
        <w:t> </w:t>
      </w:r>
      <w:r>
        <w:rPr>
          <w:rFonts w:ascii="Arial"/>
          <w:i/>
          <w:sz w:val="20"/>
        </w:rPr>
        <w:t>298 </w:t>
      </w:r>
      <w:r>
        <w:rPr>
          <w:sz w:val="20"/>
        </w:rPr>
        <w:t>at</w:t>
      </w:r>
      <w:r>
        <w:rPr>
          <w:spacing w:val="1"/>
          <w:sz w:val="20"/>
        </w:rPr>
        <w:t> </w:t>
      </w:r>
      <w:r>
        <w:rPr>
          <w:sz w:val="20"/>
        </w:rPr>
        <w:t>323,</w:t>
      </w:r>
      <w:r>
        <w:rPr>
          <w:spacing w:val="1"/>
          <w:sz w:val="20"/>
        </w:rPr>
        <w:t> </w:t>
      </w:r>
      <w:r>
        <w:rPr>
          <w:sz w:val="20"/>
        </w:rPr>
        <w:t>stating</w:t>
      </w:r>
      <w:r>
        <w:rPr>
          <w:spacing w:val="1"/>
          <w:sz w:val="20"/>
        </w:rPr>
        <w:t> </w:t>
      </w:r>
      <w:r>
        <w:rPr>
          <w:sz w:val="20"/>
        </w:rPr>
        <w:t>the</w:t>
      </w:r>
      <w:r>
        <w:rPr>
          <w:spacing w:val="1"/>
          <w:sz w:val="20"/>
        </w:rPr>
        <w:t> </w:t>
      </w:r>
      <w:r>
        <w:rPr>
          <w:sz w:val="20"/>
        </w:rPr>
        <w:t>effect</w:t>
      </w:r>
      <w:r>
        <w:rPr>
          <w:spacing w:val="1"/>
          <w:sz w:val="20"/>
        </w:rPr>
        <w:t> </w:t>
      </w:r>
      <w:r>
        <w:rPr>
          <w:sz w:val="20"/>
        </w:rPr>
        <w:t>of</w:t>
      </w:r>
      <w:r>
        <w:rPr>
          <w:spacing w:val="1"/>
          <w:sz w:val="20"/>
        </w:rPr>
        <w:t> </w:t>
      </w:r>
      <w:r>
        <w:rPr>
          <w:sz w:val="20"/>
        </w:rPr>
        <w:t>the</w:t>
      </w:r>
      <w:r>
        <w:rPr>
          <w:spacing w:val="1"/>
          <w:sz w:val="20"/>
        </w:rPr>
        <w:t> </w:t>
      </w:r>
      <w:r>
        <w:rPr>
          <w:spacing w:val="-2"/>
          <w:sz w:val="20"/>
        </w:rPr>
        <w:t>former</w:t>
      </w:r>
    </w:p>
    <w:p>
      <w:pPr>
        <w:pStyle w:val="BodyText"/>
        <w:spacing w:line="235" w:lineRule="auto" w:before="1"/>
        <w:ind w:left="705" w:right="167"/>
        <w:jc w:val="both"/>
      </w:pPr>
      <w:r>
        <w:rPr/>
        <w:t>s.14 of the Companies Act 1985, which is repealed by s.1295 and Sch.16 of Companies </w:t>
      </w:r>
      <w:r>
        <w:rPr/>
        <w:t>Act 2006 and replaced with modifications by s.33(1) of the 2006 Act. For a full discussion, see above para.10-061; for the position under the Contracts (Rights of Third Parties) Act 1999, </w:t>
      </w:r>
      <w:r>
        <w:rPr/>
        <w:t>see below, para.18-118.</w:t>
      </w:r>
    </w:p>
    <w:p>
      <w:pPr>
        <w:pStyle w:val="BodyText"/>
        <w:spacing w:before="9"/>
      </w:pPr>
    </w:p>
    <w:p>
      <w:pPr>
        <w:pStyle w:val="BodyText"/>
        <w:tabs>
          <w:tab w:pos="705" w:val="left" w:leader="none"/>
        </w:tabs>
        <w:spacing w:line="235" w:lineRule="auto"/>
        <w:ind w:left="705" w:right="168" w:hanging="541"/>
      </w:pPr>
      <w:bookmarkStart w:name="_bookmark170" w:id="172"/>
      <w:bookmarkEnd w:id="172"/>
      <w:r>
        <w:rPr/>
      </w:r>
      <w:hyperlink w:history="true" w:anchor="_bookmark92">
        <w:r>
          <w:rPr>
            <w:color w:val="005DA1"/>
            <w:spacing w:val="-4"/>
            <w:position w:val="5"/>
            <w:sz w:val="14"/>
            <w:u w:val="single" w:color="005DA1"/>
          </w:rPr>
          <w:t>80</w:t>
        </w:r>
      </w:hyperlink>
      <w:r>
        <w:rPr>
          <w:spacing w:val="-4"/>
          <w:position w:val="5"/>
          <w:sz w:val="14"/>
        </w:rPr>
        <w:t>.</w:t>
      </w:r>
      <w:r>
        <w:rPr>
          <w:position w:val="5"/>
          <w:sz w:val="14"/>
        </w:rPr>
        <w:tab/>
      </w:r>
      <w:r>
        <w:rPr/>
        <w:t>For the status of such a partnership as a body corporate, see Limited Liability Partnerships </w:t>
      </w:r>
      <w:r>
        <w:rPr/>
        <w:t>Act 2000, s.1(2).</w:t>
      </w:r>
    </w:p>
    <w:p>
      <w:pPr>
        <w:pStyle w:val="BodyText"/>
        <w:spacing w:before="5"/>
      </w:pPr>
    </w:p>
    <w:p>
      <w:pPr>
        <w:pStyle w:val="BodyText"/>
        <w:tabs>
          <w:tab w:pos="705" w:val="left" w:leader="none"/>
        </w:tabs>
        <w:ind w:left="165"/>
      </w:pPr>
      <w:bookmarkStart w:name="_bookmark171" w:id="173"/>
      <w:bookmarkEnd w:id="173"/>
      <w:r>
        <w:rPr/>
      </w:r>
      <w:hyperlink w:history="true" w:anchor="_bookmark93">
        <w:r>
          <w:rPr>
            <w:color w:val="005DA1"/>
            <w:spacing w:val="-5"/>
            <w:position w:val="5"/>
            <w:sz w:val="14"/>
            <w:u w:val="single" w:color="005DA1"/>
          </w:rPr>
          <w:t>81</w:t>
        </w:r>
      </w:hyperlink>
      <w:r>
        <w:rPr>
          <w:spacing w:val="-5"/>
          <w:position w:val="5"/>
          <w:sz w:val="14"/>
        </w:rPr>
        <w:t>.</w:t>
      </w:r>
      <w:r>
        <w:rPr>
          <w:position w:val="5"/>
          <w:sz w:val="14"/>
        </w:rPr>
        <w:tab/>
      </w:r>
      <w:r>
        <w:rPr/>
        <w:t>Limited Liability Partnerships Act 2000, </w:t>
      </w:r>
      <w:r>
        <w:rPr>
          <w:spacing w:val="-2"/>
        </w:rPr>
        <w:t>s.5(1)(a).</w:t>
      </w:r>
    </w:p>
    <w:p>
      <w:pPr>
        <w:pStyle w:val="BodyText"/>
        <w:spacing w:before="5"/>
      </w:pPr>
    </w:p>
    <w:p>
      <w:pPr>
        <w:pStyle w:val="BodyText"/>
        <w:tabs>
          <w:tab w:pos="705" w:val="left" w:leader="none"/>
        </w:tabs>
        <w:ind w:left="165"/>
      </w:pPr>
      <w:bookmarkStart w:name="_bookmark172" w:id="174"/>
      <w:bookmarkEnd w:id="174"/>
      <w:r>
        <w:rPr/>
      </w:r>
      <w:hyperlink w:history="true" w:anchor="_bookmark94">
        <w:r>
          <w:rPr>
            <w:color w:val="005DA1"/>
            <w:spacing w:val="-5"/>
            <w:position w:val="5"/>
            <w:sz w:val="14"/>
            <w:u w:val="single" w:color="005DA1"/>
          </w:rPr>
          <w:t>82</w:t>
        </w:r>
      </w:hyperlink>
      <w:r>
        <w:rPr>
          <w:spacing w:val="-5"/>
          <w:position w:val="5"/>
          <w:sz w:val="14"/>
        </w:rPr>
        <w:t>.</w:t>
      </w:r>
      <w:r>
        <w:rPr>
          <w:position w:val="5"/>
          <w:sz w:val="14"/>
        </w:rPr>
        <w:tab/>
      </w:r>
      <w:r>
        <w:rPr/>
        <w:t>ibid., </w:t>
      </w:r>
      <w:r>
        <w:rPr>
          <w:spacing w:val="-2"/>
        </w:rPr>
        <w:t>s.5(1)(c).</w:t>
      </w:r>
    </w:p>
    <w:p>
      <w:pPr>
        <w:pStyle w:val="BodyText"/>
        <w:spacing w:before="9"/>
      </w:pPr>
    </w:p>
    <w:p>
      <w:pPr>
        <w:spacing w:line="235" w:lineRule="auto" w:before="0"/>
        <w:ind w:left="705" w:right="168" w:hanging="541"/>
        <w:jc w:val="both"/>
        <w:rPr>
          <w:sz w:val="20"/>
        </w:rPr>
      </w:pPr>
      <w:bookmarkStart w:name="_bookmark173" w:id="175"/>
      <w:bookmarkEnd w:id="175"/>
      <w:r>
        <w:rPr/>
      </w:r>
      <w:hyperlink w:history="true" w:anchor="_bookmark95">
        <w:r>
          <w:rPr>
            <w:color w:val="005DA1"/>
            <w:position w:val="5"/>
            <w:sz w:val="14"/>
            <w:u w:val="single" w:color="005DA1"/>
          </w:rPr>
          <w:t>83</w:t>
        </w:r>
      </w:hyperlink>
      <w:r>
        <w:rPr>
          <w:position w:val="5"/>
          <w:sz w:val="14"/>
        </w:rPr>
        <w:t>.</w:t>
      </w:r>
      <w:r>
        <w:rPr>
          <w:spacing w:val="80"/>
          <w:position w:val="5"/>
          <w:sz w:val="14"/>
        </w:rPr>
        <w:t>  </w:t>
      </w:r>
      <w:r>
        <w:rPr>
          <w:rFonts w:ascii="Arial" w:hAnsi="Arial"/>
          <w:i/>
          <w:sz w:val="20"/>
        </w:rPr>
        <w:t>The Satanita [1895] P. 248</w:t>
      </w:r>
      <w:r>
        <w:rPr>
          <w:sz w:val="20"/>
        </w:rPr>
        <w:t>; affirmed sub nom. </w:t>
      </w:r>
      <w:r>
        <w:rPr>
          <w:rFonts w:ascii="Arial" w:hAnsi="Arial"/>
          <w:i/>
          <w:sz w:val="20"/>
        </w:rPr>
        <w:t>Clarke v Dunraven [1897] A.C. 59</w:t>
      </w:r>
      <w:r>
        <w:rPr>
          <w:sz w:val="20"/>
        </w:rPr>
        <w:t>, where </w:t>
      </w:r>
      <w:r>
        <w:rPr>
          <w:sz w:val="20"/>
        </w:rPr>
        <w:t>only Lord Herschell dealt with the point here discussed; cf. </w:t>
      </w:r>
      <w:r>
        <w:rPr>
          <w:rFonts w:ascii="Arial" w:hAnsi="Arial"/>
          <w:i/>
          <w:sz w:val="20"/>
        </w:rPr>
        <w:t>Meggeson v Burns [1972] 1 Lloyd’s Rep. 223</w:t>
      </w:r>
      <w:r>
        <w:rPr>
          <w:sz w:val="20"/>
        </w:rPr>
        <w:t>; </w:t>
      </w:r>
      <w:r>
        <w:rPr>
          <w:rFonts w:ascii="Arial" w:hAnsi="Arial"/>
          <w:i/>
          <w:sz w:val="20"/>
        </w:rPr>
        <w:t>White v Blackmore [1972] 2 Q.B. 651 </w:t>
      </w:r>
      <w:r>
        <w:rPr>
          <w:sz w:val="20"/>
        </w:rPr>
        <w:t>(where there was no contractual intention).</w:t>
      </w:r>
    </w:p>
    <w:p>
      <w:pPr>
        <w:pStyle w:val="BodyText"/>
        <w:spacing w:before="5"/>
      </w:pPr>
    </w:p>
    <w:p>
      <w:pPr>
        <w:tabs>
          <w:tab w:pos="705" w:val="left" w:leader="none"/>
        </w:tabs>
        <w:spacing w:before="0"/>
        <w:ind w:left="165" w:right="0" w:firstLine="0"/>
        <w:jc w:val="left"/>
        <w:rPr>
          <w:sz w:val="20"/>
        </w:rPr>
      </w:pPr>
      <w:bookmarkStart w:name="_bookmark174" w:id="176"/>
      <w:bookmarkEnd w:id="176"/>
      <w:r>
        <w:rPr/>
      </w:r>
      <w:hyperlink w:history="true" w:anchor="_bookmark96">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Ellesmere v Wallace [1929] 2 Ch. </w:t>
      </w:r>
      <w:r>
        <w:rPr>
          <w:rFonts w:ascii="Arial"/>
          <w:i/>
          <w:spacing w:val="-5"/>
          <w:sz w:val="20"/>
        </w:rPr>
        <w:t>1</w:t>
      </w:r>
      <w:r>
        <w:rPr>
          <w:spacing w:val="-5"/>
          <w:sz w:val="20"/>
        </w:rPr>
        <w:t>.</w:t>
      </w:r>
    </w:p>
    <w:p>
      <w:pPr>
        <w:pStyle w:val="BodyText"/>
        <w:spacing w:before="5"/>
      </w:pPr>
    </w:p>
    <w:p>
      <w:pPr>
        <w:pStyle w:val="BodyText"/>
        <w:tabs>
          <w:tab w:pos="705" w:val="left" w:leader="none"/>
        </w:tabs>
        <w:ind w:left="165"/>
      </w:pPr>
      <w:bookmarkStart w:name="_bookmark175" w:id="177"/>
      <w:bookmarkEnd w:id="177"/>
      <w:r>
        <w:rPr/>
      </w:r>
      <w:hyperlink w:history="true" w:anchor="_bookmark97">
        <w:r>
          <w:rPr>
            <w:color w:val="005DA1"/>
            <w:spacing w:val="-5"/>
            <w:position w:val="5"/>
            <w:sz w:val="14"/>
            <w:u w:val="single" w:color="005DA1"/>
          </w:rPr>
          <w:t>85</w:t>
        </w:r>
      </w:hyperlink>
      <w:r>
        <w:rPr>
          <w:spacing w:val="-5"/>
          <w:position w:val="5"/>
          <w:sz w:val="14"/>
        </w:rPr>
        <w:t>.</w:t>
      </w:r>
      <w:r>
        <w:rPr>
          <w:position w:val="5"/>
          <w:sz w:val="14"/>
        </w:rPr>
        <w:tab/>
      </w:r>
      <w:r>
        <w:rPr/>
        <w:t>See the authorities cited in nn.84-87, </w:t>
      </w:r>
      <w:r>
        <w:rPr>
          <w:spacing w:val="-2"/>
        </w:rPr>
        <w:t>below.</w:t>
      </w:r>
    </w:p>
    <w:p>
      <w:pPr>
        <w:pStyle w:val="BodyText"/>
        <w:spacing w:before="9"/>
      </w:pPr>
    </w:p>
    <w:p>
      <w:pPr>
        <w:spacing w:line="235" w:lineRule="auto" w:before="0"/>
        <w:ind w:left="705" w:right="167" w:hanging="541"/>
        <w:jc w:val="both"/>
        <w:rPr>
          <w:sz w:val="20"/>
        </w:rPr>
      </w:pPr>
      <w:bookmarkStart w:name="_bookmark176" w:id="178"/>
      <w:bookmarkEnd w:id="178"/>
      <w:r>
        <w:rPr/>
      </w:r>
      <w:hyperlink w:history="true" w:anchor="_bookmark98">
        <w:r>
          <w:rPr>
            <w:color w:val="005DA1"/>
            <w:position w:val="5"/>
            <w:sz w:val="14"/>
            <w:u w:val="single" w:color="005DA1"/>
          </w:rPr>
          <w:t>86</w:t>
        </w:r>
      </w:hyperlink>
      <w:r>
        <w:rPr>
          <w:position w:val="5"/>
          <w:sz w:val="14"/>
        </w:rPr>
        <w:t>.</w:t>
      </w:r>
      <w:r>
        <w:rPr>
          <w:spacing w:val="80"/>
          <w:position w:val="5"/>
          <w:sz w:val="14"/>
        </w:rPr>
        <w:t>  </w:t>
      </w:r>
      <w:r>
        <w:rPr>
          <w:rFonts w:ascii="Arial" w:hAnsi="Arial"/>
          <w:i/>
          <w:sz w:val="20"/>
        </w:rPr>
        <w:t>Daly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General</w:t>
      </w:r>
      <w:r>
        <w:rPr>
          <w:rFonts w:ascii="Arial" w:hAnsi="Arial"/>
          <w:i/>
          <w:spacing w:val="-1"/>
          <w:sz w:val="20"/>
        </w:rPr>
        <w:t> </w:t>
      </w:r>
      <w:r>
        <w:rPr>
          <w:rFonts w:ascii="Arial" w:hAnsi="Arial"/>
          <w:i/>
          <w:sz w:val="20"/>
        </w:rPr>
        <w:t>Steam</w:t>
      </w:r>
      <w:r>
        <w:rPr>
          <w:rFonts w:ascii="Arial" w:hAnsi="Arial"/>
          <w:i/>
          <w:spacing w:val="-1"/>
          <w:sz w:val="20"/>
        </w:rPr>
        <w:t> </w:t>
      </w:r>
      <w:r>
        <w:rPr>
          <w:rFonts w:ascii="Arial" w:hAnsi="Arial"/>
          <w:i/>
          <w:sz w:val="20"/>
        </w:rPr>
        <w:t>Navigation</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Dragon)</w:t>
      </w:r>
      <w:r>
        <w:rPr>
          <w:rFonts w:ascii="Arial" w:hAnsi="Arial"/>
          <w:i/>
          <w:spacing w:val="-1"/>
          <w:sz w:val="20"/>
        </w:rPr>
        <w:t> </w:t>
      </w:r>
      <w:r>
        <w:rPr>
          <w:rFonts w:ascii="Arial" w:hAnsi="Arial"/>
          <w:i/>
          <w:sz w:val="20"/>
        </w:rPr>
        <w:t>[1979]</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257,</w:t>
      </w:r>
      <w:r>
        <w:rPr>
          <w:rFonts w:ascii="Arial" w:hAnsi="Arial"/>
          <w:i/>
          <w:spacing w:val="-1"/>
          <w:sz w:val="20"/>
        </w:rPr>
        <w:t> </w:t>
      </w:r>
      <w:r>
        <w:rPr>
          <w:rFonts w:ascii="Arial" w:hAnsi="Arial"/>
          <w:i/>
          <w:sz w:val="20"/>
        </w:rPr>
        <w:t>262;</w:t>
      </w:r>
      <w:r>
        <w:rPr>
          <w:rFonts w:ascii="Arial" w:hAnsi="Arial"/>
          <w:i/>
          <w:spacing w:val="-1"/>
          <w:sz w:val="20"/>
        </w:rPr>
        <w:t> </w:t>
      </w:r>
      <w:r>
        <w:rPr>
          <w:rFonts w:ascii="Arial" w:hAnsi="Arial"/>
          <w:i/>
          <w:sz w:val="20"/>
        </w:rPr>
        <w:t>affirmed [1980] 2 Lloyd’s Rep. 415</w:t>
      </w:r>
      <w:r>
        <w:rPr>
          <w:sz w:val="20"/>
        </w:rPr>
        <w:t>; cf. </w:t>
      </w:r>
      <w:r>
        <w:rPr>
          <w:rFonts w:ascii="Arial" w:hAnsi="Arial"/>
          <w:i/>
          <w:sz w:val="20"/>
        </w:rPr>
        <w:t>Wilson v Best Travel Ltd [1993] 1 All E.R. 353, 355</w:t>
      </w:r>
      <w:r>
        <w:rPr>
          <w:sz w:val="20"/>
        </w:rPr>
        <w:t>; </w:t>
      </w:r>
      <w:r>
        <w:rPr>
          <w:rFonts w:ascii="Arial" w:hAnsi="Arial"/>
          <w:i/>
          <w:sz w:val="20"/>
        </w:rPr>
        <w:t>Bowerman v Association of British Travel Agents [1995] N.L.J. 815 </w:t>
      </w:r>
      <w:r>
        <w:rPr>
          <w:sz w:val="20"/>
        </w:rPr>
        <w:t>(holiday booked for pupil by her </w:t>
      </w:r>
      <w:r>
        <w:rPr>
          <w:sz w:val="20"/>
        </w:rPr>
        <w:t>teacher); </w:t>
      </w:r>
      <w:r>
        <w:rPr>
          <w:rFonts w:ascii="Arial" w:hAnsi="Arial"/>
          <w:i/>
          <w:sz w:val="20"/>
        </w:rPr>
        <w:t>Vitesse Yacht Charterers SL v Spiers (The Deverne II) </w:t>
      </w:r>
      <w:r>
        <w:rPr>
          <w:sz w:val="20"/>
        </w:rPr>
        <w:t>(contract to charter a yacht for a holiday taken by two persons together held to have been made by one of them on behalf of both). For the question whether an f.o.b. seller (A) who ships goods on B’s ship for transmission to the buyer (C) does so as principal or as agent for C, see Carver on Bills of Lading, 3rd ed. (2011), </w:t>
      </w:r>
      <w:r>
        <w:rPr>
          <w:spacing w:val="-2"/>
          <w:sz w:val="20"/>
        </w:rPr>
        <w:t>para.4–029.</w:t>
      </w:r>
    </w:p>
    <w:p>
      <w:pPr>
        <w:pStyle w:val="BodyText"/>
        <w:spacing w:before="7"/>
      </w:pPr>
    </w:p>
    <w:p>
      <w:pPr>
        <w:spacing w:line="235" w:lineRule="auto" w:before="0"/>
        <w:ind w:left="705" w:right="167" w:hanging="541"/>
        <w:jc w:val="both"/>
        <w:rPr>
          <w:sz w:val="20"/>
        </w:rPr>
      </w:pPr>
      <w:bookmarkStart w:name="_bookmark177" w:id="179"/>
      <w:bookmarkEnd w:id="179"/>
      <w:r>
        <w:rPr/>
      </w:r>
      <w:hyperlink w:history="true" w:anchor="_bookmark99">
        <w:r>
          <w:rPr>
            <w:color w:val="005DA1"/>
            <w:position w:val="5"/>
            <w:sz w:val="14"/>
            <w:u w:val="single" w:color="005DA1"/>
          </w:rPr>
          <w:t>87</w:t>
        </w:r>
      </w:hyperlink>
      <w:r>
        <w:rPr>
          <w:position w:val="5"/>
          <w:sz w:val="14"/>
        </w:rPr>
        <w:t>.</w:t>
      </w:r>
      <w:r>
        <w:rPr>
          <w:spacing w:val="80"/>
          <w:position w:val="5"/>
          <w:sz w:val="14"/>
        </w:rPr>
        <w:t>  </w:t>
      </w:r>
      <w:r>
        <w:rPr>
          <w:rFonts w:ascii="Arial"/>
          <w:i/>
          <w:sz w:val="20"/>
        </w:rPr>
        <w:t>Lockett v A.M. Charles [1938] 4 All E.R. 170</w:t>
      </w:r>
      <w:r>
        <w:rPr>
          <w:sz w:val="20"/>
        </w:rPr>
        <w:t>. cf. </w:t>
      </w:r>
      <w:r>
        <w:rPr>
          <w:rFonts w:ascii="Arial"/>
          <w:i/>
          <w:sz w:val="20"/>
        </w:rPr>
        <w:t>Richards v Hughes [2004] EWCA Civ 266, [2004] P.N.L.R. 35 </w:t>
      </w:r>
      <w:r>
        <w:rPr>
          <w:sz w:val="20"/>
        </w:rPr>
        <w:t>(arguable that accountant advising parent about setting up a trust fund </w:t>
      </w:r>
      <w:r>
        <w:rPr>
          <w:sz w:val="20"/>
        </w:rPr>
        <w:t>for the education of children owed a contractual duty, not only to the parents, but also to the </w:t>
      </w:r>
      <w:r>
        <w:rPr>
          <w:spacing w:val="-2"/>
          <w:sz w:val="20"/>
        </w:rPr>
        <w:t>children).</w:t>
      </w:r>
    </w:p>
    <w:p>
      <w:pPr>
        <w:pStyle w:val="BodyText"/>
        <w:spacing w:before="8"/>
      </w:pPr>
    </w:p>
    <w:p>
      <w:pPr>
        <w:tabs>
          <w:tab w:pos="705" w:val="left" w:leader="none"/>
        </w:tabs>
        <w:spacing w:line="235" w:lineRule="auto" w:before="1"/>
        <w:ind w:left="705" w:right="168" w:hanging="541"/>
        <w:jc w:val="left"/>
        <w:rPr>
          <w:sz w:val="20"/>
        </w:rPr>
      </w:pPr>
      <w:bookmarkStart w:name="_bookmark178" w:id="180"/>
      <w:bookmarkEnd w:id="180"/>
      <w:r>
        <w:rPr/>
      </w:r>
      <w:hyperlink w:history="true" w:anchor="_bookmark100">
        <w:r>
          <w:rPr>
            <w:color w:val="005DA1"/>
            <w:spacing w:val="-4"/>
            <w:position w:val="5"/>
            <w:sz w:val="14"/>
            <w:u w:val="single" w:color="005DA1"/>
          </w:rPr>
          <w:t>88</w:t>
        </w:r>
      </w:hyperlink>
      <w:r>
        <w:rPr>
          <w:spacing w:val="-4"/>
          <w:position w:val="5"/>
          <w:sz w:val="14"/>
        </w:rPr>
        <w:t>.</w:t>
      </w:r>
      <w:r>
        <w:rPr>
          <w:position w:val="5"/>
          <w:sz w:val="14"/>
        </w:rPr>
        <w:tab/>
      </w:r>
      <w:r>
        <w:rPr>
          <w:rFonts w:ascii="Arial"/>
          <w:i/>
          <w:sz w:val="20"/>
        </w:rPr>
        <w:t>Jackson</w:t>
      </w:r>
      <w:r>
        <w:rPr>
          <w:rFonts w:ascii="Arial"/>
          <w:i/>
          <w:spacing w:val="-3"/>
          <w:sz w:val="20"/>
        </w:rPr>
        <w:t> </w:t>
      </w:r>
      <w:r>
        <w:rPr>
          <w:rFonts w:ascii="Arial"/>
          <w:i/>
          <w:sz w:val="20"/>
        </w:rPr>
        <w:t>v</w:t>
      </w:r>
      <w:r>
        <w:rPr>
          <w:rFonts w:ascii="Arial"/>
          <w:i/>
          <w:spacing w:val="-3"/>
          <w:sz w:val="20"/>
        </w:rPr>
        <w:t> </w:t>
      </w:r>
      <w:r>
        <w:rPr>
          <w:rFonts w:ascii="Arial"/>
          <w:i/>
          <w:sz w:val="20"/>
        </w:rPr>
        <w:t>Horizon</w:t>
      </w:r>
      <w:r>
        <w:rPr>
          <w:rFonts w:ascii="Arial"/>
          <w:i/>
          <w:spacing w:val="-3"/>
          <w:sz w:val="20"/>
        </w:rPr>
        <w:t> </w:t>
      </w:r>
      <w:r>
        <w:rPr>
          <w:rFonts w:ascii="Arial"/>
          <w:i/>
          <w:sz w:val="20"/>
        </w:rPr>
        <w:t>Holidays</w:t>
      </w:r>
      <w:r>
        <w:rPr>
          <w:rFonts w:ascii="Arial"/>
          <w:i/>
          <w:spacing w:val="-3"/>
          <w:sz w:val="20"/>
        </w:rPr>
        <w:t> </w:t>
      </w:r>
      <w:r>
        <w:rPr>
          <w:rFonts w:ascii="Arial"/>
          <w:i/>
          <w:sz w:val="20"/>
        </w:rPr>
        <w:t>Ltd</w:t>
      </w:r>
      <w:r>
        <w:rPr>
          <w:rFonts w:ascii="Arial"/>
          <w:i/>
          <w:spacing w:val="-3"/>
          <w:sz w:val="20"/>
        </w:rPr>
        <w:t> </w:t>
      </w:r>
      <w:r>
        <w:rPr>
          <w:rFonts w:ascii="Arial"/>
          <w:i/>
          <w:sz w:val="20"/>
        </w:rPr>
        <w:t>[1975]</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1468,</w:t>
      </w:r>
      <w:r>
        <w:rPr>
          <w:rFonts w:ascii="Arial"/>
          <w:i/>
          <w:spacing w:val="-3"/>
          <w:sz w:val="20"/>
        </w:rPr>
        <w:t> </w:t>
      </w:r>
      <w:r>
        <w:rPr>
          <w:rFonts w:ascii="Arial"/>
          <w:i/>
          <w:sz w:val="20"/>
        </w:rPr>
        <w:t>1473</w:t>
      </w:r>
      <w:r>
        <w:rPr>
          <w:rFonts w:ascii="Arial"/>
          <w:i/>
          <w:spacing w:val="-4"/>
          <w:sz w:val="20"/>
        </w:rPr>
        <w:t> </w:t>
      </w:r>
      <w:r>
        <w:rPr>
          <w:sz w:val="20"/>
        </w:rPr>
        <w:t>(where</w:t>
      </w:r>
      <w:r>
        <w:rPr>
          <w:spacing w:val="-3"/>
          <w:sz w:val="20"/>
        </w:rPr>
        <w:t> </w:t>
      </w:r>
      <w:r>
        <w:rPr>
          <w:rFonts w:ascii="Arial"/>
          <w:i/>
          <w:sz w:val="20"/>
        </w:rPr>
        <w:t>Lockett</w:t>
      </w:r>
      <w:r>
        <w:rPr>
          <w:rFonts w:ascii="Arial"/>
          <w:i/>
          <w:spacing w:val="-3"/>
          <w:sz w:val="20"/>
        </w:rPr>
        <w:t> </w:t>
      </w:r>
      <w:r>
        <w:rPr>
          <w:rFonts w:ascii="Arial"/>
          <w:i/>
          <w:sz w:val="20"/>
        </w:rPr>
        <w:t>v</w:t>
      </w:r>
      <w:r>
        <w:rPr>
          <w:rFonts w:ascii="Arial"/>
          <w:i/>
          <w:spacing w:val="-3"/>
          <w:sz w:val="20"/>
        </w:rPr>
        <w:t> </w:t>
      </w:r>
      <w:r>
        <w:rPr>
          <w:rFonts w:ascii="Arial"/>
          <w:i/>
          <w:sz w:val="20"/>
        </w:rPr>
        <w:t>A.</w:t>
      </w:r>
      <w:r>
        <w:rPr>
          <w:rFonts w:ascii="Arial"/>
          <w:i/>
          <w:spacing w:val="-3"/>
          <w:sz w:val="20"/>
        </w:rPr>
        <w:t> </w:t>
      </w:r>
      <w:r>
        <w:rPr>
          <w:rFonts w:ascii="Arial"/>
          <w:i/>
          <w:sz w:val="20"/>
        </w:rPr>
        <w:t>M.</w:t>
      </w:r>
      <w:r>
        <w:rPr>
          <w:rFonts w:ascii="Arial"/>
          <w:i/>
          <w:spacing w:val="-3"/>
          <w:sz w:val="20"/>
        </w:rPr>
        <w:t> </w:t>
      </w:r>
      <w:r>
        <w:rPr>
          <w:rFonts w:ascii="Arial"/>
          <w:i/>
          <w:sz w:val="20"/>
        </w:rPr>
        <w:t>Charles</w:t>
      </w:r>
      <w:r>
        <w:rPr>
          <w:rFonts w:ascii="Arial"/>
          <w:i/>
          <w:spacing w:val="-3"/>
          <w:sz w:val="20"/>
        </w:rPr>
        <w:t> </w:t>
      </w:r>
      <w:r>
        <w:rPr>
          <w:rFonts w:ascii="Arial"/>
          <w:i/>
          <w:sz w:val="20"/>
        </w:rPr>
        <w:t>Ltd</w:t>
      </w:r>
      <w:r>
        <w:rPr>
          <w:sz w:val="20"/>
        </w:rPr>
        <w:t>, above was not cited).</w:t>
      </w:r>
    </w:p>
    <w:p>
      <w:pPr>
        <w:pStyle w:val="BodyText"/>
        <w:spacing w:before="9"/>
      </w:pPr>
    </w:p>
    <w:p>
      <w:pPr>
        <w:tabs>
          <w:tab w:pos="705" w:val="left" w:leader="none"/>
        </w:tabs>
        <w:spacing w:line="235" w:lineRule="auto" w:before="0"/>
        <w:ind w:left="705" w:right="168" w:hanging="541"/>
        <w:jc w:val="left"/>
        <w:rPr>
          <w:sz w:val="20"/>
        </w:rPr>
      </w:pPr>
      <w:bookmarkStart w:name="_bookmark179" w:id="181"/>
      <w:bookmarkEnd w:id="181"/>
      <w:r>
        <w:rPr/>
      </w:r>
      <w:hyperlink w:history="true" w:anchor="_bookmark101">
        <w:r>
          <w:rPr>
            <w:color w:val="005DA1"/>
            <w:spacing w:val="-4"/>
            <w:position w:val="5"/>
            <w:sz w:val="14"/>
            <w:u w:val="single" w:color="005DA1"/>
          </w:rPr>
          <w:t>89</w:t>
        </w:r>
      </w:hyperlink>
      <w:r>
        <w:rPr>
          <w:spacing w:val="-4"/>
          <w:position w:val="5"/>
          <w:sz w:val="14"/>
        </w:rPr>
        <w:t>.</w:t>
      </w:r>
      <w:r>
        <w:rPr>
          <w:position w:val="5"/>
          <w:sz w:val="14"/>
        </w:rPr>
        <w:tab/>
      </w:r>
      <w:r>
        <w:rPr>
          <w:sz w:val="20"/>
        </w:rPr>
        <w:t>Such problems can arise in relation to “forwarding agents” see, e.g. </w:t>
      </w:r>
      <w:r>
        <w:rPr>
          <w:rFonts w:ascii="Arial" w:hAnsi="Arial"/>
          <w:i/>
          <w:sz w:val="20"/>
        </w:rPr>
        <w:t>Jones v European General Express (1920) 25 Com.Cas. 296</w:t>
      </w:r>
      <w:r>
        <w:rPr>
          <w:sz w:val="20"/>
        </w:rPr>
        <w:t>; </w:t>
      </w:r>
      <w:r>
        <w:rPr>
          <w:rFonts w:ascii="Arial" w:hAnsi="Arial"/>
          <w:i/>
          <w:sz w:val="20"/>
        </w:rPr>
        <w:t>Elektronska, etc. v Transped, etc. [1986] 1 Lloyd’s Rep. 49</w:t>
      </w:r>
      <w:r>
        <w:rPr>
          <w:sz w:val="20"/>
        </w:rPr>
        <w:t>.</w:t>
      </w:r>
    </w:p>
    <w:p>
      <w:pPr>
        <w:pStyle w:val="BodyText"/>
        <w:spacing w:before="9"/>
      </w:pPr>
    </w:p>
    <w:p>
      <w:pPr>
        <w:spacing w:line="235" w:lineRule="auto" w:before="0"/>
        <w:ind w:left="705" w:right="168" w:hanging="541"/>
        <w:jc w:val="both"/>
        <w:rPr>
          <w:sz w:val="20"/>
        </w:rPr>
      </w:pPr>
      <w:bookmarkStart w:name="_bookmark180" w:id="182"/>
      <w:bookmarkEnd w:id="182"/>
      <w:r>
        <w:rPr/>
      </w:r>
      <w:hyperlink w:history="true" w:anchor="_bookmark102">
        <w:r>
          <w:rPr>
            <w:color w:val="005DA1"/>
            <w:position w:val="5"/>
            <w:sz w:val="14"/>
            <w:u w:val="single" w:color="005DA1"/>
          </w:rPr>
          <w:t>90</w:t>
        </w:r>
      </w:hyperlink>
      <w:r>
        <w:rPr>
          <w:position w:val="5"/>
          <w:sz w:val="14"/>
        </w:rPr>
        <w:t>.</w:t>
      </w:r>
      <w:r>
        <w:rPr>
          <w:spacing w:val="80"/>
          <w:w w:val="150"/>
          <w:position w:val="5"/>
          <w:sz w:val="14"/>
        </w:rPr>
        <w:t>  </w:t>
      </w:r>
      <w:r>
        <w:rPr>
          <w:rFonts w:ascii="Arial" w:hAnsi="Arial"/>
          <w:i/>
          <w:sz w:val="20"/>
        </w:rPr>
        <w:t>Henderson v Merrett Syndicates Ltd [1995] 2 A.C. 145</w:t>
      </w:r>
      <w:r>
        <w:rPr>
          <w:sz w:val="20"/>
        </w:rPr>
        <w:t>; </w:t>
      </w:r>
      <w:r>
        <w:rPr>
          <w:rFonts w:ascii="Arial" w:hAnsi="Arial"/>
          <w:i/>
          <w:sz w:val="20"/>
        </w:rPr>
        <w:t>Grosvenor Casinos Ltd v National </w:t>
      </w:r>
      <w:r>
        <w:rPr>
          <w:rFonts w:ascii="Arial" w:hAnsi="Arial"/>
          <w:i/>
          <w:sz w:val="20"/>
        </w:rPr>
        <w:t>Bank of Abu Dhabi [2008] EWHC 511 (Comm), [2008] 2 Lloyd’s Rep. 1 </w:t>
      </w:r>
      <w:r>
        <w:rPr>
          <w:sz w:val="20"/>
        </w:rPr>
        <w:t>at [147]–[149]; see generally, Vol.II, Ch.31.</w:t>
      </w:r>
    </w:p>
    <w:p>
      <w:pPr>
        <w:pStyle w:val="BodyText"/>
        <w:spacing w:before="9"/>
      </w:pPr>
    </w:p>
    <w:p>
      <w:pPr>
        <w:spacing w:line="235" w:lineRule="auto" w:before="0"/>
        <w:ind w:left="705" w:right="167" w:hanging="541"/>
        <w:jc w:val="both"/>
        <w:rPr>
          <w:sz w:val="20"/>
        </w:rPr>
      </w:pPr>
      <w:bookmarkStart w:name="_bookmark181" w:id="183"/>
      <w:bookmarkEnd w:id="183"/>
      <w:r>
        <w:rPr/>
      </w:r>
      <w:hyperlink w:history="true" w:anchor="_bookmark103">
        <w:r>
          <w:rPr>
            <w:color w:val="005DA1"/>
            <w:position w:val="5"/>
            <w:sz w:val="14"/>
            <w:u w:val="single" w:color="005DA1"/>
          </w:rPr>
          <w:t>91</w:t>
        </w:r>
      </w:hyperlink>
      <w:r>
        <w:rPr>
          <w:position w:val="5"/>
          <w:sz w:val="14"/>
        </w:rPr>
        <w:t>.</w:t>
      </w:r>
      <w:r>
        <w:rPr>
          <w:spacing w:val="80"/>
          <w:position w:val="5"/>
          <w:sz w:val="14"/>
        </w:rPr>
        <w:t>  </w:t>
      </w:r>
      <w:r>
        <w:rPr>
          <w:rFonts w:ascii="Arial" w:hAnsi="Arial"/>
          <w:i/>
          <w:sz w:val="20"/>
        </w:rPr>
        <w:t>Halifax Building Society v Edell [1992] Ch. 436</w:t>
      </w:r>
      <w:r>
        <w:rPr>
          <w:sz w:val="20"/>
        </w:rPr>
        <w:t>. Nor could the borrower enforce a term of the valuer’s employment contract by virtue of the Contracts (Rights of Third Parties) Act 1999: see s.6(3), below para.18-118. But it has been held that a valuer who had acted as an agent </w:t>
      </w:r>
      <w:r>
        <w:rPr>
          <w:sz w:val="20"/>
        </w:rPr>
        <w:t>for another, whether as an employee or not, would not be personally liable in tort to a </w:t>
      </w:r>
      <w:r>
        <w:rPr>
          <w:rFonts w:ascii="Arial" w:hAnsi="Arial"/>
          <w:i/>
          <w:sz w:val="20"/>
        </w:rPr>
        <w:t>lender </w:t>
      </w:r>
      <w:r>
        <w:rPr>
          <w:sz w:val="20"/>
        </w:rPr>
        <w:t>who had suffered loss by reason of the inaccuracy of the valuation (resulting from his carelessness) unless the valuer had indicated that he was prepared to “assume” personal liability for such</w:t>
      </w:r>
      <w:r>
        <w:rPr>
          <w:spacing w:val="40"/>
          <w:sz w:val="20"/>
        </w:rPr>
        <w:t> </w:t>
      </w:r>
      <w:r>
        <w:rPr>
          <w:sz w:val="20"/>
        </w:rPr>
        <w:t>loss: </w:t>
      </w:r>
      <w:r>
        <w:rPr>
          <w:rFonts w:ascii="Arial" w:hAnsi="Arial"/>
          <w:i/>
          <w:sz w:val="20"/>
        </w:rPr>
        <w:t>Bush v Summit Advances Ltd [2015] EWHC 665 (QB), [2015] P.N.L.R. 18 </w:t>
      </w:r>
      <w:r>
        <w:rPr>
          <w:sz w:val="20"/>
        </w:rPr>
        <w:t>at [32],</w:t>
      </w:r>
      <w:r>
        <w:rPr>
          <w:spacing w:val="40"/>
          <w:sz w:val="20"/>
        </w:rPr>
        <w:t> </w:t>
      </w:r>
      <w:r>
        <w:rPr>
          <w:sz w:val="20"/>
        </w:rPr>
        <w:t>following the principles stated by Lord Steyn in </w:t>
      </w:r>
      <w:r>
        <w:rPr>
          <w:rFonts w:ascii="Arial" w:hAnsi="Arial"/>
          <w:i/>
          <w:sz w:val="20"/>
        </w:rPr>
        <w:t>Williams v Natural Life Foods [1998] 1 W.L.R. 830</w:t>
      </w:r>
      <w:r>
        <w:rPr>
          <w:sz w:val="20"/>
        </w:rPr>
        <w:t>, cited in the </w:t>
      </w:r>
      <w:r>
        <w:rPr>
          <w:rFonts w:ascii="Arial" w:hAnsi="Arial"/>
          <w:i/>
          <w:sz w:val="20"/>
        </w:rPr>
        <w:t>Bush </w:t>
      </w:r>
      <w:r>
        <w:rPr>
          <w:sz w:val="20"/>
        </w:rPr>
        <w:t>case, above, at [31] and discussed in this book in paras 1-213, 1-214 </w:t>
      </w:r>
      <w:r>
        <w:rPr>
          <w:spacing w:val="-2"/>
          <w:sz w:val="20"/>
        </w:rPr>
        <w:t>above.</w:t>
      </w:r>
    </w:p>
    <w:p>
      <w:pPr>
        <w:spacing w:after="0" w:line="235" w:lineRule="auto"/>
        <w:jc w:val="both"/>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04">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Halifax</w:t>
      </w:r>
      <w:r>
        <w:rPr>
          <w:rFonts w:ascii="Arial"/>
          <w:i/>
          <w:spacing w:val="-1"/>
          <w:sz w:val="20"/>
        </w:rPr>
        <w:t> </w:t>
      </w:r>
      <w:r>
        <w:rPr>
          <w:rFonts w:ascii="Arial"/>
          <w:i/>
          <w:sz w:val="20"/>
        </w:rPr>
        <w:t>Building Society v Edell</w:t>
      </w:r>
      <w:r>
        <w:rPr>
          <w:sz w:val="20"/>
        </w:rPr>
        <w:t>, above n.89, at </w:t>
      </w:r>
      <w:r>
        <w:rPr>
          <w:spacing w:val="-4"/>
          <w:sz w:val="20"/>
        </w:rPr>
        <w:t>454.</w:t>
      </w:r>
    </w:p>
    <w:p>
      <w:pPr>
        <w:pStyle w:val="BodyText"/>
        <w:spacing w:before="5"/>
      </w:pPr>
    </w:p>
    <w:p>
      <w:pPr>
        <w:tabs>
          <w:tab w:pos="705" w:val="left" w:leader="none"/>
        </w:tabs>
        <w:spacing w:before="0"/>
        <w:ind w:left="165" w:right="0" w:firstLine="0"/>
        <w:jc w:val="left"/>
        <w:rPr>
          <w:sz w:val="20"/>
        </w:rPr>
      </w:pPr>
      <w:bookmarkStart w:name="_bookmark182" w:id="184"/>
      <w:bookmarkEnd w:id="184"/>
      <w:r>
        <w:rPr/>
      </w:r>
      <w:hyperlink w:history="true" w:anchor="_bookmark105">
        <w:r>
          <w:rPr>
            <w:color w:val="005DA1"/>
            <w:spacing w:val="-5"/>
            <w:position w:val="5"/>
            <w:sz w:val="14"/>
            <w:u w:val="single" w:color="005DA1"/>
          </w:rPr>
          <w:t>93</w:t>
        </w:r>
      </w:hyperlink>
      <w:r>
        <w:rPr>
          <w:spacing w:val="-5"/>
          <w:position w:val="5"/>
          <w:sz w:val="14"/>
        </w:rPr>
        <w:t>.</w:t>
      </w:r>
      <w:r>
        <w:rPr>
          <w:position w:val="5"/>
          <w:sz w:val="14"/>
        </w:rPr>
        <w:tab/>
      </w:r>
      <w:r>
        <w:rPr>
          <w:sz w:val="20"/>
        </w:rPr>
        <w:t>See</w:t>
      </w:r>
      <w:r>
        <w:rPr>
          <w:spacing w:val="-1"/>
          <w:sz w:val="20"/>
        </w:rPr>
        <w:t> </w:t>
      </w:r>
      <w:r>
        <w:rPr>
          <w:rFonts w:ascii="Arial"/>
          <w:i/>
          <w:sz w:val="20"/>
        </w:rPr>
        <w:t>Smith v Eric S. Bush [1990] 1 A.C. </w:t>
      </w:r>
      <w:r>
        <w:rPr>
          <w:rFonts w:ascii="Arial"/>
          <w:i/>
          <w:spacing w:val="-4"/>
          <w:sz w:val="20"/>
        </w:rPr>
        <w:t>831</w:t>
      </w:r>
      <w:r>
        <w:rPr>
          <w:spacing w:val="-4"/>
          <w:sz w:val="20"/>
        </w:rPr>
        <w:t>.</w:t>
      </w:r>
    </w:p>
    <w:p>
      <w:pPr>
        <w:pStyle w:val="BodyText"/>
        <w:spacing w:before="5"/>
      </w:pPr>
    </w:p>
    <w:p>
      <w:pPr>
        <w:pStyle w:val="BodyText"/>
        <w:tabs>
          <w:tab w:pos="705" w:val="left" w:leader="none"/>
        </w:tabs>
        <w:ind w:left="165"/>
      </w:pPr>
      <w:bookmarkStart w:name="_bookmark183" w:id="185"/>
      <w:bookmarkEnd w:id="185"/>
      <w:r>
        <w:rPr/>
      </w:r>
      <w:hyperlink w:history="true" w:anchor="_bookmark106">
        <w:r>
          <w:rPr>
            <w:color w:val="005DA1"/>
            <w:spacing w:val="-5"/>
            <w:position w:val="5"/>
            <w:sz w:val="14"/>
            <w:u w:val="single" w:color="005DA1"/>
          </w:rPr>
          <w:t>94</w:t>
        </w:r>
      </w:hyperlink>
      <w:r>
        <w:rPr>
          <w:spacing w:val="-5"/>
          <w:position w:val="5"/>
          <w:sz w:val="14"/>
        </w:rPr>
        <w:t>.</w:t>
      </w:r>
      <w:r>
        <w:rPr>
          <w:position w:val="5"/>
          <w:sz w:val="14"/>
        </w:rPr>
        <w:tab/>
      </w:r>
      <w:r>
        <w:rPr/>
        <w:t>cf. above, para.2-</w:t>
      </w:r>
      <w:r>
        <w:rPr>
          <w:spacing w:val="-4"/>
        </w:rPr>
        <w:t>190.</w:t>
      </w:r>
    </w:p>
    <w:p>
      <w:pPr>
        <w:pStyle w:val="BodyText"/>
        <w:spacing w:before="5"/>
      </w:pPr>
    </w:p>
    <w:p>
      <w:pPr>
        <w:tabs>
          <w:tab w:pos="705" w:val="left" w:leader="none"/>
        </w:tabs>
        <w:spacing w:before="0"/>
        <w:ind w:left="165" w:right="0" w:firstLine="0"/>
        <w:jc w:val="left"/>
        <w:rPr>
          <w:sz w:val="20"/>
        </w:rPr>
      </w:pPr>
      <w:bookmarkStart w:name="_bookmark184" w:id="186"/>
      <w:bookmarkEnd w:id="186"/>
      <w:r>
        <w:rPr/>
      </w:r>
      <w:hyperlink w:history="true" w:anchor="_bookmark107">
        <w:r>
          <w:rPr>
            <w:color w:val="005DA1"/>
            <w:spacing w:val="-5"/>
            <w:position w:val="5"/>
            <w:sz w:val="14"/>
            <w:u w:val="single" w:color="005DA1"/>
          </w:rPr>
          <w:t>95</w:t>
        </w:r>
      </w:hyperlink>
      <w:r>
        <w:rPr>
          <w:spacing w:val="-5"/>
          <w:position w:val="5"/>
          <w:sz w:val="14"/>
        </w:rPr>
        <w:t>.</w:t>
      </w:r>
      <w:r>
        <w:rPr>
          <w:position w:val="5"/>
          <w:sz w:val="14"/>
        </w:rPr>
        <w:tab/>
      </w:r>
      <w:r>
        <w:rPr>
          <w:rFonts w:ascii="Arial"/>
          <w:i/>
          <w:sz w:val="20"/>
        </w:rPr>
        <w:t>Halifax Building Society v Edell [1992] Ch. 436, </w:t>
      </w:r>
      <w:r>
        <w:rPr>
          <w:rFonts w:ascii="Arial"/>
          <w:i/>
          <w:spacing w:val="-4"/>
          <w:sz w:val="20"/>
        </w:rPr>
        <w:t>454</w:t>
      </w:r>
      <w:r>
        <w:rPr>
          <w:spacing w:val="-4"/>
          <w:sz w:val="20"/>
        </w:rPr>
        <w:t>.</w:t>
      </w:r>
    </w:p>
    <w:p>
      <w:pPr>
        <w:pStyle w:val="BodyText"/>
        <w:spacing w:before="5"/>
      </w:pPr>
    </w:p>
    <w:p>
      <w:pPr>
        <w:pStyle w:val="BodyText"/>
        <w:tabs>
          <w:tab w:pos="705" w:val="left" w:leader="none"/>
        </w:tabs>
        <w:ind w:left="165"/>
      </w:pPr>
      <w:bookmarkStart w:name="_bookmark185" w:id="187"/>
      <w:bookmarkEnd w:id="187"/>
      <w:r>
        <w:rPr/>
      </w:r>
      <w:hyperlink w:history="true" w:anchor="_bookmark108">
        <w:r>
          <w:rPr>
            <w:color w:val="005DA1"/>
            <w:spacing w:val="-5"/>
            <w:position w:val="5"/>
            <w:sz w:val="14"/>
            <w:u w:val="single" w:color="005DA1"/>
          </w:rPr>
          <w:t>96</w:t>
        </w:r>
      </w:hyperlink>
      <w:r>
        <w:rPr>
          <w:spacing w:val="-5"/>
          <w:position w:val="5"/>
          <w:sz w:val="14"/>
        </w:rPr>
        <w:t>.</w:t>
      </w:r>
      <w:r>
        <w:rPr>
          <w:position w:val="5"/>
          <w:sz w:val="14"/>
        </w:rPr>
        <w:tab/>
      </w:r>
      <w:r>
        <w:rPr/>
        <w:t>Above, para.4-</w:t>
      </w:r>
      <w:r>
        <w:rPr>
          <w:spacing w:val="-4"/>
        </w:rPr>
        <w:t>074.</w:t>
      </w:r>
    </w:p>
    <w:p>
      <w:pPr>
        <w:pStyle w:val="BodyText"/>
        <w:spacing w:before="5"/>
      </w:pPr>
    </w:p>
    <w:p>
      <w:pPr>
        <w:pStyle w:val="BodyText"/>
        <w:tabs>
          <w:tab w:pos="705" w:val="left" w:leader="none"/>
        </w:tabs>
        <w:ind w:left="165"/>
      </w:pPr>
      <w:bookmarkStart w:name="_bookmark186" w:id="188"/>
      <w:bookmarkEnd w:id="188"/>
      <w:r>
        <w:rPr/>
      </w:r>
      <w:hyperlink w:history="true" w:anchor="_bookmark109">
        <w:r>
          <w:rPr>
            <w:color w:val="005DA1"/>
            <w:spacing w:val="-5"/>
            <w:position w:val="5"/>
            <w:sz w:val="14"/>
            <w:u w:val="single" w:color="005DA1"/>
          </w:rPr>
          <w:t>97</w:t>
        </w:r>
      </w:hyperlink>
      <w:r>
        <w:rPr>
          <w:spacing w:val="-5"/>
          <w:position w:val="5"/>
          <w:sz w:val="14"/>
        </w:rPr>
        <w:t>.</w:t>
      </w:r>
      <w:r>
        <w:rPr>
          <w:position w:val="5"/>
          <w:sz w:val="14"/>
        </w:rPr>
        <w:tab/>
      </w:r>
      <w:r>
        <w:rPr/>
        <w:t>Above, para.4-</w:t>
      </w:r>
      <w:r>
        <w:rPr>
          <w:spacing w:val="-4"/>
        </w:rPr>
        <w:t>040.</w:t>
      </w:r>
    </w:p>
    <w:p>
      <w:pPr>
        <w:pStyle w:val="BodyText"/>
        <w:spacing w:before="5"/>
      </w:pPr>
    </w:p>
    <w:p>
      <w:pPr>
        <w:pStyle w:val="BodyText"/>
        <w:tabs>
          <w:tab w:pos="705" w:val="left" w:leader="none"/>
        </w:tabs>
        <w:ind w:left="165"/>
      </w:pPr>
      <w:bookmarkStart w:name="_bookmark187" w:id="189"/>
      <w:bookmarkEnd w:id="189"/>
      <w:r>
        <w:rPr/>
      </w:r>
      <w:hyperlink w:history="true" w:anchor="_bookmark110">
        <w:r>
          <w:rPr>
            <w:color w:val="005DA1"/>
            <w:spacing w:val="-5"/>
            <w:position w:val="5"/>
            <w:sz w:val="14"/>
            <w:u w:val="single" w:color="005DA1"/>
          </w:rPr>
          <w:t>98</w:t>
        </w:r>
      </w:hyperlink>
      <w:r>
        <w:rPr>
          <w:spacing w:val="-5"/>
          <w:position w:val="5"/>
          <w:sz w:val="14"/>
        </w:rPr>
        <w:t>.</w:t>
      </w:r>
      <w:r>
        <w:rPr>
          <w:position w:val="5"/>
          <w:sz w:val="14"/>
        </w:rPr>
        <w:tab/>
      </w:r>
      <w:r>
        <w:rPr/>
        <w:t>Above, para.4-</w:t>
      </w:r>
      <w:r>
        <w:rPr>
          <w:spacing w:val="-4"/>
        </w:rPr>
        <w:t>026.</w:t>
      </w:r>
    </w:p>
    <w:p>
      <w:pPr>
        <w:pStyle w:val="BodyText"/>
        <w:spacing w:before="5"/>
      </w:pPr>
    </w:p>
    <w:p>
      <w:pPr>
        <w:tabs>
          <w:tab w:pos="705" w:val="left" w:leader="none"/>
        </w:tabs>
        <w:spacing w:before="0"/>
        <w:ind w:left="165" w:right="0" w:firstLine="0"/>
        <w:jc w:val="left"/>
        <w:rPr>
          <w:sz w:val="20"/>
        </w:rPr>
      </w:pPr>
      <w:bookmarkStart w:name="_bookmark188" w:id="190"/>
      <w:bookmarkEnd w:id="190"/>
      <w:r>
        <w:rPr/>
      </w:r>
      <w:hyperlink w:history="true" w:anchor="_bookmark111">
        <w:r>
          <w:rPr>
            <w:color w:val="005DA1"/>
            <w:spacing w:val="-5"/>
            <w:position w:val="5"/>
            <w:sz w:val="14"/>
            <w:u w:val="single" w:color="005DA1"/>
          </w:rPr>
          <w:t>99</w:t>
        </w:r>
      </w:hyperlink>
      <w:r>
        <w:rPr>
          <w:spacing w:val="-5"/>
          <w:position w:val="5"/>
          <w:sz w:val="14"/>
        </w:rPr>
        <w:t>.</w:t>
      </w:r>
      <w:r>
        <w:rPr>
          <w:position w:val="5"/>
          <w:sz w:val="14"/>
        </w:rPr>
        <w:tab/>
      </w:r>
      <w:r>
        <w:rPr>
          <w:sz w:val="20"/>
        </w:rPr>
        <w:t>Above, at </w:t>
      </w:r>
      <w:r>
        <w:rPr>
          <w:spacing w:val="-2"/>
          <w:sz w:val="20"/>
        </w:rPr>
        <w:t>n.90.</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46848">
                <wp:simplePos x="0" y="0"/>
                <wp:positionH relativeFrom="page">
                  <wp:posOffset>4703826</wp:posOffset>
                </wp:positionH>
                <wp:positionV relativeFrom="paragraph">
                  <wp:posOffset>377436</wp:posOffset>
                </wp:positionV>
                <wp:extent cx="425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9632"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2. - The Common Law </w:t>
      </w:r>
      <w:r>
        <w:rPr>
          <w:rFonts w:ascii="Arial"/>
          <w:b/>
          <w:spacing w:val="-2"/>
          <w:sz w:val="24"/>
        </w:rPr>
        <w:t>Doctrine</w:t>
      </w:r>
    </w:p>
    <w:p>
      <w:pPr>
        <w:pStyle w:val="ListParagraph"/>
        <w:numPr>
          <w:ilvl w:val="0"/>
          <w:numId w:val="1"/>
        </w:numPr>
        <w:tabs>
          <w:tab w:pos="3285" w:val="left" w:leader="none"/>
        </w:tabs>
        <w:spacing w:line="240" w:lineRule="auto" w:before="194" w:after="0"/>
        <w:ind w:left="3285" w:right="0" w:hanging="373"/>
        <w:jc w:val="left"/>
        <w:rPr>
          <w:b/>
          <w:sz w:val="24"/>
        </w:rPr>
      </w:pPr>
      <w:r>
        <w:rPr>
          <w:b/>
          <w:sz w:val="24"/>
        </w:rPr>
        <w:t>- Party to the </w:t>
      </w:r>
      <w:r>
        <w:rPr>
          <w:b/>
          <w:spacing w:val="-2"/>
          <w:sz w:val="24"/>
        </w:rPr>
        <w:t>Consideration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189" w:id="191"/>
      <w:bookmarkEnd w:id="191"/>
      <w:r>
        <w:rPr/>
      </w:r>
      <w:r>
        <w:rPr>
          <w:rFonts w:ascii="Arial"/>
          <w:b/>
          <w:sz w:val="18"/>
        </w:rPr>
        <w:t>Relation to the rule that consideration must move from the promisee</w:t>
      </w:r>
      <w:r>
        <w:rPr>
          <w:rFonts w:ascii="Arial"/>
          <w:b/>
          <w:spacing w:val="-1"/>
          <w:sz w:val="18"/>
        </w:rPr>
        <w:t> </w:t>
      </w:r>
      <w:r>
        <w:rPr>
          <w:rFonts w:ascii="Arial"/>
          <w:b/>
          <w:color w:val="005DA1"/>
          <w:spacing w:val="-5"/>
          <w:sz w:val="18"/>
          <w:u w:val="single" w:color="005DA1"/>
          <w:vertAlign w:val="superscript"/>
        </w:rPr>
        <w:t>100</w:t>
      </w:r>
    </w:p>
    <w:p>
      <w:pPr>
        <w:pStyle w:val="BodyText"/>
        <w:spacing w:before="41"/>
        <w:rPr>
          <w:rFonts w:ascii="Arial"/>
          <w:b/>
          <w:sz w:val="18"/>
        </w:rPr>
      </w:pPr>
    </w:p>
    <w:p>
      <w:pPr>
        <w:pStyle w:val="Heading2"/>
      </w:pPr>
      <w:r>
        <w:rPr/>
        <w:t>18-</w:t>
      </w:r>
      <w:r>
        <w:rPr>
          <w:spacing w:val="-5"/>
        </w:rPr>
        <w:t>018</w:t>
      </w:r>
    </w:p>
    <w:p>
      <w:pPr>
        <w:pStyle w:val="BodyText"/>
        <w:spacing w:line="235" w:lineRule="auto" w:before="203"/>
        <w:ind w:left="164" w:right="167"/>
        <w:jc w:val="both"/>
      </w:pPr>
      <w:bookmarkStart w:name="_bookmark190" w:id="192"/>
      <w:bookmarkEnd w:id="192"/>
      <w:r>
        <w:rPr/>
      </w:r>
      <w:r>
        <w:rPr/>
        <w:t>It is disputed whether the rule that consideration must move from the promisee is the same as </w:t>
      </w:r>
      <w:r>
        <w:rPr/>
        <w:t>or different from the common law rule that only a party to the agreement can enforce it. </w:t>
      </w:r>
      <w:r>
        <w:rPr>
          <w:color w:val="005DA1"/>
          <w:u w:val="single" w:color="005DA1"/>
          <w:vertAlign w:val="superscript"/>
        </w:rPr>
        <w:t>101</w:t>
      </w:r>
      <w:r>
        <w:rPr>
          <w:color w:val="005DA1"/>
          <w:vertAlign w:val="baseline"/>
        </w:rPr>
        <w:t> </w:t>
      </w:r>
      <w:r>
        <w:rPr>
          <w:vertAlign w:val="baseline"/>
        </w:rPr>
        <w:t>In the English </w:t>
      </w:r>
      <w:bookmarkStart w:name="_bookmark191" w:id="193"/>
      <w:bookmarkEnd w:id="193"/>
      <w:r>
        <w:rPr>
          <w:vertAlign w:val="baseline"/>
        </w:rPr>
        <w:t>cases</w:t>
      </w:r>
      <w:r>
        <w:rPr>
          <w:vertAlign w:val="baseline"/>
        </w:rPr>
        <w:t> the two rules have always led to the same result, which the judges have sometimes based on the first rule </w:t>
      </w:r>
      <w:r>
        <w:rPr>
          <w:color w:val="005DA1"/>
          <w:u w:val="single" w:color="005DA1"/>
          <w:vertAlign w:val="superscript"/>
        </w:rPr>
        <w:t>102</w:t>
      </w:r>
      <w:r>
        <w:rPr>
          <w:color w:val="005DA1"/>
          <w:vertAlign w:val="baseline"/>
        </w:rPr>
        <w:t> </w:t>
      </w:r>
      <w:r>
        <w:rPr>
          <w:vertAlign w:val="baseline"/>
        </w:rPr>
        <w:t>and sometimes on the second. </w:t>
      </w:r>
      <w:r>
        <w:rPr>
          <w:color w:val="005DA1"/>
          <w:u w:val="single" w:color="005DA1"/>
          <w:vertAlign w:val="superscript"/>
        </w:rPr>
        <w:t>103</w:t>
      </w:r>
      <w:r>
        <w:rPr>
          <w:color w:val="005DA1"/>
          <w:vertAlign w:val="baseline"/>
        </w:rPr>
        <w:t> </w:t>
      </w:r>
      <w:r>
        <w:rPr>
          <w:vertAlign w:val="baseline"/>
        </w:rPr>
        <w:t>These are, it is submitted, separate requirements:</w:t>
      </w:r>
      <w:r>
        <w:rPr>
          <w:spacing w:val="40"/>
          <w:vertAlign w:val="baseline"/>
        </w:rPr>
        <w:t> </w:t>
      </w:r>
      <w:r>
        <w:rPr>
          <w:vertAlign w:val="baseline"/>
        </w:rPr>
        <w:t>to be entitled to enforce a promise, a person must (at common law) generally show (1) that it was made to him </w:t>
      </w:r>
      <w:r>
        <w:rPr>
          <w:rFonts w:ascii="Arial" w:hAnsi="Arial"/>
          <w:i/>
          <w:vertAlign w:val="baseline"/>
        </w:rPr>
        <w:t>and </w:t>
      </w:r>
      <w:r>
        <w:rPr>
          <w:vertAlign w:val="baseline"/>
        </w:rPr>
        <w:t>(2) that consideration for it moved from him. The statement that consideration must move </w:t>
      </w:r>
      <w:r>
        <w:rPr>
          <w:rFonts w:ascii="Arial" w:hAnsi="Arial"/>
          <w:i/>
          <w:vertAlign w:val="baseline"/>
        </w:rPr>
        <w:t>from the promisee </w:t>
      </w:r>
      <w:r>
        <w:rPr>
          <w:vertAlign w:val="baseline"/>
        </w:rPr>
        <w:t>simply assumes that the first requirement has been satisfied. If the rule were stated to be that consideration must move </w:t>
      </w:r>
      <w:r>
        <w:rPr>
          <w:rFonts w:ascii="Arial" w:hAnsi="Arial"/>
          <w:i/>
          <w:vertAlign w:val="baseline"/>
        </w:rPr>
        <w:t>from the party seeking to enforce the promise </w:t>
      </w:r>
      <w:r>
        <w:rPr>
          <w:vertAlign w:val="baseline"/>
        </w:rPr>
        <w:t>it would be clearly distinct from the rule that only a party to the agreement can sue. A man might, for example, promise his daughter to pay £1,000 to any man who married her. A person who married the daughter </w:t>
      </w:r>
      <w:bookmarkStart w:name="_bookmark192" w:id="194"/>
      <w:bookmarkEnd w:id="194"/>
      <w:r>
        <w:rPr>
          <w:vertAlign w:val="baseline"/>
        </w:rPr>
        <w:t>with</w:t>
      </w:r>
      <w:r>
        <w:rPr>
          <w:vertAlign w:val="baseline"/>
        </w:rPr>
        <w:t> knowledge of and in reliance on such a promise might provide consideration for it, but would not be entitled to enforce it, as it was not addressed to him. </w:t>
      </w:r>
      <w:r>
        <w:rPr>
          <w:color w:val="005DA1"/>
          <w:u w:val="single" w:color="005DA1"/>
          <w:vertAlign w:val="superscript"/>
        </w:rPr>
        <w:t>104</w:t>
      </w:r>
    </w:p>
    <w:p>
      <w:pPr>
        <w:pStyle w:val="BodyText"/>
        <w:spacing w:before="76"/>
      </w:pPr>
    </w:p>
    <w:p>
      <w:pPr>
        <w:pStyle w:val="Heading2"/>
        <w:spacing w:before="1"/>
      </w:pPr>
      <w:r>
        <w:rPr/>
        <w:t>18-</w:t>
      </w:r>
      <w:r>
        <w:rPr>
          <w:spacing w:val="-5"/>
        </w:rPr>
        <w:t>019</w:t>
      </w:r>
    </w:p>
    <w:p>
      <w:pPr>
        <w:pStyle w:val="BodyText"/>
        <w:spacing w:line="235" w:lineRule="auto" w:before="202"/>
        <w:ind w:left="165" w:right="167"/>
        <w:jc w:val="both"/>
      </w:pPr>
      <w:bookmarkStart w:name="_bookmark193" w:id="195"/>
      <w:bookmarkEnd w:id="195"/>
      <w:r>
        <w:rPr/>
      </w:r>
      <w:r>
        <w:rPr/>
        <w:t>In </w:t>
      </w:r>
      <w:r>
        <w:rPr>
          <w:rFonts w:ascii="Arial" w:hAnsi="Arial"/>
          <w:i/>
        </w:rPr>
        <w:t>Kepong Prospecting Ltd v Schmidt </w:t>
      </w:r>
      <w:r>
        <w:rPr>
          <w:color w:val="005DA1"/>
          <w:u w:val="single" w:color="005DA1"/>
          <w:vertAlign w:val="superscript"/>
        </w:rPr>
        <w:t>105</w:t>
      </w:r>
      <w:r>
        <w:rPr>
          <w:color w:val="005DA1"/>
          <w:vertAlign w:val="baseline"/>
        </w:rPr>
        <w:t> </w:t>
      </w:r>
      <w:r>
        <w:rPr>
          <w:vertAlign w:val="baseline"/>
        </w:rPr>
        <w:t>a third party made a claim to enforce a contract under the</w:t>
      </w:r>
      <w:r>
        <w:rPr>
          <w:spacing w:val="40"/>
          <w:vertAlign w:val="baseline"/>
        </w:rPr>
        <w:t> </w:t>
      </w:r>
      <w:r>
        <w:rPr>
          <w:vertAlign w:val="baseline"/>
        </w:rPr>
        <w:t>law of Malaysia, by which consideration need not move from the promisee. In rejecting the claim, </w:t>
      </w:r>
      <w:r>
        <w:rPr>
          <w:vertAlign w:val="baseline"/>
        </w:rPr>
        <w:t>the Privy Council said “It is true that s.2(d) of the Contracts Ordinance gives a wider definition of ‘consideration’ than that which applies in England, particularly in that it enables consideration to move </w:t>
      </w:r>
      <w:bookmarkStart w:name="_bookmark194" w:id="196"/>
      <w:bookmarkEnd w:id="196"/>
      <w:r>
        <w:rPr>
          <w:vertAlign w:val="baseline"/>
        </w:rPr>
        <w:t>from</w:t>
      </w:r>
      <w:r>
        <w:rPr>
          <w:vertAlign w:val="baseline"/>
        </w:rPr>
        <w:t> another person than the promisee, but the appellant was unable to show how this affected the law as to enforcement of contracts by third parties.” </w:t>
      </w:r>
      <w:r>
        <w:rPr>
          <w:color w:val="005DA1"/>
          <w:u w:val="single" w:color="005DA1"/>
          <w:vertAlign w:val="superscript"/>
        </w:rPr>
        <w:t>106</w:t>
      </w:r>
      <w:r>
        <w:rPr>
          <w:color w:val="005DA1"/>
          <w:vertAlign w:val="baseline"/>
        </w:rPr>
        <w:t> </w:t>
      </w:r>
      <w:r>
        <w:rPr>
          <w:vertAlign w:val="baseline"/>
        </w:rPr>
        <w:t>This decision seems therefore to support the view that the doctrine of privity is distinct from the rule that consideration must move from the </w:t>
      </w:r>
      <w:r>
        <w:rPr>
          <w:spacing w:val="-2"/>
          <w:vertAlign w:val="baseline"/>
        </w:rPr>
        <w:t>promisee.</w:t>
      </w:r>
    </w:p>
    <w:p>
      <w:pPr>
        <w:pStyle w:val="BodyText"/>
      </w:pPr>
    </w:p>
    <w:p>
      <w:pPr>
        <w:pStyle w:val="BodyText"/>
        <w:spacing w:before="36"/>
      </w:pPr>
    </w:p>
    <w:p>
      <w:pPr>
        <w:spacing w:before="0"/>
        <w:ind w:left="165" w:right="0" w:firstLine="0"/>
        <w:jc w:val="both"/>
        <w:rPr>
          <w:rFonts w:ascii="Arial"/>
          <w:b/>
          <w:sz w:val="18"/>
        </w:rPr>
      </w:pPr>
      <w:r>
        <w:rPr>
          <w:rFonts w:ascii="Arial"/>
          <w:b/>
          <w:sz w:val="18"/>
        </w:rPr>
        <w:t>Promises made to more than one </w:t>
      </w:r>
      <w:r>
        <w:rPr>
          <w:rFonts w:ascii="Arial"/>
          <w:b/>
          <w:spacing w:val="-2"/>
          <w:sz w:val="18"/>
        </w:rPr>
        <w:t>person</w:t>
      </w:r>
    </w:p>
    <w:p>
      <w:pPr>
        <w:pStyle w:val="BodyText"/>
        <w:spacing w:before="41"/>
        <w:rPr>
          <w:rFonts w:ascii="Arial"/>
          <w:b/>
          <w:sz w:val="18"/>
        </w:rPr>
      </w:pPr>
    </w:p>
    <w:p>
      <w:pPr>
        <w:pStyle w:val="Heading2"/>
      </w:pPr>
      <w:r>
        <w:rPr/>
        <w:t>18-</w:t>
      </w:r>
      <w:r>
        <w:rPr>
          <w:spacing w:val="-5"/>
        </w:rPr>
        <w:t>020</w:t>
      </w:r>
    </w:p>
    <w:p>
      <w:pPr>
        <w:pStyle w:val="BodyText"/>
        <w:spacing w:line="235" w:lineRule="auto" w:before="203"/>
        <w:ind w:left="165" w:right="167"/>
        <w:jc w:val="both"/>
      </w:pPr>
      <w:r>
        <w:rPr/>
        <w:t>The doctrine of privity does not affect the enforceability by any promisee of promises made to a number of persons, whether jointly or severally or jointly and severally. The question whether one </w:t>
      </w:r>
      <w:r>
        <w:rPr/>
        <w:t>of </w:t>
      </w:r>
      <w:bookmarkStart w:name="_bookmark195" w:id="197"/>
      <w:bookmarkEnd w:id="197"/>
      <w:r>
        <w:rPr/>
        <w:t>the</w:t>
      </w:r>
      <w:r>
        <w:rPr/>
        <w:t> promisees can enforce such a promise if he has not provided any part of the consideration for it has been discussed in Chapter 4. </w:t>
      </w:r>
      <w:r>
        <w:rPr>
          <w:color w:val="005DA1"/>
          <w:u w:val="single" w:color="005DA1"/>
          <w:vertAlign w:val="superscript"/>
        </w:rPr>
        <w:t>107</w:t>
      </w:r>
    </w:p>
    <w:p>
      <w:pPr>
        <w:pStyle w:val="BodyText"/>
      </w:pPr>
    </w:p>
    <w:p>
      <w:pPr>
        <w:pStyle w:val="BodyText"/>
        <w:spacing w:before="38"/>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185673</wp:posOffset>
                </wp:positionV>
                <wp:extent cx="572452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9985pt;width:450.75pt;height:.1pt;mso-position-horizontal-relative:page;mso-position-vertical-relative:paragraph;z-index:-15714304;mso-wrap-distance-left:0;mso-wrap-distance-right:0" id="docshape9"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47360">
                <wp:simplePos x="0" y="0"/>
                <wp:positionH relativeFrom="page">
                  <wp:posOffset>914400</wp:posOffset>
                </wp:positionH>
                <wp:positionV relativeFrom="paragraph">
                  <wp:posOffset>97116</wp:posOffset>
                </wp:positionV>
                <wp:extent cx="4953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9120"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7"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spacing w:after="0" w:line="227" w:lineRule="exact"/>
        <w:jc w:val="left"/>
        <w:rPr>
          <w:sz w:val="20"/>
        </w:rPr>
        <w:sectPr>
          <w:headerReference w:type="default" r:id="rId9"/>
          <w:pgSz w:w="11900" w:h="16840"/>
          <w:pgMar w:header="971" w:footer="0" w:top="1160" w:bottom="280" w:left="1275" w:right="1275"/>
          <w:pgNumType w:start="1"/>
        </w:sectPr>
      </w:pPr>
    </w:p>
    <w:p>
      <w:pPr>
        <w:pStyle w:val="BodyText"/>
        <w:spacing w:before="81"/>
      </w:pPr>
    </w:p>
    <w:p>
      <w:pPr>
        <w:pStyle w:val="BodyText"/>
        <w:spacing w:line="227"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5"/>
      </w:pPr>
    </w:p>
    <w:p>
      <w:pPr>
        <w:tabs>
          <w:tab w:pos="705" w:val="left" w:leader="none"/>
        </w:tabs>
        <w:spacing w:before="0"/>
        <w:ind w:left="165" w:right="0" w:firstLine="0"/>
        <w:jc w:val="left"/>
        <w:rPr>
          <w:sz w:val="20"/>
        </w:rPr>
      </w:pPr>
      <w:bookmarkStart w:name="_bookmark196" w:id="198"/>
      <w:bookmarkEnd w:id="198"/>
      <w:r>
        <w:rPr/>
      </w:r>
      <w:hyperlink w:history="true" w:anchor="_bookmark189">
        <w:r>
          <w:rPr>
            <w:color w:val="005DA1"/>
            <w:spacing w:val="-4"/>
            <w:position w:val="5"/>
            <w:sz w:val="14"/>
            <w:u w:val="single" w:color="005DA1"/>
          </w:rPr>
          <w:t>100</w:t>
        </w:r>
      </w:hyperlink>
      <w:r>
        <w:rPr>
          <w:spacing w:val="-4"/>
          <w:position w:val="5"/>
          <w:sz w:val="14"/>
        </w:rPr>
        <w:t>.</w:t>
      </w:r>
      <w:r>
        <w:rPr>
          <w:position w:val="5"/>
          <w:sz w:val="14"/>
        </w:rPr>
        <w:tab/>
      </w:r>
      <w:r>
        <w:rPr>
          <w:sz w:val="20"/>
        </w:rPr>
        <w:t>Above, para.4-</w:t>
      </w:r>
      <w:r>
        <w:rPr>
          <w:spacing w:val="-4"/>
          <w:sz w:val="20"/>
        </w:rPr>
        <w:t>037.</w:t>
      </w:r>
    </w:p>
    <w:p>
      <w:pPr>
        <w:pStyle w:val="BodyText"/>
        <w:spacing w:before="5"/>
      </w:pPr>
    </w:p>
    <w:p>
      <w:pPr>
        <w:pStyle w:val="BodyText"/>
        <w:tabs>
          <w:tab w:pos="705" w:val="left" w:leader="none"/>
        </w:tabs>
        <w:ind w:left="165"/>
      </w:pPr>
      <w:bookmarkStart w:name="_bookmark197" w:id="199"/>
      <w:bookmarkEnd w:id="199"/>
      <w:r>
        <w:rPr/>
      </w:r>
      <w:hyperlink w:history="true" w:anchor="_bookmark190">
        <w:r>
          <w:rPr>
            <w:color w:val="005DA1"/>
            <w:spacing w:val="-4"/>
            <w:position w:val="5"/>
            <w:sz w:val="14"/>
            <w:u w:val="single" w:color="005DA1"/>
          </w:rPr>
          <w:t>101</w:t>
        </w:r>
      </w:hyperlink>
      <w:r>
        <w:rPr>
          <w:spacing w:val="-4"/>
          <w:position w:val="5"/>
          <w:sz w:val="14"/>
        </w:rPr>
        <w:t>.</w:t>
      </w:r>
      <w:r>
        <w:rPr>
          <w:position w:val="5"/>
          <w:sz w:val="14"/>
        </w:rPr>
        <w:tab/>
      </w:r>
      <w:r>
        <w:rPr/>
        <w:t>Furmston (1960) 23 M.L.R. at </w:t>
      </w:r>
      <w:r>
        <w:rPr>
          <w:spacing w:val="-2"/>
        </w:rPr>
        <w:t>383–384.</w:t>
      </w:r>
    </w:p>
    <w:p>
      <w:pPr>
        <w:pStyle w:val="BodyText"/>
        <w:spacing w:before="5"/>
      </w:pPr>
    </w:p>
    <w:p>
      <w:pPr>
        <w:tabs>
          <w:tab w:pos="705" w:val="left" w:leader="none"/>
        </w:tabs>
        <w:spacing w:before="0"/>
        <w:ind w:left="165" w:right="0" w:firstLine="0"/>
        <w:jc w:val="left"/>
        <w:rPr>
          <w:sz w:val="20"/>
        </w:rPr>
      </w:pPr>
      <w:bookmarkStart w:name="_bookmark198" w:id="200"/>
      <w:bookmarkEnd w:id="200"/>
      <w:r>
        <w:rPr/>
      </w:r>
      <w:hyperlink w:history="true" w:anchor="_bookmark191">
        <w:r>
          <w:rPr>
            <w:color w:val="005DA1"/>
            <w:spacing w:val="-4"/>
            <w:position w:val="5"/>
            <w:sz w:val="14"/>
            <w:u w:val="single" w:color="005DA1"/>
          </w:rPr>
          <w:t>102</w:t>
        </w:r>
      </w:hyperlink>
      <w:r>
        <w:rPr>
          <w:spacing w:val="-4"/>
          <w:position w:val="5"/>
          <w:sz w:val="14"/>
        </w:rPr>
        <w:t>.</w:t>
      </w:r>
      <w:r>
        <w:rPr>
          <w:position w:val="5"/>
          <w:sz w:val="14"/>
        </w:rPr>
        <w:tab/>
      </w:r>
      <w:r>
        <w:rPr>
          <w:sz w:val="20"/>
        </w:rPr>
        <w:t>See</w:t>
      </w:r>
      <w:r>
        <w:rPr>
          <w:spacing w:val="-1"/>
          <w:sz w:val="20"/>
        </w:rPr>
        <w:t> </w:t>
      </w:r>
      <w:r>
        <w:rPr>
          <w:rFonts w:ascii="Arial"/>
          <w:i/>
          <w:sz w:val="20"/>
        </w:rPr>
        <w:t>Tweddle v Atkinson (1861) 1 B. &amp; S. </w:t>
      </w:r>
      <w:r>
        <w:rPr>
          <w:rFonts w:ascii="Arial"/>
          <w:i/>
          <w:spacing w:val="-4"/>
          <w:sz w:val="20"/>
        </w:rPr>
        <w:t>393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99" w:id="201"/>
      <w:bookmarkEnd w:id="201"/>
      <w:r>
        <w:rPr/>
      </w:r>
      <w:hyperlink w:history="true" w:anchor="_bookmark191">
        <w:r>
          <w:rPr>
            <w:color w:val="005DA1"/>
            <w:spacing w:val="-4"/>
            <w:position w:val="5"/>
            <w:sz w:val="14"/>
            <w:u w:val="single" w:color="005DA1"/>
          </w:rPr>
          <w:t>103</w:t>
        </w:r>
      </w:hyperlink>
      <w:r>
        <w:rPr>
          <w:spacing w:val="-4"/>
          <w:position w:val="5"/>
          <w:sz w:val="14"/>
        </w:rPr>
        <w:t>.</w:t>
      </w:r>
      <w:r>
        <w:rPr>
          <w:position w:val="5"/>
          <w:sz w:val="14"/>
        </w:rPr>
        <w:tab/>
      </w:r>
      <w:r>
        <w:rPr>
          <w:sz w:val="20"/>
        </w:rPr>
        <w:t>See</w:t>
      </w:r>
      <w:r>
        <w:rPr>
          <w:spacing w:val="-1"/>
          <w:sz w:val="20"/>
        </w:rPr>
        <w:t> </w:t>
      </w:r>
      <w:r>
        <w:rPr>
          <w:rFonts w:ascii="Arial"/>
          <w:i/>
          <w:sz w:val="20"/>
        </w:rPr>
        <w:t>Price v Easton (1833) 4 B. &amp; Ad. 433</w:t>
      </w:r>
      <w:r>
        <w:rPr>
          <w:rFonts w:ascii="Arial"/>
          <w:i/>
          <w:spacing w:val="-1"/>
          <w:sz w:val="20"/>
        </w:rPr>
        <w:t> </w:t>
      </w:r>
      <w:r>
        <w:rPr>
          <w:sz w:val="20"/>
        </w:rPr>
        <w:t>per Littledale and Patterson </w:t>
      </w:r>
      <w:r>
        <w:rPr>
          <w:spacing w:val="-5"/>
          <w:sz w:val="20"/>
        </w:rPr>
        <w:t>JJ.</w:t>
      </w:r>
    </w:p>
    <w:p>
      <w:pPr>
        <w:pStyle w:val="BodyText"/>
        <w:spacing w:before="5"/>
      </w:pPr>
    </w:p>
    <w:p>
      <w:pPr>
        <w:tabs>
          <w:tab w:pos="705" w:val="left" w:leader="none"/>
        </w:tabs>
        <w:spacing w:before="0"/>
        <w:ind w:left="165" w:right="0" w:firstLine="0"/>
        <w:jc w:val="left"/>
        <w:rPr>
          <w:sz w:val="20"/>
        </w:rPr>
      </w:pPr>
      <w:bookmarkStart w:name="_bookmark200" w:id="202"/>
      <w:bookmarkEnd w:id="202"/>
      <w:r>
        <w:rPr/>
      </w:r>
      <w:hyperlink w:history="true" w:anchor="_bookmark192">
        <w:r>
          <w:rPr>
            <w:color w:val="005DA1"/>
            <w:spacing w:val="-4"/>
            <w:position w:val="5"/>
            <w:sz w:val="14"/>
            <w:u w:val="single" w:color="005DA1"/>
          </w:rPr>
          <w:t>104</w:t>
        </w:r>
      </w:hyperlink>
      <w:r>
        <w:rPr>
          <w:spacing w:val="-4"/>
          <w:position w:val="5"/>
          <w:sz w:val="14"/>
        </w:rPr>
        <w:t>.</w:t>
      </w:r>
      <w:r>
        <w:rPr>
          <w:position w:val="5"/>
          <w:sz w:val="14"/>
        </w:rPr>
        <w:tab/>
      </w:r>
      <w:r>
        <w:rPr>
          <w:sz w:val="20"/>
        </w:rPr>
        <w:t>cf. </w:t>
      </w:r>
      <w:r>
        <w:rPr>
          <w:rFonts w:ascii="Arial"/>
          <w:i/>
          <w:sz w:val="20"/>
        </w:rPr>
        <w:t>Uddin v Ahmed [2001] EWCA Civ 204; [2001] 3 F.C.R. 300</w:t>
      </w:r>
      <w:r>
        <w:rPr>
          <w:rFonts w:ascii="Arial"/>
          <w:i/>
          <w:spacing w:val="-1"/>
          <w:sz w:val="20"/>
        </w:rPr>
        <w:t> </w:t>
      </w:r>
      <w:r>
        <w:rPr>
          <w:sz w:val="20"/>
        </w:rPr>
        <w:t>at </w:t>
      </w:r>
      <w:r>
        <w:rPr>
          <w:spacing w:val="-2"/>
          <w:sz w:val="20"/>
        </w:rPr>
        <w:t>[20].</w:t>
      </w:r>
    </w:p>
    <w:p>
      <w:pPr>
        <w:pStyle w:val="BodyText"/>
        <w:spacing w:before="5"/>
      </w:pPr>
    </w:p>
    <w:p>
      <w:pPr>
        <w:tabs>
          <w:tab w:pos="705" w:val="left" w:leader="none"/>
        </w:tabs>
        <w:spacing w:before="0"/>
        <w:ind w:left="165" w:right="0" w:firstLine="0"/>
        <w:jc w:val="left"/>
        <w:rPr>
          <w:sz w:val="20"/>
        </w:rPr>
      </w:pPr>
      <w:bookmarkStart w:name="_bookmark201" w:id="203"/>
      <w:bookmarkEnd w:id="203"/>
      <w:r>
        <w:rPr/>
      </w:r>
      <w:hyperlink w:history="true" w:anchor="_bookmark193">
        <w:r>
          <w:rPr>
            <w:color w:val="005DA1"/>
            <w:spacing w:val="-4"/>
            <w:position w:val="5"/>
            <w:sz w:val="14"/>
            <w:u w:val="single" w:color="005DA1"/>
          </w:rPr>
          <w:t>105</w:t>
        </w:r>
      </w:hyperlink>
      <w:r>
        <w:rPr>
          <w:spacing w:val="-4"/>
          <w:position w:val="5"/>
          <w:sz w:val="14"/>
        </w:rPr>
        <w:t>.</w:t>
      </w:r>
      <w:r>
        <w:rPr>
          <w:position w:val="5"/>
          <w:sz w:val="14"/>
        </w:rPr>
        <w:tab/>
      </w:r>
      <w:r>
        <w:rPr>
          <w:rFonts w:ascii="Arial"/>
          <w:i/>
          <w:sz w:val="20"/>
        </w:rPr>
        <w:t>[1968]</w:t>
      </w:r>
      <w:r>
        <w:rPr>
          <w:rFonts w:ascii="Arial"/>
          <w:i/>
          <w:spacing w:val="-2"/>
          <w:sz w:val="20"/>
        </w:rPr>
        <w:t> </w:t>
      </w:r>
      <w:r>
        <w:rPr>
          <w:rFonts w:ascii="Arial"/>
          <w:i/>
          <w:sz w:val="20"/>
        </w:rPr>
        <w:t>A.C. </w:t>
      </w:r>
      <w:r>
        <w:rPr>
          <w:rFonts w:ascii="Arial"/>
          <w:i/>
          <w:spacing w:val="-4"/>
          <w:sz w:val="20"/>
        </w:rPr>
        <w:t>810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02" w:id="204"/>
      <w:bookmarkEnd w:id="204"/>
      <w:r>
        <w:rPr/>
      </w:r>
      <w:hyperlink w:history="true" w:anchor="_bookmark194">
        <w:r>
          <w:rPr>
            <w:color w:val="005DA1"/>
            <w:spacing w:val="-4"/>
            <w:position w:val="5"/>
            <w:sz w:val="14"/>
            <w:u w:val="single" w:color="005DA1"/>
          </w:rPr>
          <w:t>106</w:t>
        </w:r>
      </w:hyperlink>
      <w:r>
        <w:rPr>
          <w:spacing w:val="-4"/>
          <w:position w:val="5"/>
          <w:sz w:val="14"/>
        </w:rPr>
        <w:t>.</w:t>
      </w:r>
      <w:r>
        <w:rPr>
          <w:position w:val="5"/>
          <w:sz w:val="14"/>
        </w:rPr>
        <w:tab/>
      </w:r>
      <w:r>
        <w:rPr>
          <w:sz w:val="20"/>
        </w:rPr>
        <w:t>ibid., at </w:t>
      </w:r>
      <w:r>
        <w:rPr>
          <w:spacing w:val="-4"/>
          <w:sz w:val="20"/>
        </w:rPr>
        <w:t>826.</w:t>
      </w:r>
    </w:p>
    <w:p>
      <w:pPr>
        <w:pStyle w:val="BodyText"/>
        <w:spacing w:before="5"/>
      </w:pPr>
    </w:p>
    <w:p>
      <w:pPr>
        <w:pStyle w:val="BodyText"/>
        <w:tabs>
          <w:tab w:pos="705" w:val="left" w:leader="none"/>
        </w:tabs>
        <w:ind w:left="165"/>
      </w:pPr>
      <w:bookmarkStart w:name="_bookmark203" w:id="205"/>
      <w:bookmarkEnd w:id="205"/>
      <w:r>
        <w:rPr/>
      </w:r>
      <w:hyperlink w:history="true" w:anchor="_bookmark195">
        <w:r>
          <w:rPr>
            <w:color w:val="005DA1"/>
            <w:spacing w:val="-4"/>
            <w:position w:val="5"/>
            <w:sz w:val="14"/>
            <w:u w:val="single" w:color="005DA1"/>
          </w:rPr>
          <w:t>107</w:t>
        </w:r>
      </w:hyperlink>
      <w:r>
        <w:rPr>
          <w:spacing w:val="-4"/>
          <w:position w:val="5"/>
          <w:sz w:val="14"/>
        </w:rPr>
        <w:t>.</w:t>
      </w:r>
      <w:r>
        <w:rPr>
          <w:position w:val="5"/>
          <w:sz w:val="14"/>
        </w:rPr>
        <w:tab/>
      </w:r>
      <w:r>
        <w:rPr/>
        <w:t>Above</w:t>
      </w:r>
      <w:r>
        <w:rPr>
          <w:spacing w:val="-2"/>
        </w:rPr>
        <w:t> </w:t>
      </w:r>
      <w:r>
        <w:rPr/>
        <w:t>paras 4-042-4-</w:t>
      </w:r>
      <w:r>
        <w:rPr>
          <w:spacing w:val="-4"/>
        </w:rPr>
        <w:t>045.</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47872">
                <wp:simplePos x="0" y="0"/>
                <wp:positionH relativeFrom="page">
                  <wp:posOffset>4703826</wp:posOffset>
                </wp:positionH>
                <wp:positionV relativeFrom="paragraph">
                  <wp:posOffset>377436</wp:posOffset>
                </wp:positionV>
                <wp:extent cx="425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8608"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2. - The Common Law </w:t>
      </w:r>
      <w:r>
        <w:rPr>
          <w:rFonts w:ascii="Arial"/>
          <w:b/>
          <w:spacing w:val="-2"/>
          <w:sz w:val="24"/>
        </w:rPr>
        <w:t>Doctrine</w:t>
      </w:r>
    </w:p>
    <w:p>
      <w:pPr>
        <w:pStyle w:val="ListParagraph"/>
        <w:numPr>
          <w:ilvl w:val="0"/>
          <w:numId w:val="1"/>
        </w:numPr>
        <w:tabs>
          <w:tab w:pos="2325" w:val="left" w:leader="none"/>
        </w:tabs>
        <w:spacing w:line="240" w:lineRule="auto" w:before="194" w:after="0"/>
        <w:ind w:left="2325" w:right="0" w:hanging="360"/>
        <w:jc w:val="left"/>
        <w:rPr>
          <w:b/>
          <w:sz w:val="24"/>
        </w:rPr>
      </w:pPr>
      <w:r>
        <w:rPr>
          <w:b/>
          <w:sz w:val="24"/>
        </w:rPr>
        <w:t>- Development of the Common Law </w:t>
      </w:r>
      <w:r>
        <w:rPr>
          <w:b/>
          <w:spacing w:val="-2"/>
          <w:sz w:val="24"/>
        </w:rPr>
        <w:t>Doctrine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The doctrine </w:t>
      </w:r>
      <w:r>
        <w:rPr>
          <w:rFonts w:ascii="Arial"/>
          <w:b/>
          <w:spacing w:val="-2"/>
          <w:sz w:val="18"/>
        </w:rPr>
        <w:t>established</w:t>
      </w:r>
    </w:p>
    <w:p>
      <w:pPr>
        <w:pStyle w:val="BodyText"/>
        <w:spacing w:before="41"/>
        <w:rPr>
          <w:rFonts w:ascii="Arial"/>
          <w:b/>
          <w:sz w:val="18"/>
        </w:rPr>
      </w:pPr>
    </w:p>
    <w:p>
      <w:pPr>
        <w:pStyle w:val="Heading2"/>
      </w:pPr>
      <w:r>
        <w:rPr/>
        <w:t>18-</w:t>
      </w:r>
      <w:r>
        <w:rPr>
          <w:spacing w:val="-5"/>
        </w:rPr>
        <w:t>021</w:t>
      </w:r>
    </w:p>
    <w:p>
      <w:pPr>
        <w:pStyle w:val="BodyText"/>
        <w:spacing w:line="235" w:lineRule="auto" w:before="203"/>
        <w:ind w:left="164" w:right="167"/>
        <w:jc w:val="both"/>
      </w:pPr>
      <w:bookmarkStart w:name="_bookmark204" w:id="206"/>
      <w:bookmarkEnd w:id="206"/>
      <w:r>
        <w:rPr/>
      </w:r>
      <w:bookmarkStart w:name="_bookmark205" w:id="207"/>
      <w:bookmarkEnd w:id="207"/>
      <w:r>
        <w:rPr/>
      </w:r>
      <w:r>
        <w:rPr/>
        <w:t>In the early authorities, there was support both for the view that a person could not, </w:t>
      </w:r>
      <w:r>
        <w:rPr>
          <w:color w:val="005DA1"/>
          <w:u w:val="single" w:color="005DA1"/>
          <w:vertAlign w:val="superscript"/>
        </w:rPr>
        <w:t>108</w:t>
      </w:r>
      <w:r>
        <w:rPr>
          <w:color w:val="005DA1"/>
          <w:vertAlign w:val="baseline"/>
        </w:rPr>
        <w:t> </w:t>
      </w:r>
      <w:r>
        <w:rPr>
          <w:vertAlign w:val="baseline"/>
        </w:rPr>
        <w:t>and for the </w:t>
      </w:r>
      <w:bookmarkStart w:name="_bookmark206" w:id="208"/>
      <w:bookmarkEnd w:id="208"/>
      <w:r>
        <w:rPr>
          <w:vertAlign w:val="baseline"/>
        </w:rPr>
        <w:t>view</w:t>
      </w:r>
      <w:r>
        <w:rPr>
          <w:vertAlign w:val="baseline"/>
        </w:rPr>
        <w:t> that he could, </w:t>
      </w:r>
      <w:r>
        <w:rPr>
          <w:color w:val="005DA1"/>
          <w:u w:val="single" w:color="005DA1"/>
          <w:vertAlign w:val="superscript"/>
        </w:rPr>
        <w:t>109</w:t>
      </w:r>
      <w:r>
        <w:rPr>
          <w:color w:val="005DA1"/>
          <w:vertAlign w:val="baseline"/>
        </w:rPr>
        <w:t> </w:t>
      </w:r>
      <w:r>
        <w:rPr>
          <w:vertAlign w:val="baseline"/>
        </w:rPr>
        <w:t>enforce a contract to which he was not a party. The point appeared to have been settled in 1861 by </w:t>
      </w:r>
      <w:r>
        <w:rPr>
          <w:rFonts w:ascii="Arial" w:hAnsi="Arial"/>
          <w:i/>
          <w:vertAlign w:val="baseline"/>
        </w:rPr>
        <w:t>Tweddle v Atkinson</w:t>
      </w:r>
      <w:r>
        <w:rPr>
          <w:vertAlign w:val="baseline"/>
        </w:rPr>
        <w:t>, </w:t>
      </w:r>
      <w:r>
        <w:rPr>
          <w:color w:val="005DA1"/>
          <w:u w:val="single" w:color="005DA1"/>
          <w:vertAlign w:val="superscript"/>
        </w:rPr>
        <w:t>110</w:t>
      </w:r>
      <w:r>
        <w:rPr>
          <w:color w:val="005DA1"/>
          <w:vertAlign w:val="baseline"/>
        </w:rPr>
        <w:t> </w:t>
      </w:r>
      <w:r>
        <w:rPr>
          <w:vertAlign w:val="baseline"/>
        </w:rPr>
        <w:t>where A promised B to pay a sum of money to B’s son, C, on C’s marriage to A’s daughter. It was held that C could not enforce against A the promise </w:t>
      </w:r>
      <w:bookmarkStart w:name="_bookmark207" w:id="209"/>
      <w:bookmarkEnd w:id="209"/>
      <w:r>
        <w:rPr>
          <w:vertAlign w:val="baseline"/>
        </w:rPr>
        <w:t>that</w:t>
      </w:r>
      <w:r>
        <w:rPr>
          <w:vertAlign w:val="baseline"/>
        </w:rPr>
        <w:t> A hade made to B. This case was usually considered to have established the common law </w:t>
      </w:r>
      <w:bookmarkStart w:name="_bookmark208" w:id="210"/>
      <w:bookmarkEnd w:id="210"/>
      <w:r>
        <w:rPr>
          <w:vertAlign w:val="baseline"/>
        </w:rPr>
        <w:t>doctrine</w:t>
      </w:r>
      <w:r>
        <w:rPr>
          <w:vertAlign w:val="baseline"/>
        </w:rPr>
        <w:t> of privity, </w:t>
      </w:r>
      <w:r>
        <w:rPr>
          <w:color w:val="005DA1"/>
          <w:u w:val="single" w:color="005DA1"/>
          <w:vertAlign w:val="superscript"/>
        </w:rPr>
        <w:t>111</w:t>
      </w:r>
      <w:r>
        <w:rPr>
          <w:color w:val="005DA1"/>
          <w:vertAlign w:val="baseline"/>
        </w:rPr>
        <w:t> </w:t>
      </w:r>
      <w:r>
        <w:rPr>
          <w:vertAlign w:val="baseline"/>
        </w:rPr>
        <w:t>which was approved by the House of Lords in 1915, when the principle </w:t>
      </w:r>
      <w:r>
        <w:rPr>
          <w:vertAlign w:val="baseline"/>
        </w:rPr>
        <w:t>that</w:t>
      </w:r>
      <w:r>
        <w:rPr>
          <w:spacing w:val="40"/>
          <w:vertAlign w:val="baseline"/>
        </w:rPr>
        <w:t> </w:t>
      </w:r>
      <w:bookmarkStart w:name="_bookmark209" w:id="211"/>
      <w:bookmarkEnd w:id="211"/>
      <w:r>
        <w:rPr>
          <w:vertAlign w:val="baseline"/>
        </w:rPr>
        <w:t>“only</w:t>
      </w:r>
      <w:r>
        <w:rPr>
          <w:vertAlign w:val="baseline"/>
        </w:rPr>
        <w:t> a person who is a party to the contract can sue on it” was said to be a “fundamental” </w:t>
      </w:r>
      <w:r>
        <w:rPr>
          <w:color w:val="005DA1"/>
          <w:u w:val="single" w:color="005DA1"/>
          <w:vertAlign w:val="superscript"/>
        </w:rPr>
        <w:t>112</w:t>
      </w:r>
      <w:r>
        <w:rPr>
          <w:color w:val="005DA1"/>
          <w:vertAlign w:val="baseline"/>
        </w:rPr>
        <w:t> </w:t>
      </w:r>
      <w:r>
        <w:rPr>
          <w:vertAlign w:val="baseline"/>
        </w:rPr>
        <w:t>one in English law. This view was, indeed, judicially doubted in a number of cases </w:t>
      </w:r>
      <w:r>
        <w:rPr>
          <w:color w:val="005DA1"/>
          <w:u w:val="single" w:color="005DA1"/>
          <w:vertAlign w:val="superscript"/>
        </w:rPr>
        <w:t>113</w:t>
      </w:r>
      <w:r>
        <w:rPr>
          <w:vertAlign w:val="baseline"/>
        </w:rPr>
        <w:t>; but these doubts appeared to have been set at rest in 1961, when the House of Lords again affirmed the existence of </w:t>
      </w:r>
      <w:bookmarkStart w:name="_bookmark210" w:id="212"/>
      <w:bookmarkEnd w:id="212"/>
      <w:r>
        <w:rPr>
          <w:vertAlign w:val="baseline"/>
        </w:rPr>
        <w:t>the</w:t>
      </w:r>
      <w:r>
        <w:rPr>
          <w:vertAlign w:val="baseline"/>
        </w:rPr>
        <w:t> doctrine of privity of contract in holding that a person could not take the benefit of a limitation of </w:t>
      </w:r>
      <w:bookmarkStart w:name="_bookmark211" w:id="213"/>
      <w:bookmarkEnd w:id="213"/>
      <w:r>
        <w:rPr>
          <w:vertAlign w:val="baseline"/>
        </w:rPr>
        <w:t>liability</w:t>
      </w:r>
      <w:r>
        <w:rPr>
          <w:vertAlign w:val="baseline"/>
        </w:rPr>
        <w:t> clause contained in a contract to which he was not a party. </w:t>
      </w:r>
      <w:r>
        <w:rPr>
          <w:color w:val="005DA1"/>
          <w:u w:val="single" w:color="005DA1"/>
          <w:vertAlign w:val="superscript"/>
        </w:rPr>
        <w:t>114</w:t>
      </w:r>
      <w:r>
        <w:rPr>
          <w:color w:val="005DA1"/>
          <w:vertAlign w:val="baseline"/>
        </w:rPr>
        <w:t> </w:t>
      </w:r>
      <w:r>
        <w:rPr>
          <w:vertAlign w:val="baseline"/>
        </w:rPr>
        <w:t>The view that a person could</w:t>
      </w:r>
      <w:r>
        <w:rPr>
          <w:spacing w:val="40"/>
          <w:vertAlign w:val="baseline"/>
        </w:rPr>
        <w:t> </w:t>
      </w:r>
      <w:bookmarkStart w:name="_bookmark212" w:id="214"/>
      <w:bookmarkEnd w:id="214"/>
      <w:r>
        <w:rPr>
          <w:vertAlign w:val="baseline"/>
        </w:rPr>
        <w:t>not</w:t>
      </w:r>
      <w:r>
        <w:rPr>
          <w:vertAlign w:val="baseline"/>
        </w:rPr>
        <w:t> enforce a contract to which he was not a party is also accepted in many later cases. </w:t>
      </w:r>
      <w:r>
        <w:rPr>
          <w:color w:val="005DA1"/>
          <w:u w:val="single" w:color="005DA1"/>
          <w:vertAlign w:val="superscript"/>
        </w:rPr>
        <w:t>115</w:t>
      </w:r>
      <w:r>
        <w:rPr>
          <w:color w:val="005DA1"/>
          <w:vertAlign w:val="baseline"/>
        </w:rPr>
        <w:t> </w:t>
      </w:r>
      <w:r>
        <w:rPr>
          <w:vertAlign w:val="baseline"/>
        </w:rPr>
        <w:t>It also </w:t>
      </w:r>
      <w:bookmarkStart w:name="_bookmark213" w:id="215"/>
      <w:bookmarkEnd w:id="215"/>
      <w:r>
        <w:rPr>
          <w:vertAlign w:val="baseline"/>
        </w:rPr>
        <w:t>underlies</w:t>
      </w:r>
      <w:r>
        <w:rPr>
          <w:vertAlign w:val="baseline"/>
        </w:rPr>
        <w:t> the proposals for legislative reform to which reference has already been made. </w:t>
      </w:r>
      <w:r>
        <w:rPr>
          <w:color w:val="005DA1"/>
          <w:u w:val="single" w:color="005DA1"/>
          <w:vertAlign w:val="superscript"/>
        </w:rPr>
        <w:t>116</w:t>
      </w:r>
      <w:r>
        <w:rPr>
          <w:color w:val="005DA1"/>
          <w:vertAlign w:val="baseline"/>
        </w:rPr>
        <w:t> </w:t>
      </w:r>
      <w:r>
        <w:rPr>
          <w:vertAlign w:val="baseline"/>
        </w:rPr>
        <w:t>and, indeed,</w:t>
      </w:r>
      <w:r>
        <w:rPr>
          <w:spacing w:val="1"/>
          <w:vertAlign w:val="baseline"/>
        </w:rPr>
        <w:t> </w:t>
      </w:r>
      <w:r>
        <w:rPr>
          <w:vertAlign w:val="baseline"/>
        </w:rPr>
        <w:t>the</w:t>
      </w:r>
      <w:r>
        <w:rPr>
          <w:spacing w:val="1"/>
          <w:vertAlign w:val="baseline"/>
        </w:rPr>
        <w:t> </w:t>
      </w:r>
      <w:r>
        <w:rPr>
          <w:vertAlign w:val="baseline"/>
        </w:rPr>
        <w:t>way</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these</w:t>
      </w:r>
      <w:r>
        <w:rPr>
          <w:spacing w:val="1"/>
          <w:vertAlign w:val="baseline"/>
        </w:rPr>
        <w:t> </w:t>
      </w:r>
      <w:r>
        <w:rPr>
          <w:vertAlign w:val="baseline"/>
        </w:rPr>
        <w:t>were</w:t>
      </w:r>
      <w:r>
        <w:rPr>
          <w:spacing w:val="1"/>
          <w:vertAlign w:val="baseline"/>
        </w:rPr>
        <w:t> </w:t>
      </w:r>
      <w:r>
        <w:rPr>
          <w:vertAlign w:val="baseline"/>
        </w:rPr>
        <w:t>implemented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Contracts</w:t>
      </w:r>
      <w:r>
        <w:rPr>
          <w:spacing w:val="1"/>
          <w:vertAlign w:val="baseline"/>
        </w:rPr>
        <w:t> </w:t>
      </w:r>
      <w:r>
        <w:rPr>
          <w:vertAlign w:val="baseline"/>
        </w:rPr>
        <w:t>(Rights</w:t>
      </w:r>
      <w:r>
        <w:rPr>
          <w:spacing w:val="1"/>
          <w:vertAlign w:val="baseline"/>
        </w:rPr>
        <w:t> </w:t>
      </w:r>
      <w:r>
        <w:rPr>
          <w:vertAlign w:val="baseline"/>
        </w:rPr>
        <w:t>of</w:t>
      </w:r>
      <w:r>
        <w:rPr>
          <w:spacing w:val="1"/>
          <w:vertAlign w:val="baseline"/>
        </w:rPr>
        <w:t> </w:t>
      </w:r>
      <w:r>
        <w:rPr>
          <w:vertAlign w:val="baseline"/>
        </w:rPr>
        <w:t>Third</w:t>
      </w:r>
      <w:r>
        <w:rPr>
          <w:spacing w:val="1"/>
          <w:vertAlign w:val="baseline"/>
        </w:rPr>
        <w:t> </w:t>
      </w:r>
      <w:r>
        <w:rPr>
          <w:vertAlign w:val="baseline"/>
        </w:rPr>
        <w:t>Parties)</w:t>
      </w:r>
      <w:r>
        <w:rPr>
          <w:spacing w:val="1"/>
          <w:vertAlign w:val="baseline"/>
        </w:rPr>
        <w:t> </w:t>
      </w:r>
      <w:r>
        <w:rPr>
          <w:vertAlign w:val="baseline"/>
        </w:rPr>
        <w:t>Act</w:t>
      </w:r>
      <w:r>
        <w:rPr>
          <w:spacing w:val="1"/>
          <w:vertAlign w:val="baseline"/>
        </w:rPr>
        <w:t> </w:t>
      </w:r>
      <w:r>
        <w:rPr>
          <w:spacing w:val="-2"/>
          <w:vertAlign w:val="baseline"/>
        </w:rPr>
        <w:t>1999.</w:t>
      </w:r>
    </w:p>
    <w:p>
      <w:pPr>
        <w:spacing w:line="108" w:lineRule="exact" w:before="0"/>
        <w:ind w:left="165" w:right="0" w:firstLine="0"/>
        <w:jc w:val="left"/>
        <w:rPr>
          <w:sz w:val="12"/>
        </w:rPr>
      </w:pPr>
      <w:r>
        <w:rPr>
          <w:color w:val="005DA1"/>
          <w:spacing w:val="-5"/>
          <w:sz w:val="12"/>
          <w:u w:val="single" w:color="005DA1"/>
        </w:rPr>
        <w:t>117</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both"/>
        <w:rPr>
          <w:rFonts w:ascii="Arial"/>
          <w:b/>
          <w:sz w:val="18"/>
        </w:rPr>
      </w:pPr>
      <w:r>
        <w:rPr>
          <w:rFonts w:ascii="Arial"/>
          <w:b/>
          <w:sz w:val="18"/>
        </w:rPr>
        <w:t>Beswick v </w:t>
      </w:r>
      <w:r>
        <w:rPr>
          <w:rFonts w:ascii="Arial"/>
          <w:b/>
          <w:spacing w:val="-2"/>
          <w:sz w:val="18"/>
        </w:rPr>
        <w:t>Beswick</w:t>
      </w:r>
    </w:p>
    <w:p>
      <w:pPr>
        <w:pStyle w:val="BodyText"/>
        <w:spacing w:before="41"/>
        <w:rPr>
          <w:rFonts w:ascii="Arial"/>
          <w:b/>
          <w:sz w:val="18"/>
        </w:rPr>
      </w:pPr>
    </w:p>
    <w:p>
      <w:pPr>
        <w:pStyle w:val="Heading2"/>
      </w:pPr>
      <w:r>
        <w:rPr/>
        <w:t>18-</w:t>
      </w:r>
      <w:r>
        <w:rPr>
          <w:spacing w:val="-5"/>
        </w:rPr>
        <w:t>022</w:t>
      </w:r>
    </w:p>
    <w:p>
      <w:pPr>
        <w:pStyle w:val="BodyText"/>
        <w:spacing w:line="235" w:lineRule="auto" w:before="203"/>
        <w:ind w:left="164" w:right="167"/>
        <w:jc w:val="both"/>
      </w:pPr>
      <w:bookmarkStart w:name="_bookmark214" w:id="216"/>
      <w:bookmarkEnd w:id="216"/>
      <w:r>
        <w:rPr/>
      </w:r>
      <w:r>
        <w:rPr/>
        <w:t>The leading authority on the present status of the doctrine of privity is </w:t>
      </w:r>
      <w:r>
        <w:rPr>
          <w:rFonts w:ascii="Arial" w:hAnsi="Arial"/>
          <w:i/>
        </w:rPr>
        <w:t>Beswick v Beswick</w:t>
      </w:r>
      <w:r>
        <w:rPr/>
        <w:t>. </w:t>
      </w:r>
      <w:r>
        <w:rPr>
          <w:color w:val="005DA1"/>
          <w:u w:val="single" w:color="005DA1"/>
          <w:vertAlign w:val="superscript"/>
        </w:rPr>
        <w:t>118</w:t>
      </w:r>
      <w:r>
        <w:rPr>
          <w:color w:val="005DA1"/>
          <w:vertAlign w:val="baseline"/>
        </w:rPr>
        <w:t> </w:t>
      </w:r>
      <w:r>
        <w:rPr>
          <w:vertAlign w:val="baseline"/>
        </w:rPr>
        <w:t>A coal merchant transferred his business to his nephew who promised him (inter alia) that he would, </w:t>
      </w:r>
      <w:r>
        <w:rPr>
          <w:vertAlign w:val="baseline"/>
        </w:rPr>
        <w:t>after</w:t>
      </w:r>
      <w:r>
        <w:rPr>
          <w:spacing w:val="80"/>
          <w:vertAlign w:val="baseline"/>
        </w:rPr>
        <w:t> </w:t>
      </w:r>
      <w:r>
        <w:rPr>
          <w:vertAlign w:val="baseline"/>
        </w:rPr>
        <w:t>the uncle’s death, pay an annuity to the uncle’s widow. After the uncle’s death, the widow became his administratrix. She brought an action to enforce the nephew’s promise, suing both in her own right</w:t>
      </w:r>
      <w:r>
        <w:rPr>
          <w:spacing w:val="40"/>
          <w:vertAlign w:val="baseline"/>
        </w:rPr>
        <w:t> </w:t>
      </w:r>
      <w:r>
        <w:rPr>
          <w:vertAlign w:val="baseline"/>
        </w:rPr>
        <w:t>and as administratrix. In the Court of Appeal it was held, (1) by Lord Denning M.R., that the widow </w:t>
      </w:r>
      <w:bookmarkStart w:name="_bookmark215" w:id="217"/>
      <w:bookmarkEnd w:id="217"/>
      <w:r>
        <w:rPr>
          <w:vertAlign w:val="baseline"/>
        </w:rPr>
        <w:t>could</w:t>
      </w:r>
      <w:r>
        <w:rPr>
          <w:vertAlign w:val="baseline"/>
        </w:rPr>
        <w:t> sue in her own right at common law, notwithstanding the doctrine of privity: this doctrine was “at </w:t>
      </w:r>
      <w:bookmarkStart w:name="_bookmark216" w:id="218"/>
      <w:bookmarkEnd w:id="218"/>
      <w:r>
        <w:rPr>
          <w:vertAlign w:val="baseline"/>
        </w:rPr>
        <w:t>bottom</w:t>
      </w:r>
      <w:r>
        <w:rPr>
          <w:vertAlign w:val="baseline"/>
        </w:rPr>
        <w:t> … only a rule of procedure” </w:t>
      </w:r>
      <w:r>
        <w:rPr>
          <w:color w:val="005DA1"/>
          <w:u w:val="single" w:color="005DA1"/>
          <w:vertAlign w:val="superscript"/>
        </w:rPr>
        <w:t>119</w:t>
      </w:r>
      <w:r>
        <w:rPr>
          <w:color w:val="005DA1"/>
          <w:vertAlign w:val="baseline"/>
        </w:rPr>
        <w:t> </w:t>
      </w:r>
      <w:r>
        <w:rPr>
          <w:vertAlign w:val="baseline"/>
        </w:rPr>
        <w:t>and could be overcome by simply joining the promisee as a </w:t>
      </w:r>
      <w:bookmarkStart w:name="_bookmark217" w:id="219"/>
      <w:bookmarkEnd w:id="219"/>
      <w:r>
        <w:rPr>
          <w:vertAlign w:val="baseline"/>
        </w:rPr>
        <w:t>party</w:t>
      </w:r>
      <w:r>
        <w:rPr>
          <w:vertAlign w:val="baseline"/>
        </w:rPr>
        <w:t> to the action </w:t>
      </w:r>
      <w:r>
        <w:rPr>
          <w:color w:val="005DA1"/>
          <w:u w:val="single" w:color="005DA1"/>
          <w:vertAlign w:val="superscript"/>
        </w:rPr>
        <w:t>120</w:t>
      </w:r>
      <w:r>
        <w:rPr>
          <w:vertAlign w:val="baseline"/>
        </w:rPr>
        <w:t>; (2) by Lord Denning M.R. and by Danckwerts L.J., that the widow could sue in her own right by virtue of s.56(1) of the Law of Property Act 1925 </w:t>
      </w:r>
      <w:r>
        <w:rPr>
          <w:color w:val="005DA1"/>
          <w:u w:val="single" w:color="005DA1"/>
          <w:vertAlign w:val="superscript"/>
        </w:rPr>
        <w:t>121</w:t>
      </w:r>
      <w:r>
        <w:rPr>
          <w:vertAlign w:val="baseline"/>
        </w:rPr>
        <w:t>; and (3) by Lord Denning M.R. and by Danckwerts and Salmon L.JJ., that the widow could sue in her capacity as administratrix of</w:t>
      </w:r>
      <w:r>
        <w:rPr>
          <w:spacing w:val="80"/>
          <w:vertAlign w:val="baseline"/>
        </w:rPr>
        <w:t> </w:t>
      </w:r>
      <w:r>
        <w:rPr>
          <w:vertAlign w:val="baseline"/>
        </w:rPr>
        <w:t>the promisee and could in that capacity obtain an order of specific performance against the nephew, </w:t>
      </w:r>
      <w:bookmarkStart w:name="_bookmark218" w:id="220"/>
      <w:bookmarkEnd w:id="220"/>
      <w:r>
        <w:rPr>
          <w:vertAlign w:val="baseline"/>
        </w:rPr>
        <w:t>obliging</w:t>
      </w:r>
      <w:r>
        <w:rPr>
          <w:vertAlign w:val="baseline"/>
        </w:rPr>
        <w:t> him to pay the annuity to her for her own personal benefit. The House of Lords affirmed the decision on the third ground, </w:t>
      </w:r>
      <w:r>
        <w:rPr>
          <w:color w:val="005DA1"/>
          <w:u w:val="single" w:color="005DA1"/>
          <w:vertAlign w:val="superscript"/>
        </w:rPr>
        <w:t>122</w:t>
      </w:r>
      <w:r>
        <w:rPr>
          <w:color w:val="005DA1"/>
          <w:vertAlign w:val="baseline"/>
        </w:rPr>
        <w:t> </w:t>
      </w:r>
      <w:r>
        <w:rPr>
          <w:vertAlign w:val="baseline"/>
        </w:rPr>
        <w:t>rejected the second </w:t>
      </w:r>
      <w:r>
        <w:rPr>
          <w:color w:val="005DA1"/>
          <w:u w:val="single" w:color="005DA1"/>
          <w:vertAlign w:val="superscript"/>
        </w:rPr>
        <w:t>123</w:t>
      </w:r>
      <w:r>
        <w:rPr>
          <w:color w:val="005DA1"/>
          <w:vertAlign w:val="baseline"/>
        </w:rPr>
        <w:t> </w:t>
      </w:r>
      <w:r>
        <w:rPr>
          <w:vertAlign w:val="baseline"/>
        </w:rPr>
        <w:t>and found it unnecessary to express a </w:t>
      </w:r>
      <w:bookmarkStart w:name="_bookmark219" w:id="221"/>
      <w:bookmarkEnd w:id="221"/>
      <w:r>
        <w:rPr>
          <w:vertAlign w:val="baseline"/>
        </w:rPr>
        <w:t>concluded</w:t>
      </w:r>
      <w:r>
        <w:rPr>
          <w:vertAlign w:val="baseline"/>
        </w:rPr>
        <w:t> view on the first. But the speeches all assume the correctness of the generally accepted </w:t>
      </w:r>
      <w:bookmarkStart w:name="_bookmark220" w:id="222"/>
      <w:bookmarkEnd w:id="222"/>
      <w:r>
        <w:rPr>
          <w:vertAlign w:val="baseline"/>
        </w:rPr>
        <w:t>view</w:t>
      </w:r>
      <w:r>
        <w:rPr>
          <w:vertAlign w:val="baseline"/>
        </w:rPr>
        <w:t> that at common law a contract can be enforced only by the parties to it, </w:t>
      </w:r>
      <w:r>
        <w:rPr>
          <w:color w:val="005DA1"/>
          <w:u w:val="single" w:color="005DA1"/>
          <w:vertAlign w:val="superscript"/>
        </w:rPr>
        <w:t>124</w:t>
      </w:r>
      <w:r>
        <w:rPr>
          <w:color w:val="005DA1"/>
          <w:vertAlign w:val="baseline"/>
        </w:rPr>
        <w:t> </w:t>
      </w:r>
      <w:r>
        <w:rPr>
          <w:vertAlign w:val="baseline"/>
        </w:rPr>
        <w:t>though the House of Lords has on a number of occasions indicated its willingness to reconsider this position. </w:t>
      </w:r>
      <w:r>
        <w:rPr>
          <w:color w:val="005DA1"/>
          <w:u w:val="single" w:color="005DA1"/>
          <w:vertAlign w:val="superscript"/>
        </w:rPr>
        <w:t>125</w:t>
      </w:r>
      <w:r>
        <w:rPr>
          <w:color w:val="005DA1"/>
          <w:vertAlign w:val="baseline"/>
        </w:rPr>
        <w:t> </w:t>
      </w:r>
      <w:r>
        <w:rPr>
          <w:vertAlign w:val="baseline"/>
        </w:rPr>
        <w:t>Such a reconsideration has indeed been undertaken by a majority of the High Court of Australia, but in a decision</w:t>
      </w:r>
      <w:r>
        <w:rPr>
          <w:spacing w:val="17"/>
          <w:vertAlign w:val="baseline"/>
        </w:rPr>
        <w:t> </w:t>
      </w:r>
      <w:r>
        <w:rPr>
          <w:vertAlign w:val="baseline"/>
        </w:rPr>
        <w:t>in</w:t>
      </w:r>
      <w:r>
        <w:rPr>
          <w:spacing w:val="17"/>
          <w:vertAlign w:val="baseline"/>
        </w:rPr>
        <w:t> </w:t>
      </w:r>
      <w:r>
        <w:rPr>
          <w:vertAlign w:val="baseline"/>
        </w:rPr>
        <w:t>which</w:t>
      </w:r>
      <w:r>
        <w:rPr>
          <w:spacing w:val="17"/>
          <w:vertAlign w:val="baseline"/>
        </w:rPr>
        <w:t> </w:t>
      </w:r>
      <w:r>
        <w:rPr>
          <w:vertAlign w:val="baseline"/>
        </w:rPr>
        <w:t>so</w:t>
      </w:r>
      <w:r>
        <w:rPr>
          <w:spacing w:val="17"/>
          <w:vertAlign w:val="baseline"/>
        </w:rPr>
        <w:t> </w:t>
      </w:r>
      <w:r>
        <w:rPr>
          <w:vertAlign w:val="baseline"/>
        </w:rPr>
        <w:t>many</w:t>
      </w:r>
      <w:r>
        <w:rPr>
          <w:spacing w:val="17"/>
          <w:vertAlign w:val="baseline"/>
        </w:rPr>
        <w:t> </w:t>
      </w:r>
      <w:r>
        <w:rPr>
          <w:vertAlign w:val="baseline"/>
        </w:rPr>
        <w:t>divergent</w:t>
      </w:r>
      <w:r>
        <w:rPr>
          <w:spacing w:val="17"/>
          <w:vertAlign w:val="baseline"/>
        </w:rPr>
        <w:t> </w:t>
      </w:r>
      <w:r>
        <w:rPr>
          <w:vertAlign w:val="baseline"/>
        </w:rPr>
        <w:t>views</w:t>
      </w:r>
      <w:r>
        <w:rPr>
          <w:spacing w:val="17"/>
          <w:vertAlign w:val="baseline"/>
        </w:rPr>
        <w:t> </w:t>
      </w:r>
      <w:r>
        <w:rPr>
          <w:vertAlign w:val="baseline"/>
        </w:rPr>
        <w:t>were</w:t>
      </w:r>
      <w:r>
        <w:rPr>
          <w:spacing w:val="17"/>
          <w:vertAlign w:val="baseline"/>
        </w:rPr>
        <w:t> </w:t>
      </w:r>
      <w:r>
        <w:rPr>
          <w:vertAlign w:val="baseline"/>
        </w:rPr>
        <w:t>expressed</w:t>
      </w:r>
      <w:r>
        <w:rPr>
          <w:spacing w:val="17"/>
          <w:vertAlign w:val="baseline"/>
        </w:rPr>
        <w:t> </w:t>
      </w:r>
      <w:r>
        <w:rPr>
          <w:vertAlign w:val="baseline"/>
        </w:rPr>
        <w:t>that</w:t>
      </w:r>
      <w:r>
        <w:rPr>
          <w:spacing w:val="17"/>
          <w:vertAlign w:val="baseline"/>
        </w:rPr>
        <w:t> </w:t>
      </w:r>
      <w:r>
        <w:rPr>
          <w:vertAlign w:val="baseline"/>
        </w:rPr>
        <w:t>it</w:t>
      </w:r>
      <w:r>
        <w:rPr>
          <w:spacing w:val="17"/>
          <w:vertAlign w:val="baseline"/>
        </w:rPr>
        <w:t> </w:t>
      </w:r>
      <w:r>
        <w:rPr>
          <w:vertAlign w:val="baseline"/>
        </w:rPr>
        <w:t>provides</w:t>
      </w:r>
      <w:r>
        <w:rPr>
          <w:spacing w:val="17"/>
          <w:vertAlign w:val="baseline"/>
        </w:rPr>
        <w:t> </w:t>
      </w:r>
      <w:r>
        <w:rPr>
          <w:vertAlign w:val="baseline"/>
        </w:rPr>
        <w:t>no</w:t>
      </w:r>
      <w:r>
        <w:rPr>
          <w:spacing w:val="17"/>
          <w:vertAlign w:val="baseline"/>
        </w:rPr>
        <w:t> </w:t>
      </w:r>
      <w:r>
        <w:rPr>
          <w:vertAlign w:val="baseline"/>
        </w:rPr>
        <w:t>firm</w:t>
      </w:r>
      <w:r>
        <w:rPr>
          <w:spacing w:val="17"/>
          <w:vertAlign w:val="baseline"/>
        </w:rPr>
        <w:t> </w:t>
      </w:r>
      <w:r>
        <w:rPr>
          <w:vertAlign w:val="baseline"/>
        </w:rPr>
        <w:t>guidance</w:t>
      </w:r>
      <w:r>
        <w:rPr>
          <w:spacing w:val="17"/>
          <w:vertAlign w:val="baseline"/>
        </w:rPr>
        <w:t> </w:t>
      </w:r>
      <w:r>
        <w:rPr>
          <w:vertAlign w:val="baseline"/>
        </w:rPr>
        <w:t>for</w:t>
      </w:r>
      <w:r>
        <w:rPr>
          <w:spacing w:val="17"/>
          <w:vertAlign w:val="baseline"/>
        </w:rPr>
        <w:t> </w:t>
      </w:r>
      <w:r>
        <w:rPr>
          <w:spacing w:val="-5"/>
          <w:vertAlign w:val="baseline"/>
        </w:rPr>
        <w:t>the</w:t>
      </w:r>
    </w:p>
    <w:p>
      <w:pPr>
        <w:pStyle w:val="BodyText"/>
        <w:spacing w:after="0" w:line="235" w:lineRule="auto"/>
        <w:jc w:val="both"/>
        <w:sectPr>
          <w:headerReference w:type="default" r:id="rId10"/>
          <w:pgSz w:w="11900" w:h="16840"/>
          <w:pgMar w:header="971" w:footer="0" w:top="1160" w:bottom="280" w:left="1275" w:right="1275"/>
          <w:pgNumType w:start="1"/>
        </w:sectPr>
      </w:pPr>
    </w:p>
    <w:p>
      <w:pPr>
        <w:pStyle w:val="BodyText"/>
        <w:spacing w:before="24"/>
      </w:pPr>
    </w:p>
    <w:p>
      <w:pPr>
        <w:pStyle w:val="BodyText"/>
        <w:spacing w:line="235" w:lineRule="auto" w:before="1"/>
        <w:ind w:left="164" w:right="167"/>
        <w:jc w:val="both"/>
      </w:pPr>
      <w:bookmarkStart w:name="_bookmark221" w:id="223"/>
      <w:bookmarkEnd w:id="223"/>
      <w:r>
        <w:rPr/>
      </w:r>
      <w:r>
        <w:rPr/>
        <w:t>development of the law. </w:t>
      </w:r>
      <w:r>
        <w:rPr>
          <w:color w:val="005DA1"/>
          <w:u w:val="single" w:color="005DA1"/>
          <w:vertAlign w:val="superscript"/>
        </w:rPr>
        <w:t>126</w:t>
      </w:r>
      <w:r>
        <w:rPr>
          <w:color w:val="005DA1"/>
          <w:vertAlign w:val="baseline"/>
        </w:rPr>
        <w:t> </w:t>
      </w:r>
      <w:r>
        <w:rPr>
          <w:vertAlign w:val="baseline"/>
        </w:rPr>
        <w:t>The difficulties of reaching satisfactory results in this area through purely judicial reconsideration are formidable; they arise, in particular, in defining exactly what classes </w:t>
      </w:r>
      <w:r>
        <w:rPr>
          <w:vertAlign w:val="baseline"/>
        </w:rPr>
        <w:t>of third</w:t>
      </w:r>
      <w:r>
        <w:rPr>
          <w:spacing w:val="-1"/>
          <w:vertAlign w:val="baseline"/>
        </w:rPr>
        <w:t> </w:t>
      </w:r>
      <w:r>
        <w:rPr>
          <w:vertAlign w:val="baseline"/>
        </w:rPr>
        <w:t>parties</w:t>
      </w:r>
      <w:r>
        <w:rPr>
          <w:spacing w:val="-1"/>
          <w:vertAlign w:val="baseline"/>
        </w:rPr>
        <w:t> </w:t>
      </w:r>
      <w:r>
        <w:rPr>
          <w:vertAlign w:val="baseline"/>
        </w:rPr>
        <w:t>can</w:t>
      </w:r>
      <w:r>
        <w:rPr>
          <w:spacing w:val="-1"/>
          <w:vertAlign w:val="baseline"/>
        </w:rPr>
        <w:t> </w:t>
      </w:r>
      <w:r>
        <w:rPr>
          <w:vertAlign w:val="baseline"/>
        </w:rPr>
        <w:t>acquire</w:t>
      </w:r>
      <w:r>
        <w:rPr>
          <w:spacing w:val="-1"/>
          <w:vertAlign w:val="baseline"/>
        </w:rPr>
        <w:t> </w:t>
      </w:r>
      <w:r>
        <w:rPr>
          <w:vertAlign w:val="baseline"/>
        </w:rPr>
        <w:t>rights</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how</w:t>
      </w:r>
      <w:r>
        <w:rPr>
          <w:spacing w:val="-1"/>
          <w:vertAlign w:val="baseline"/>
        </w:rPr>
        <w:t> </w:t>
      </w:r>
      <w:r>
        <w:rPr>
          <w:vertAlign w:val="baseline"/>
        </w:rPr>
        <w:t>these</w:t>
      </w:r>
      <w:r>
        <w:rPr>
          <w:spacing w:val="-1"/>
          <w:vertAlign w:val="baseline"/>
        </w:rPr>
        <w:t> </w:t>
      </w:r>
      <w:r>
        <w:rPr>
          <w:vertAlign w:val="baseline"/>
        </w:rPr>
        <w:t>rights</w:t>
      </w:r>
      <w:r>
        <w:rPr>
          <w:spacing w:val="-1"/>
          <w:vertAlign w:val="baseline"/>
        </w:rPr>
        <w:t> </w:t>
      </w:r>
      <w:r>
        <w:rPr>
          <w:vertAlign w:val="baseline"/>
        </w:rPr>
        <w:t>might</w:t>
      </w:r>
      <w:r>
        <w:rPr>
          <w:spacing w:val="-1"/>
          <w:vertAlign w:val="baseline"/>
        </w:rPr>
        <w:t> </w:t>
      </w:r>
      <w:r>
        <w:rPr>
          <w:vertAlign w:val="baseline"/>
        </w:rPr>
        <w:t>be</w:t>
      </w:r>
      <w:r>
        <w:rPr>
          <w:spacing w:val="-1"/>
          <w:vertAlign w:val="baseline"/>
        </w:rPr>
        <w:t> </w:t>
      </w:r>
      <w:r>
        <w:rPr>
          <w:vertAlign w:val="baseline"/>
        </w:rPr>
        <w:t>affected</w:t>
      </w:r>
      <w:r>
        <w:rPr>
          <w:spacing w:val="-1"/>
          <w:vertAlign w:val="baseline"/>
        </w:rPr>
        <w:t> </w:t>
      </w:r>
      <w:r>
        <w:rPr>
          <w:vertAlign w:val="baseline"/>
        </w:rPr>
        <w:t>by</w:t>
      </w:r>
      <w:r>
        <w:rPr>
          <w:spacing w:val="-1"/>
          <w:vertAlign w:val="baseline"/>
        </w:rPr>
        <w:t> </w:t>
      </w:r>
      <w:r>
        <w:rPr>
          <w:vertAlign w:val="baseline"/>
        </w:rPr>
        <w:t>attempts </w:t>
      </w:r>
      <w:bookmarkStart w:name="_bookmark222" w:id="224"/>
      <w:bookmarkEnd w:id="224"/>
      <w:r>
        <w:rPr>
          <w:vertAlign w:val="baseline"/>
        </w:rPr>
        <w:t>by</w:t>
      </w:r>
      <w:r>
        <w:rPr>
          <w:vertAlign w:val="baseline"/>
        </w:rPr>
        <w:t> the contracting parties to rescind the contract or to vary it, and by defences available between the </w:t>
      </w:r>
      <w:bookmarkStart w:name="_bookmark223" w:id="225"/>
      <w:bookmarkEnd w:id="225"/>
      <w:r>
        <w:rPr>
          <w:vertAlign w:val="baseline"/>
        </w:rPr>
        <w:t>contracting</w:t>
      </w:r>
      <w:r>
        <w:rPr>
          <w:vertAlign w:val="baseline"/>
        </w:rPr>
        <w:t> parties. </w:t>
      </w:r>
      <w:r>
        <w:rPr>
          <w:color w:val="005DA1"/>
          <w:u w:val="single" w:color="005DA1"/>
          <w:vertAlign w:val="superscript"/>
        </w:rPr>
        <w:t>127</w:t>
      </w:r>
      <w:r>
        <w:rPr>
          <w:color w:val="005DA1"/>
          <w:vertAlign w:val="baseline"/>
        </w:rPr>
        <w:t> </w:t>
      </w:r>
      <w:r>
        <w:rPr>
          <w:vertAlign w:val="baseline"/>
        </w:rPr>
        <w:t>A satisfactory solution of such difficulties is more likely to be achieved by </w:t>
      </w:r>
      <w:bookmarkStart w:name="_bookmark224" w:id="226"/>
      <w:bookmarkEnd w:id="226"/>
      <w:r>
        <w:rPr>
          <w:vertAlign w:val="baseline"/>
        </w:rPr>
        <w:t>legislative</w:t>
      </w:r>
      <w:r>
        <w:rPr>
          <w:vertAlign w:val="baseline"/>
        </w:rPr>
        <w:t> reform, </w:t>
      </w:r>
      <w:r>
        <w:rPr>
          <w:color w:val="005DA1"/>
          <w:u w:val="single" w:color="005DA1"/>
          <w:vertAlign w:val="superscript"/>
        </w:rPr>
        <w:t>128</w:t>
      </w:r>
      <w:r>
        <w:rPr>
          <w:color w:val="005DA1"/>
          <w:vertAlign w:val="baseline"/>
        </w:rPr>
        <w:t> </w:t>
      </w:r>
      <w:r>
        <w:rPr>
          <w:vertAlign w:val="baseline"/>
        </w:rPr>
        <w:t>such as that contained in the Contracts (Rights of Third Parties) Act 1999. </w:t>
      </w:r>
      <w:r>
        <w:rPr>
          <w:color w:val="005DA1"/>
          <w:u w:val="single" w:color="005DA1"/>
          <w:vertAlign w:val="superscript"/>
        </w:rPr>
        <w:t>129</w:t>
      </w:r>
      <w:r>
        <w:rPr>
          <w:color w:val="005DA1"/>
          <w:vertAlign w:val="baseline"/>
        </w:rPr>
        <w:t> </w:t>
      </w:r>
      <w:r>
        <w:rPr>
          <w:vertAlign w:val="baseline"/>
        </w:rPr>
        <w:t>In a significant number of situations, however, third parties will not acquire rights by virtue of this Act </w:t>
      </w:r>
      <w:r>
        <w:rPr>
          <w:color w:val="005DA1"/>
          <w:u w:val="single" w:color="005DA1"/>
          <w:vertAlign w:val="superscript"/>
        </w:rPr>
        <w:t>130</w:t>
      </w:r>
      <w:r>
        <w:rPr>
          <w:vertAlign w:val="baseline"/>
        </w:rPr>
        <w:t>; </w:t>
      </w:r>
      <w:bookmarkStart w:name="_bookmark225" w:id="227"/>
      <w:bookmarkEnd w:id="227"/>
      <w:r>
        <w:rPr>
          <w:vertAlign w:val="baseline"/>
        </w:rPr>
        <w:t>and</w:t>
      </w:r>
      <w:r>
        <w:rPr>
          <w:vertAlign w:val="baseline"/>
        </w:rPr>
        <w:t> in many such situations the common law doctrine of privity will continue (at least for the time being) </w:t>
      </w:r>
      <w:r>
        <w:rPr>
          <w:color w:val="005DA1"/>
          <w:u w:val="single" w:color="005DA1"/>
          <w:vertAlign w:val="superscript"/>
        </w:rPr>
        <w:t>131</w:t>
      </w:r>
      <w:r>
        <w:rPr>
          <w:color w:val="005DA1"/>
          <w:vertAlign w:val="baseline"/>
        </w:rPr>
        <w:t> </w:t>
      </w:r>
      <w:r>
        <w:rPr>
          <w:vertAlign w:val="baseline"/>
        </w:rPr>
        <w:t>to apply.</w:t>
      </w:r>
    </w:p>
    <w:p>
      <w:pPr>
        <w:pStyle w:val="BodyText"/>
      </w:pPr>
    </w:p>
    <w:p>
      <w:pPr>
        <w:pStyle w:val="BodyText"/>
        <w:spacing w:before="36"/>
      </w:pP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184419</wp:posOffset>
                </wp:positionV>
                <wp:extent cx="572452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1254pt;width:450.75pt;height:.1pt;mso-position-horizontal-relative:page;mso-position-vertical-relative:paragraph;z-index:-15712256;mso-wrap-distance-left:0;mso-wrap-distance-right:0" id="docshape11"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48896">
                <wp:simplePos x="0" y="0"/>
                <wp:positionH relativeFrom="page">
                  <wp:posOffset>914400</wp:posOffset>
                </wp:positionH>
                <wp:positionV relativeFrom="paragraph">
                  <wp:posOffset>97116</wp:posOffset>
                </wp:positionV>
                <wp:extent cx="4953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7584"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9"/>
      </w:pPr>
    </w:p>
    <w:p>
      <w:pPr>
        <w:spacing w:line="235" w:lineRule="auto" w:before="0"/>
        <w:ind w:left="705" w:right="169" w:hanging="541"/>
        <w:jc w:val="both"/>
        <w:rPr>
          <w:sz w:val="20"/>
        </w:rPr>
      </w:pPr>
      <w:bookmarkStart w:name="_bookmark226" w:id="228"/>
      <w:bookmarkEnd w:id="228"/>
      <w:r>
        <w:rPr/>
      </w:r>
      <w:hyperlink w:history="true" w:anchor="_bookmark204">
        <w:r>
          <w:rPr>
            <w:color w:val="005DA1"/>
            <w:position w:val="5"/>
            <w:sz w:val="14"/>
            <w:u w:val="single" w:color="005DA1"/>
          </w:rPr>
          <w:t>108</w:t>
        </w:r>
      </w:hyperlink>
      <w:r>
        <w:rPr>
          <w:position w:val="5"/>
          <w:sz w:val="14"/>
        </w:rPr>
        <w:t>.</w:t>
      </w:r>
      <w:r>
        <w:rPr>
          <w:spacing w:val="80"/>
          <w:position w:val="5"/>
          <w:sz w:val="14"/>
        </w:rPr>
        <w:t>  </w:t>
      </w:r>
      <w:r>
        <w:rPr>
          <w:rFonts w:ascii="Arial" w:hAnsi="Arial"/>
          <w:i/>
          <w:sz w:val="20"/>
        </w:rPr>
        <w:t>Bourne</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Mason</w:t>
      </w:r>
      <w:r>
        <w:rPr>
          <w:rFonts w:ascii="Arial" w:hAnsi="Arial"/>
          <w:i/>
          <w:spacing w:val="33"/>
          <w:sz w:val="20"/>
        </w:rPr>
        <w:t> </w:t>
      </w:r>
      <w:r>
        <w:rPr>
          <w:rFonts w:ascii="Arial" w:hAnsi="Arial"/>
          <w:i/>
          <w:sz w:val="20"/>
        </w:rPr>
        <w:t>(1668)</w:t>
      </w:r>
      <w:r>
        <w:rPr>
          <w:rFonts w:ascii="Arial" w:hAnsi="Arial"/>
          <w:i/>
          <w:spacing w:val="33"/>
          <w:sz w:val="20"/>
        </w:rPr>
        <w:t> </w:t>
      </w:r>
      <w:r>
        <w:rPr>
          <w:rFonts w:ascii="Arial" w:hAnsi="Arial"/>
          <w:i/>
          <w:sz w:val="20"/>
        </w:rPr>
        <w:t>1</w:t>
      </w:r>
      <w:r>
        <w:rPr>
          <w:rFonts w:ascii="Arial" w:hAnsi="Arial"/>
          <w:i/>
          <w:spacing w:val="33"/>
          <w:sz w:val="20"/>
        </w:rPr>
        <w:t> </w:t>
      </w:r>
      <w:r>
        <w:rPr>
          <w:rFonts w:ascii="Arial" w:hAnsi="Arial"/>
          <w:i/>
          <w:sz w:val="20"/>
        </w:rPr>
        <w:t>Ventris</w:t>
      </w:r>
      <w:r>
        <w:rPr>
          <w:rFonts w:ascii="Arial" w:hAnsi="Arial"/>
          <w:i/>
          <w:spacing w:val="33"/>
          <w:sz w:val="20"/>
        </w:rPr>
        <w:t> </w:t>
      </w:r>
      <w:r>
        <w:rPr>
          <w:rFonts w:ascii="Arial" w:hAnsi="Arial"/>
          <w:i/>
          <w:sz w:val="20"/>
        </w:rPr>
        <w:t>6</w:t>
      </w:r>
      <w:r>
        <w:rPr>
          <w:sz w:val="20"/>
        </w:rPr>
        <w:t>;</w:t>
      </w:r>
      <w:r>
        <w:rPr>
          <w:spacing w:val="33"/>
          <w:sz w:val="20"/>
        </w:rPr>
        <w:t> </w:t>
      </w:r>
      <w:r>
        <w:rPr>
          <w:sz w:val="20"/>
        </w:rPr>
        <w:t>cf.</w:t>
      </w:r>
      <w:r>
        <w:rPr>
          <w:spacing w:val="34"/>
          <w:sz w:val="20"/>
        </w:rPr>
        <w:t> </w:t>
      </w:r>
      <w:r>
        <w:rPr>
          <w:rFonts w:ascii="Arial" w:hAnsi="Arial"/>
          <w:i/>
          <w:sz w:val="20"/>
        </w:rPr>
        <w:t>Crow</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Rogers</w:t>
      </w:r>
      <w:r>
        <w:rPr>
          <w:rFonts w:ascii="Arial" w:hAnsi="Arial"/>
          <w:i/>
          <w:spacing w:val="33"/>
          <w:sz w:val="20"/>
        </w:rPr>
        <w:t> </w:t>
      </w:r>
      <w:r>
        <w:rPr>
          <w:rFonts w:ascii="Arial" w:hAnsi="Arial"/>
          <w:i/>
          <w:sz w:val="20"/>
        </w:rPr>
        <w:t>(1726)</w:t>
      </w:r>
      <w:r>
        <w:rPr>
          <w:rFonts w:ascii="Arial" w:hAnsi="Arial"/>
          <w:i/>
          <w:spacing w:val="33"/>
          <w:sz w:val="20"/>
        </w:rPr>
        <w:t> </w:t>
      </w:r>
      <w:r>
        <w:rPr>
          <w:rFonts w:ascii="Arial" w:hAnsi="Arial"/>
          <w:i/>
          <w:sz w:val="20"/>
        </w:rPr>
        <w:t>1</w:t>
      </w:r>
      <w:r>
        <w:rPr>
          <w:rFonts w:ascii="Arial" w:hAnsi="Arial"/>
          <w:i/>
          <w:spacing w:val="33"/>
          <w:sz w:val="20"/>
        </w:rPr>
        <w:t> </w:t>
      </w:r>
      <w:r>
        <w:rPr>
          <w:rFonts w:ascii="Arial" w:hAnsi="Arial"/>
          <w:i/>
          <w:sz w:val="20"/>
        </w:rPr>
        <w:t>Stra.</w:t>
      </w:r>
      <w:r>
        <w:rPr>
          <w:rFonts w:ascii="Arial" w:hAnsi="Arial"/>
          <w:i/>
          <w:spacing w:val="33"/>
          <w:sz w:val="20"/>
        </w:rPr>
        <w:t> </w:t>
      </w:r>
      <w:r>
        <w:rPr>
          <w:rFonts w:ascii="Arial" w:hAnsi="Arial"/>
          <w:i/>
          <w:sz w:val="20"/>
        </w:rPr>
        <w:t>592</w:t>
      </w:r>
      <w:r>
        <w:rPr>
          <w:sz w:val="20"/>
        </w:rPr>
        <w:t>;</w:t>
      </w:r>
      <w:r>
        <w:rPr>
          <w:spacing w:val="34"/>
          <w:sz w:val="20"/>
        </w:rPr>
        <w:t> </w:t>
      </w:r>
      <w:r>
        <w:rPr>
          <w:rFonts w:ascii="Arial" w:hAnsi="Arial"/>
          <w:i/>
          <w:sz w:val="20"/>
        </w:rPr>
        <w:t>Price</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Easton (1833) 4 B. &amp; Ad. 433</w:t>
      </w:r>
      <w:r>
        <w:rPr>
          <w:sz w:val="20"/>
        </w:rPr>
        <w:t>. For the history, see Holdsworth, History of English Law, VIII, pp.11–13, 40;</w:t>
      </w:r>
      <w:r>
        <w:rPr>
          <w:spacing w:val="36"/>
          <w:sz w:val="20"/>
        </w:rPr>
        <w:t> </w:t>
      </w:r>
      <w:r>
        <w:rPr>
          <w:sz w:val="20"/>
        </w:rPr>
        <w:t>E.J.P.</w:t>
      </w:r>
      <w:r>
        <w:rPr>
          <w:spacing w:val="38"/>
          <w:sz w:val="20"/>
        </w:rPr>
        <w:t> </w:t>
      </w:r>
      <w:r>
        <w:rPr>
          <w:sz w:val="20"/>
        </w:rPr>
        <w:t>(1954)</w:t>
      </w:r>
      <w:r>
        <w:rPr>
          <w:spacing w:val="38"/>
          <w:sz w:val="20"/>
        </w:rPr>
        <w:t> </w:t>
      </w:r>
      <w:r>
        <w:rPr>
          <w:sz w:val="20"/>
        </w:rPr>
        <w:t>70</w:t>
      </w:r>
      <w:r>
        <w:rPr>
          <w:spacing w:val="38"/>
          <w:sz w:val="20"/>
        </w:rPr>
        <w:t> </w:t>
      </w:r>
      <w:r>
        <w:rPr>
          <w:sz w:val="20"/>
        </w:rPr>
        <w:t>L.Q.R.</w:t>
      </w:r>
      <w:r>
        <w:rPr>
          <w:spacing w:val="38"/>
          <w:sz w:val="20"/>
        </w:rPr>
        <w:t> </w:t>
      </w:r>
      <w:r>
        <w:rPr>
          <w:sz w:val="20"/>
        </w:rPr>
        <w:t>467;</w:t>
      </w:r>
      <w:r>
        <w:rPr>
          <w:spacing w:val="38"/>
          <w:sz w:val="20"/>
        </w:rPr>
        <w:t> </w:t>
      </w:r>
      <w:r>
        <w:rPr>
          <w:sz w:val="20"/>
        </w:rPr>
        <w:t>Scamell</w:t>
      </w:r>
      <w:r>
        <w:rPr>
          <w:spacing w:val="38"/>
          <w:sz w:val="20"/>
        </w:rPr>
        <w:t> </w:t>
      </w:r>
      <w:r>
        <w:rPr>
          <w:sz w:val="20"/>
        </w:rPr>
        <w:t>(1955)</w:t>
      </w:r>
      <w:r>
        <w:rPr>
          <w:spacing w:val="38"/>
          <w:sz w:val="20"/>
        </w:rPr>
        <w:t> </w:t>
      </w:r>
      <w:r>
        <w:rPr>
          <w:sz w:val="20"/>
        </w:rPr>
        <w:t>8</w:t>
      </w:r>
      <w:r>
        <w:rPr>
          <w:spacing w:val="38"/>
          <w:sz w:val="20"/>
        </w:rPr>
        <w:t> </w:t>
      </w:r>
      <w:r>
        <w:rPr>
          <w:sz w:val="20"/>
        </w:rPr>
        <w:t>C.L.P.</w:t>
      </w:r>
      <w:r>
        <w:rPr>
          <w:spacing w:val="38"/>
          <w:sz w:val="20"/>
        </w:rPr>
        <w:t> </w:t>
      </w:r>
      <w:r>
        <w:rPr>
          <w:sz w:val="20"/>
        </w:rPr>
        <w:t>131;</w:t>
      </w:r>
      <w:r>
        <w:rPr>
          <w:spacing w:val="38"/>
          <w:sz w:val="20"/>
        </w:rPr>
        <w:t> </w:t>
      </w:r>
      <w:r>
        <w:rPr>
          <w:sz w:val="20"/>
        </w:rPr>
        <w:t>Palmer,</w:t>
      </w:r>
      <w:r>
        <w:rPr>
          <w:spacing w:val="38"/>
          <w:sz w:val="20"/>
        </w:rPr>
        <w:t> </w:t>
      </w:r>
      <w:r>
        <w:rPr>
          <w:sz w:val="20"/>
        </w:rPr>
        <w:t>33</w:t>
      </w:r>
      <w:r>
        <w:rPr>
          <w:spacing w:val="38"/>
          <w:sz w:val="20"/>
        </w:rPr>
        <w:t> </w:t>
      </w:r>
      <w:r>
        <w:rPr>
          <w:sz w:val="20"/>
        </w:rPr>
        <w:t>Am.Jl.</w:t>
      </w:r>
      <w:r>
        <w:rPr>
          <w:spacing w:val="38"/>
          <w:sz w:val="20"/>
        </w:rPr>
        <w:t> </w:t>
      </w:r>
      <w:r>
        <w:rPr>
          <w:sz w:val="20"/>
        </w:rPr>
        <w:t>of</w:t>
      </w:r>
      <w:r>
        <w:rPr>
          <w:spacing w:val="38"/>
          <w:sz w:val="20"/>
        </w:rPr>
        <w:t> </w:t>
      </w:r>
      <w:r>
        <w:rPr>
          <w:spacing w:val="-2"/>
          <w:sz w:val="20"/>
        </w:rPr>
        <w:t>Legal</w:t>
      </w:r>
    </w:p>
    <w:p>
      <w:pPr>
        <w:spacing w:line="235" w:lineRule="auto" w:before="0"/>
        <w:ind w:left="705" w:right="167" w:firstLine="0"/>
        <w:jc w:val="both"/>
        <w:rPr>
          <w:sz w:val="20"/>
        </w:rPr>
      </w:pPr>
      <w:r>
        <w:rPr>
          <w:sz w:val="20"/>
        </w:rPr>
        <w:t>History 3 (1989); Ibbetson in Barton, </w:t>
      </w:r>
      <w:r>
        <w:rPr>
          <w:rFonts w:ascii="Arial" w:hAnsi="Arial"/>
          <w:i/>
          <w:sz w:val="20"/>
        </w:rPr>
        <w:t>Towards a History of the Law of Contract</w:t>
      </w:r>
      <w:r>
        <w:rPr>
          <w:sz w:val="20"/>
        </w:rPr>
        <w:t>, pp.67, 96–99; Palmer, </w:t>
      </w:r>
      <w:r>
        <w:rPr>
          <w:rFonts w:ascii="Arial" w:hAnsi="Arial"/>
          <w:i/>
          <w:sz w:val="20"/>
        </w:rPr>
        <w:t>The Paths to Privity: The History of Third Party Beneficiary Contracts in English Law </w:t>
      </w:r>
      <w:r>
        <w:rPr>
          <w:sz w:val="20"/>
        </w:rPr>
        <w:t>(1992); Andrews, 69 Tulane L.Rev. 69 (1995).</w:t>
      </w:r>
    </w:p>
    <w:p>
      <w:pPr>
        <w:pStyle w:val="BodyText"/>
        <w:spacing w:before="4"/>
      </w:pPr>
    </w:p>
    <w:p>
      <w:pPr>
        <w:tabs>
          <w:tab w:pos="705" w:val="left" w:leader="none"/>
        </w:tabs>
        <w:spacing w:line="227" w:lineRule="exact" w:before="0"/>
        <w:ind w:left="165" w:right="0" w:firstLine="0"/>
        <w:jc w:val="left"/>
        <w:rPr>
          <w:sz w:val="20"/>
        </w:rPr>
      </w:pPr>
      <w:bookmarkStart w:name="_bookmark227" w:id="229"/>
      <w:bookmarkEnd w:id="229"/>
      <w:r>
        <w:rPr/>
      </w:r>
      <w:hyperlink w:history="true" w:anchor="_bookmark205">
        <w:r>
          <w:rPr>
            <w:color w:val="005DA1"/>
            <w:spacing w:val="-4"/>
            <w:position w:val="5"/>
            <w:sz w:val="14"/>
            <w:u w:val="single" w:color="005DA1"/>
          </w:rPr>
          <w:t>109</w:t>
        </w:r>
      </w:hyperlink>
      <w:r>
        <w:rPr>
          <w:spacing w:val="-4"/>
          <w:position w:val="5"/>
          <w:sz w:val="14"/>
        </w:rPr>
        <w:t>.</w:t>
      </w:r>
      <w:r>
        <w:rPr>
          <w:position w:val="5"/>
          <w:sz w:val="14"/>
        </w:rPr>
        <w:tab/>
      </w:r>
      <w:r>
        <w:rPr>
          <w:rFonts w:ascii="Arial" w:hAnsi="Arial"/>
          <w:i/>
          <w:sz w:val="20"/>
        </w:rPr>
        <w:t>Dutton</w:t>
      </w:r>
      <w:r>
        <w:rPr>
          <w:rFonts w:ascii="Arial" w:hAnsi="Arial"/>
          <w:i/>
          <w:spacing w:val="18"/>
          <w:sz w:val="20"/>
        </w:rPr>
        <w:t> </w:t>
      </w:r>
      <w:r>
        <w:rPr>
          <w:rFonts w:ascii="Arial" w:hAnsi="Arial"/>
          <w:i/>
          <w:sz w:val="20"/>
        </w:rPr>
        <w:t>v</w:t>
      </w:r>
      <w:r>
        <w:rPr>
          <w:rFonts w:ascii="Arial" w:hAnsi="Arial"/>
          <w:i/>
          <w:spacing w:val="19"/>
          <w:sz w:val="20"/>
        </w:rPr>
        <w:t> </w:t>
      </w:r>
      <w:r>
        <w:rPr>
          <w:rFonts w:ascii="Arial" w:hAnsi="Arial"/>
          <w:i/>
          <w:sz w:val="20"/>
        </w:rPr>
        <w:t>Poole</w:t>
      </w:r>
      <w:r>
        <w:rPr>
          <w:rFonts w:ascii="Arial" w:hAnsi="Arial"/>
          <w:i/>
          <w:spacing w:val="19"/>
          <w:sz w:val="20"/>
        </w:rPr>
        <w:t> </w:t>
      </w:r>
      <w:r>
        <w:rPr>
          <w:rFonts w:ascii="Arial" w:hAnsi="Arial"/>
          <w:i/>
          <w:sz w:val="20"/>
        </w:rPr>
        <w:t>(1677)</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Lev.</w:t>
      </w:r>
      <w:r>
        <w:rPr>
          <w:rFonts w:ascii="Arial" w:hAnsi="Arial"/>
          <w:i/>
          <w:spacing w:val="19"/>
          <w:sz w:val="20"/>
        </w:rPr>
        <w:t> </w:t>
      </w:r>
      <w:r>
        <w:rPr>
          <w:rFonts w:ascii="Arial" w:hAnsi="Arial"/>
          <w:i/>
          <w:sz w:val="20"/>
        </w:rPr>
        <w:t>210;</w:t>
      </w:r>
      <w:r>
        <w:rPr>
          <w:rFonts w:ascii="Arial" w:hAnsi="Arial"/>
          <w:i/>
          <w:spacing w:val="19"/>
          <w:sz w:val="20"/>
        </w:rPr>
        <w:t> </w:t>
      </w:r>
      <w:r>
        <w:rPr>
          <w:rFonts w:ascii="Arial" w:hAnsi="Arial"/>
          <w:i/>
          <w:sz w:val="20"/>
        </w:rPr>
        <w:t>affirmed</w:t>
      </w:r>
      <w:r>
        <w:rPr>
          <w:rFonts w:ascii="Arial" w:hAnsi="Arial"/>
          <w:i/>
          <w:spacing w:val="19"/>
          <w:sz w:val="20"/>
        </w:rPr>
        <w:t> </w:t>
      </w:r>
      <w:r>
        <w:rPr>
          <w:rFonts w:ascii="Arial" w:hAnsi="Arial"/>
          <w:i/>
          <w:sz w:val="20"/>
        </w:rPr>
        <w:t>T.Raym.</w:t>
      </w:r>
      <w:r>
        <w:rPr>
          <w:rFonts w:ascii="Arial" w:hAnsi="Arial"/>
          <w:i/>
          <w:spacing w:val="19"/>
          <w:sz w:val="20"/>
        </w:rPr>
        <w:t> </w:t>
      </w:r>
      <w:r>
        <w:rPr>
          <w:rFonts w:ascii="Arial" w:hAnsi="Arial"/>
          <w:i/>
          <w:sz w:val="20"/>
        </w:rPr>
        <w:t>302</w:t>
      </w:r>
      <w:r>
        <w:rPr>
          <w:sz w:val="20"/>
        </w:rPr>
        <w:t>.</w:t>
      </w:r>
      <w:r>
        <w:rPr>
          <w:spacing w:val="19"/>
          <w:sz w:val="20"/>
        </w:rPr>
        <w:t> </w:t>
      </w:r>
      <w:r>
        <w:rPr>
          <w:sz w:val="20"/>
        </w:rPr>
        <w:t>cf.</w:t>
      </w:r>
      <w:r>
        <w:rPr>
          <w:spacing w:val="19"/>
          <w:sz w:val="20"/>
        </w:rPr>
        <w:t> </w:t>
      </w:r>
      <w:r>
        <w:rPr>
          <w:rFonts w:ascii="Arial" w:hAnsi="Arial"/>
          <w:i/>
          <w:sz w:val="20"/>
        </w:rPr>
        <w:t>Thomas</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w:t>
      </w:r>
      <w:r>
        <w:rPr>
          <w:rFonts w:ascii="Arial" w:hAnsi="Arial"/>
          <w:i/>
          <w:spacing w:val="19"/>
          <w:sz w:val="20"/>
        </w:rPr>
        <w:t> </w:t>
      </w:r>
      <w:r>
        <w:rPr>
          <w:rFonts w:ascii="Arial" w:hAnsi="Arial"/>
          <w:i/>
          <w:sz w:val="20"/>
        </w:rPr>
        <w:t>(1655)</w:t>
      </w:r>
      <w:r>
        <w:rPr>
          <w:rFonts w:ascii="Arial" w:hAnsi="Arial"/>
          <w:i/>
          <w:spacing w:val="19"/>
          <w:sz w:val="20"/>
        </w:rPr>
        <w:t> </w:t>
      </w:r>
      <w:r>
        <w:rPr>
          <w:rFonts w:ascii="Arial" w:hAnsi="Arial"/>
          <w:i/>
          <w:sz w:val="20"/>
        </w:rPr>
        <w:t>Sty.</w:t>
      </w:r>
      <w:r>
        <w:rPr>
          <w:rFonts w:ascii="Arial" w:hAnsi="Arial"/>
          <w:i/>
          <w:spacing w:val="19"/>
          <w:sz w:val="20"/>
        </w:rPr>
        <w:t> </w:t>
      </w:r>
      <w:r>
        <w:rPr>
          <w:rFonts w:ascii="Arial" w:hAnsi="Arial"/>
          <w:i/>
          <w:spacing w:val="-4"/>
          <w:sz w:val="20"/>
        </w:rPr>
        <w:t>461</w:t>
      </w:r>
      <w:r>
        <w:rPr>
          <w:spacing w:val="-4"/>
          <w:sz w:val="20"/>
        </w:rPr>
        <w:t>;</w:t>
      </w:r>
    </w:p>
    <w:p>
      <w:pPr>
        <w:spacing w:line="227" w:lineRule="exact" w:before="0"/>
        <w:ind w:left="705" w:right="0" w:firstLine="0"/>
        <w:jc w:val="left"/>
        <w:rPr>
          <w:sz w:val="20"/>
        </w:rPr>
      </w:pPr>
      <w:r>
        <w:rPr>
          <w:rFonts w:ascii="Arial"/>
          <w:i/>
          <w:sz w:val="20"/>
        </w:rPr>
        <w:t>Martyn</w:t>
      </w:r>
      <w:r>
        <w:rPr>
          <w:rFonts w:ascii="Arial"/>
          <w:i/>
          <w:spacing w:val="-1"/>
          <w:sz w:val="20"/>
        </w:rPr>
        <w:t> </w:t>
      </w:r>
      <w:r>
        <w:rPr>
          <w:rFonts w:ascii="Arial"/>
          <w:i/>
          <w:sz w:val="20"/>
        </w:rPr>
        <w:t>v Hind (1776) 2 Cowp. 437, 443</w:t>
      </w:r>
      <w:r>
        <w:rPr>
          <w:sz w:val="20"/>
        </w:rPr>
        <w:t>; </w:t>
      </w:r>
      <w:r>
        <w:rPr>
          <w:rFonts w:ascii="Arial"/>
          <w:i/>
          <w:sz w:val="20"/>
        </w:rPr>
        <w:t>Marchington v</w:t>
      </w:r>
      <w:r>
        <w:rPr>
          <w:rFonts w:ascii="Arial"/>
          <w:i/>
          <w:spacing w:val="-1"/>
          <w:sz w:val="20"/>
        </w:rPr>
        <w:t> </w:t>
      </w:r>
      <w:r>
        <w:rPr>
          <w:rFonts w:ascii="Arial"/>
          <w:i/>
          <w:sz w:val="20"/>
        </w:rPr>
        <w:t>Vernon (1787) 1 B. &amp; P. 101</w:t>
      </w:r>
      <w:r>
        <w:rPr>
          <w:sz w:val="20"/>
        </w:rPr>
        <w:t>, note </w:t>
      </w:r>
      <w:r>
        <w:rPr>
          <w:spacing w:val="-4"/>
          <w:sz w:val="20"/>
        </w:rPr>
        <w:t>(c).</w:t>
      </w:r>
    </w:p>
    <w:p>
      <w:pPr>
        <w:pStyle w:val="BodyText"/>
        <w:spacing w:before="5"/>
      </w:pPr>
    </w:p>
    <w:p>
      <w:pPr>
        <w:tabs>
          <w:tab w:pos="705" w:val="left" w:leader="none"/>
        </w:tabs>
        <w:spacing w:before="0"/>
        <w:ind w:left="165" w:right="0" w:firstLine="0"/>
        <w:jc w:val="left"/>
        <w:rPr>
          <w:sz w:val="20"/>
        </w:rPr>
      </w:pPr>
      <w:bookmarkStart w:name="_bookmark228" w:id="230"/>
      <w:bookmarkEnd w:id="230"/>
      <w:r>
        <w:rPr/>
      </w:r>
      <w:hyperlink w:history="true" w:anchor="_bookmark206">
        <w:r>
          <w:rPr>
            <w:color w:val="005DA1"/>
            <w:spacing w:val="-4"/>
            <w:position w:val="5"/>
            <w:sz w:val="14"/>
            <w:u w:val="single" w:color="005DA1"/>
          </w:rPr>
          <w:t>110</w:t>
        </w:r>
      </w:hyperlink>
      <w:r>
        <w:rPr>
          <w:spacing w:val="-4"/>
          <w:position w:val="5"/>
          <w:sz w:val="14"/>
        </w:rPr>
        <w:t>.</w:t>
      </w:r>
      <w:r>
        <w:rPr>
          <w:position w:val="5"/>
          <w:sz w:val="14"/>
        </w:rPr>
        <w:tab/>
      </w:r>
      <w:r>
        <w:rPr>
          <w:rFonts w:ascii="Arial"/>
          <w:i/>
          <w:sz w:val="20"/>
        </w:rPr>
        <w:t>(1861)</w:t>
      </w:r>
      <w:r>
        <w:rPr>
          <w:rFonts w:ascii="Arial"/>
          <w:i/>
          <w:spacing w:val="-2"/>
          <w:sz w:val="20"/>
        </w:rPr>
        <w:t> </w:t>
      </w:r>
      <w:r>
        <w:rPr>
          <w:rFonts w:ascii="Arial"/>
          <w:i/>
          <w:sz w:val="20"/>
        </w:rPr>
        <w:t>1 B. &amp; S. </w:t>
      </w:r>
      <w:r>
        <w:rPr>
          <w:rFonts w:ascii="Arial"/>
          <w:i/>
          <w:spacing w:val="-4"/>
          <w:sz w:val="20"/>
        </w:rPr>
        <w:t>393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29" w:id="231"/>
      <w:bookmarkEnd w:id="231"/>
      <w:r>
        <w:rPr/>
      </w:r>
      <w:hyperlink w:history="true" w:anchor="_bookmark207">
        <w:r>
          <w:rPr>
            <w:color w:val="005DA1"/>
            <w:spacing w:val="-4"/>
            <w:position w:val="5"/>
            <w:sz w:val="14"/>
            <w:u w:val="single" w:color="005DA1"/>
          </w:rPr>
          <w:t>111</w:t>
        </w:r>
      </w:hyperlink>
      <w:r>
        <w:rPr>
          <w:spacing w:val="-4"/>
          <w:position w:val="5"/>
          <w:sz w:val="14"/>
        </w:rPr>
        <w:t>.</w:t>
      </w:r>
      <w:r>
        <w:rPr>
          <w:position w:val="5"/>
          <w:sz w:val="14"/>
        </w:rPr>
        <w:tab/>
      </w:r>
      <w:r>
        <w:rPr>
          <w:rFonts w:ascii="Arial"/>
          <w:i/>
          <w:sz w:val="20"/>
        </w:rPr>
        <w:t>Gandy v Gandy (1884) 30 Ch.D. 57, </w:t>
      </w:r>
      <w:r>
        <w:rPr>
          <w:rFonts w:ascii="Arial"/>
          <w:i/>
          <w:spacing w:val="-5"/>
          <w:sz w:val="20"/>
        </w:rPr>
        <w:t>69</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30" w:id="232"/>
      <w:bookmarkEnd w:id="232"/>
      <w:r>
        <w:rPr/>
      </w:r>
      <w:hyperlink w:history="true" w:anchor="_bookmark208">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Dunlop Pneumatic Tyre Co Ltd v Selfridge &amp; Co Ltd [1915] A.C. 847, 853</w:t>
      </w:r>
      <w:r>
        <w:rPr>
          <w:sz w:val="20"/>
        </w:rPr>
        <w:t>; for a similar, earlier, statement see </w:t>
      </w:r>
      <w:r>
        <w:rPr>
          <w:rFonts w:ascii="Arial"/>
          <w:i/>
          <w:sz w:val="20"/>
        </w:rPr>
        <w:t>Keighley Maxsted &amp; Co v Durant [1901] A.C. 240, 246</w:t>
      </w:r>
      <w:r>
        <w:rPr>
          <w:sz w:val="20"/>
        </w:rPr>
        <w:t>.</w:t>
      </w:r>
    </w:p>
    <w:p>
      <w:pPr>
        <w:pStyle w:val="BodyText"/>
        <w:spacing w:before="9"/>
      </w:pPr>
    </w:p>
    <w:p>
      <w:pPr>
        <w:spacing w:line="235" w:lineRule="auto" w:before="0"/>
        <w:ind w:left="705" w:right="168" w:hanging="541"/>
        <w:jc w:val="both"/>
        <w:rPr>
          <w:sz w:val="20"/>
        </w:rPr>
      </w:pPr>
      <w:bookmarkStart w:name="_bookmark231" w:id="233"/>
      <w:bookmarkEnd w:id="233"/>
      <w:r>
        <w:rPr/>
      </w:r>
      <w:hyperlink w:history="true" w:anchor="_bookmark209">
        <w:r>
          <w:rPr>
            <w:color w:val="005DA1"/>
            <w:position w:val="5"/>
            <w:sz w:val="14"/>
            <w:u w:val="single" w:color="005DA1"/>
          </w:rPr>
          <w:t>113</w:t>
        </w:r>
      </w:hyperlink>
      <w:r>
        <w:rPr>
          <w:position w:val="5"/>
          <w:sz w:val="14"/>
        </w:rPr>
        <w:t>.</w:t>
      </w:r>
      <w:r>
        <w:rPr>
          <w:spacing w:val="40"/>
          <w:position w:val="5"/>
          <w:sz w:val="14"/>
        </w:rPr>
        <w:t>  </w:t>
      </w:r>
      <w:r>
        <w:rPr>
          <w:rFonts w:ascii="Arial" w:hAnsi="Arial"/>
          <w:i/>
          <w:sz w:val="20"/>
        </w:rPr>
        <w:t>Smith</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Snipes</w:t>
      </w:r>
      <w:r>
        <w:rPr>
          <w:rFonts w:ascii="Arial" w:hAnsi="Arial"/>
          <w:i/>
          <w:spacing w:val="-1"/>
          <w:sz w:val="20"/>
        </w:rPr>
        <w:t> </w:t>
      </w:r>
      <w:r>
        <w:rPr>
          <w:rFonts w:ascii="Arial" w:hAnsi="Arial"/>
          <w:i/>
          <w:sz w:val="20"/>
        </w:rPr>
        <w:t>Hall</w:t>
      </w:r>
      <w:r>
        <w:rPr>
          <w:rFonts w:ascii="Arial" w:hAnsi="Arial"/>
          <w:i/>
          <w:spacing w:val="-1"/>
          <w:sz w:val="20"/>
        </w:rPr>
        <w:t> </w:t>
      </w:r>
      <w:r>
        <w:rPr>
          <w:rFonts w:ascii="Arial" w:hAnsi="Arial"/>
          <w:i/>
          <w:sz w:val="20"/>
        </w:rPr>
        <w:t>Farm</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River</w:t>
      </w:r>
      <w:r>
        <w:rPr>
          <w:rFonts w:ascii="Arial" w:hAnsi="Arial"/>
          <w:i/>
          <w:spacing w:val="-1"/>
          <w:sz w:val="20"/>
        </w:rPr>
        <w:t> </w:t>
      </w:r>
      <w:r>
        <w:rPr>
          <w:rFonts w:ascii="Arial" w:hAnsi="Arial"/>
          <w:i/>
          <w:sz w:val="20"/>
        </w:rPr>
        <w:t>Douglas</w:t>
      </w:r>
      <w:r>
        <w:rPr>
          <w:rFonts w:ascii="Arial" w:hAnsi="Arial"/>
          <w:i/>
          <w:spacing w:val="-1"/>
          <w:sz w:val="20"/>
        </w:rPr>
        <w:t> </w:t>
      </w:r>
      <w:r>
        <w:rPr>
          <w:rFonts w:ascii="Arial" w:hAnsi="Arial"/>
          <w:i/>
          <w:sz w:val="20"/>
        </w:rPr>
        <w:t>Catchment</w:t>
      </w:r>
      <w:r>
        <w:rPr>
          <w:rFonts w:ascii="Arial" w:hAnsi="Arial"/>
          <w:i/>
          <w:spacing w:val="-1"/>
          <w:sz w:val="20"/>
        </w:rPr>
        <w:t> </w:t>
      </w:r>
      <w:r>
        <w:rPr>
          <w:rFonts w:ascii="Arial" w:hAnsi="Arial"/>
          <w:i/>
          <w:sz w:val="20"/>
        </w:rPr>
        <w:t>Board</w:t>
      </w:r>
      <w:r>
        <w:rPr>
          <w:rFonts w:ascii="Arial" w:hAnsi="Arial"/>
          <w:i/>
          <w:spacing w:val="-1"/>
          <w:sz w:val="20"/>
        </w:rPr>
        <w:t> </w:t>
      </w:r>
      <w:r>
        <w:rPr>
          <w:rFonts w:ascii="Arial" w:hAnsi="Arial"/>
          <w:i/>
          <w:sz w:val="20"/>
        </w:rPr>
        <w:t>[1949]</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500,</w:t>
      </w:r>
      <w:r>
        <w:rPr>
          <w:rFonts w:ascii="Arial" w:hAnsi="Arial"/>
          <w:i/>
          <w:spacing w:val="-1"/>
          <w:sz w:val="20"/>
        </w:rPr>
        <w:t> </w:t>
      </w:r>
      <w:r>
        <w:rPr>
          <w:rFonts w:ascii="Arial" w:hAnsi="Arial"/>
          <w:i/>
          <w:sz w:val="20"/>
        </w:rPr>
        <w:t>514–516</w:t>
      </w:r>
      <w:r>
        <w:rPr>
          <w:sz w:val="20"/>
        </w:rPr>
        <w:t>; </w:t>
      </w:r>
      <w:r>
        <w:rPr>
          <w:rFonts w:ascii="Arial" w:hAnsi="Arial"/>
          <w:i/>
          <w:sz w:val="20"/>
        </w:rPr>
        <w:t>Drive Yourself Hire Co (London) Ltd v Strutt [1954] 1 Q.B. 250, 272–275</w:t>
      </w:r>
      <w:r>
        <w:rPr>
          <w:sz w:val="20"/>
        </w:rPr>
        <w:t>. </w:t>
      </w:r>
      <w:r>
        <w:rPr>
          <w:rFonts w:ascii="Arial" w:hAnsi="Arial"/>
          <w:i/>
          <w:sz w:val="20"/>
        </w:rPr>
        <w:t>Pyrene Co Ltd v Scindia Steam Navigation Co Ltd [1954] 2 Q.B. 402</w:t>
      </w:r>
      <w:r>
        <w:rPr>
          <w:sz w:val="20"/>
        </w:rPr>
        <w:t>, esp. at 426 (explained on other grounds in </w:t>
      </w:r>
      <w:r>
        <w:rPr>
          <w:rFonts w:ascii="Arial" w:hAnsi="Arial"/>
          <w:i/>
          <w:sz w:val="20"/>
        </w:rPr>
        <w:t>Scruttons</w:t>
      </w:r>
      <w:r>
        <w:rPr>
          <w:rFonts w:ascii="Arial" w:hAnsi="Arial"/>
          <w:i/>
          <w:spacing w:val="26"/>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Midland</w:t>
      </w:r>
      <w:r>
        <w:rPr>
          <w:rFonts w:ascii="Arial" w:hAnsi="Arial"/>
          <w:i/>
          <w:spacing w:val="27"/>
          <w:sz w:val="20"/>
        </w:rPr>
        <w:t> </w:t>
      </w:r>
      <w:r>
        <w:rPr>
          <w:rFonts w:ascii="Arial" w:hAnsi="Arial"/>
          <w:i/>
          <w:sz w:val="20"/>
        </w:rPr>
        <w:t>Silicones</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[1962]</w:t>
      </w:r>
      <w:r>
        <w:rPr>
          <w:rFonts w:ascii="Arial" w:hAnsi="Arial"/>
          <w:i/>
          <w:spacing w:val="27"/>
          <w:sz w:val="20"/>
        </w:rPr>
        <w:t> </w:t>
      </w:r>
      <w:r>
        <w:rPr>
          <w:rFonts w:ascii="Arial" w:hAnsi="Arial"/>
          <w:i/>
          <w:sz w:val="20"/>
        </w:rPr>
        <w:t>A.C.</w:t>
      </w:r>
      <w:r>
        <w:rPr>
          <w:rFonts w:ascii="Arial" w:hAnsi="Arial"/>
          <w:i/>
          <w:spacing w:val="27"/>
          <w:sz w:val="20"/>
        </w:rPr>
        <w:t> </w:t>
      </w:r>
      <w:r>
        <w:rPr>
          <w:rFonts w:ascii="Arial" w:hAnsi="Arial"/>
          <w:i/>
          <w:sz w:val="20"/>
        </w:rPr>
        <w:t>446,</w:t>
      </w:r>
      <w:r>
        <w:rPr>
          <w:rFonts w:ascii="Arial" w:hAnsi="Arial"/>
          <w:i/>
          <w:spacing w:val="27"/>
          <w:sz w:val="20"/>
        </w:rPr>
        <w:t> </w:t>
      </w:r>
      <w:r>
        <w:rPr>
          <w:rFonts w:ascii="Arial" w:hAnsi="Arial"/>
          <w:i/>
          <w:sz w:val="20"/>
        </w:rPr>
        <w:t>471</w:t>
      </w:r>
      <w:r>
        <w:rPr>
          <w:sz w:val="20"/>
        </w:rPr>
        <w:t>);</w:t>
      </w:r>
      <w:r>
        <w:rPr>
          <w:spacing w:val="27"/>
          <w:sz w:val="20"/>
        </w:rPr>
        <w:t> </w:t>
      </w:r>
      <w:r>
        <w:rPr>
          <w:rFonts w:ascii="Arial" w:hAnsi="Arial"/>
          <w:i/>
          <w:sz w:val="20"/>
        </w:rPr>
        <w:t>Rayfield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Hands</w:t>
      </w:r>
      <w:r>
        <w:rPr>
          <w:rFonts w:ascii="Arial" w:hAnsi="Arial"/>
          <w:i/>
          <w:spacing w:val="27"/>
          <w:sz w:val="20"/>
        </w:rPr>
        <w:t> </w:t>
      </w:r>
      <w:r>
        <w:rPr>
          <w:rFonts w:ascii="Arial" w:hAnsi="Arial"/>
          <w:i/>
          <w:sz w:val="20"/>
        </w:rPr>
        <w:t>[1960]</w:t>
      </w:r>
      <w:r>
        <w:rPr>
          <w:rFonts w:ascii="Arial" w:hAnsi="Arial"/>
          <w:i/>
          <w:spacing w:val="27"/>
          <w:sz w:val="20"/>
        </w:rPr>
        <w:t> </w:t>
      </w:r>
      <w:r>
        <w:rPr>
          <w:rFonts w:ascii="Arial" w:hAnsi="Arial"/>
          <w:i/>
          <w:sz w:val="20"/>
        </w:rPr>
        <w:t>Ch.</w:t>
      </w:r>
      <w:r>
        <w:rPr>
          <w:rFonts w:ascii="Arial" w:hAnsi="Arial"/>
          <w:i/>
          <w:spacing w:val="27"/>
          <w:sz w:val="20"/>
        </w:rPr>
        <w:t> </w:t>
      </w:r>
      <w:r>
        <w:rPr>
          <w:rFonts w:ascii="Arial" w:hAnsi="Arial"/>
          <w:i/>
          <w:spacing w:val="-5"/>
          <w:sz w:val="20"/>
        </w:rPr>
        <w:t>1</w:t>
      </w:r>
      <w:r>
        <w:rPr>
          <w:spacing w:val="-5"/>
          <w:sz w:val="20"/>
        </w:rPr>
        <w:t>;</w:t>
      </w:r>
    </w:p>
    <w:p>
      <w:pPr>
        <w:pStyle w:val="BodyText"/>
        <w:spacing w:line="225" w:lineRule="exact"/>
        <w:ind w:left="705"/>
      </w:pPr>
      <w:r>
        <w:rPr/>
        <w:t>Dowrick (1956) 19 M.L.R. 375. cf. Flannigan (1987) 103 L.Q.R. 564; Andrews (1988) 8 L.S. </w:t>
      </w:r>
      <w:r>
        <w:rPr>
          <w:spacing w:val="-5"/>
        </w:rPr>
        <w:t>14.</w:t>
      </w:r>
    </w:p>
    <w:p>
      <w:pPr>
        <w:pStyle w:val="BodyText"/>
        <w:spacing w:before="9"/>
      </w:pPr>
    </w:p>
    <w:p>
      <w:pPr>
        <w:pStyle w:val="BodyText"/>
        <w:spacing w:line="235" w:lineRule="auto"/>
        <w:ind w:left="705" w:right="167" w:hanging="541"/>
        <w:jc w:val="both"/>
      </w:pPr>
      <w:bookmarkStart w:name="_bookmark232" w:id="234"/>
      <w:bookmarkEnd w:id="234"/>
      <w:r>
        <w:rPr/>
      </w:r>
      <w:hyperlink w:history="true" w:anchor="_bookmark210">
        <w:r>
          <w:rPr>
            <w:color w:val="005DA1"/>
            <w:position w:val="5"/>
            <w:sz w:val="14"/>
            <w:u w:val="single" w:color="005DA1"/>
          </w:rPr>
          <w:t>114</w:t>
        </w:r>
      </w:hyperlink>
      <w:r>
        <w:rPr>
          <w:position w:val="5"/>
          <w:sz w:val="14"/>
        </w:rPr>
        <w:t>.</w:t>
      </w:r>
      <w:r>
        <w:rPr>
          <w:spacing w:val="40"/>
          <w:position w:val="5"/>
          <w:sz w:val="14"/>
        </w:rPr>
        <w:t>  </w:t>
      </w:r>
      <w:r>
        <w:rPr/>
        <w:t>In </w:t>
      </w:r>
      <w:r>
        <w:rPr>
          <w:rFonts w:ascii="Arial" w:hAnsi="Arial"/>
          <w:i/>
        </w:rPr>
        <w:t>Scruttons Ltd v Midland Silicones Ltd [1962] A.C. 446</w:t>
      </w:r>
      <w:r>
        <w:rPr/>
        <w:t>; above, para.15-050. The Court </w:t>
      </w:r>
      <w:r>
        <w:rPr/>
        <w:t>of Appeal had taken a similar view of the continued existence of the doctrine in </w:t>
      </w:r>
      <w:r>
        <w:rPr>
          <w:rFonts w:ascii="Arial" w:hAnsi="Arial"/>
          <w:i/>
        </w:rPr>
        <w:t>Green v Russell [1959] 2 Q.B. 226</w:t>
      </w:r>
      <w:r>
        <w:rPr/>
        <w:t>. Parts of the passage from the </w:t>
      </w:r>
      <w:r>
        <w:rPr>
          <w:rFonts w:ascii="Arial" w:hAnsi="Arial"/>
          <w:i/>
        </w:rPr>
        <w:t>Pyrene </w:t>
      </w:r>
      <w:r>
        <w:rPr/>
        <w:t>case at 426 referred to in n.111 above are cited with approval in </w:t>
      </w:r>
      <w:r>
        <w:rPr>
          <w:rFonts w:ascii="Arial" w:hAnsi="Arial"/>
          <w:i/>
        </w:rPr>
        <w:t>AP Moeller-Maersk A/S v Sonaec Villas Cen Sad Fadoul [2010] EWHC 355 (Comm), [2010] 2 All E. R. (Comm) 1159</w:t>
      </w:r>
      <w:r>
        <w:rPr/>
        <w:t>. It is there said at [45] that Devlin J. had,</w:t>
      </w:r>
      <w:r>
        <w:rPr>
          <w:spacing w:val="40"/>
        </w:rPr>
        <w:t> </w:t>
      </w:r>
      <w:r>
        <w:rPr/>
        <w:t>in the </w:t>
      </w:r>
      <w:r>
        <w:rPr>
          <w:rFonts w:ascii="Arial" w:hAnsi="Arial"/>
          <w:i/>
        </w:rPr>
        <w:t>Pyrene </w:t>
      </w:r>
      <w:r>
        <w:rPr/>
        <w:t>case, “considered that the seller participated in the contract of affreightment [between buyer and carrier] so far as it affected him”, and so was bound by a term in it limiting the carrier’s liability even though he (the seller) was not a party to that contract. But the</w:t>
      </w:r>
      <w:r>
        <w:rPr>
          <w:spacing w:val="40"/>
        </w:rPr>
        <w:t> </w:t>
      </w:r>
      <w:r>
        <w:rPr/>
        <w:t>attention of the court in the </w:t>
      </w:r>
      <w:r>
        <w:rPr>
          <w:rFonts w:ascii="Arial" w:hAnsi="Arial"/>
          <w:i/>
        </w:rPr>
        <w:t>Moeller-Maersk </w:t>
      </w:r>
      <w:r>
        <w:rPr/>
        <w:t>case was not drawn to Lord Simonds’ statement in the </w:t>
      </w:r>
      <w:r>
        <w:rPr>
          <w:rFonts w:ascii="Arial" w:hAnsi="Arial"/>
          <w:i/>
        </w:rPr>
        <w:t>Scruttons </w:t>
      </w:r>
      <w:r>
        <w:rPr/>
        <w:t>case, above at 471 that the </w:t>
      </w:r>
      <w:r>
        <w:rPr>
          <w:rFonts w:ascii="Arial" w:hAnsi="Arial"/>
          <w:i/>
        </w:rPr>
        <w:t>Pyrene </w:t>
      </w:r>
      <w:r>
        <w:rPr/>
        <w:t>case could be “supported only on the facts of the case which may well have justified the implication of a contract between the parties” (i.e., between seller and carrier, so that there was privity of contract between them). For the “facts of the [</w:t>
      </w:r>
      <w:r>
        <w:rPr>
          <w:rFonts w:ascii="Arial" w:hAnsi="Arial"/>
          <w:i/>
        </w:rPr>
        <w:t>Pyrene</w:t>
      </w:r>
      <w:r>
        <w:rPr/>
        <w:t>] case” that appear there to have justified such an implication, see Carver on Bills of Lading, 3rd ed. (2011), para.4–024.</w:t>
      </w:r>
    </w:p>
    <w:p>
      <w:pPr>
        <w:pStyle w:val="BodyText"/>
        <w:spacing w:before="4"/>
      </w:pPr>
    </w:p>
    <w:p>
      <w:pPr>
        <w:spacing w:line="235" w:lineRule="auto" w:before="1"/>
        <w:ind w:left="705" w:right="167" w:hanging="541"/>
        <w:jc w:val="both"/>
        <w:rPr>
          <w:rFonts w:ascii="Arial" w:hAnsi="Arial"/>
          <w:i/>
          <w:sz w:val="20"/>
        </w:rPr>
      </w:pPr>
      <w:bookmarkStart w:name="_bookmark233" w:id="235"/>
      <w:bookmarkEnd w:id="235"/>
      <w:r>
        <w:rPr/>
      </w:r>
      <w:hyperlink w:history="true" w:anchor="_bookmark211">
        <w:r>
          <w:rPr>
            <w:color w:val="005DA1"/>
            <w:position w:val="5"/>
            <w:sz w:val="14"/>
            <w:u w:val="single" w:color="005DA1"/>
          </w:rPr>
          <w:t>115</w:t>
        </w:r>
      </w:hyperlink>
      <w:r>
        <w:rPr>
          <w:position w:val="5"/>
          <w:sz w:val="14"/>
        </w:rPr>
        <w:t>.</w:t>
      </w:r>
      <w:r>
        <w:rPr>
          <w:spacing w:val="80"/>
          <w:position w:val="5"/>
          <w:sz w:val="14"/>
        </w:rPr>
        <w:t>  </w:t>
      </w:r>
      <w:r>
        <w:rPr>
          <w:rFonts w:ascii="Arial" w:hAnsi="Arial"/>
          <w:i/>
          <w:sz w:val="20"/>
        </w:rPr>
        <w:t>Rookes v Barnard [1964] A.C. 1129</w:t>
      </w:r>
      <w:r>
        <w:rPr>
          <w:sz w:val="20"/>
        </w:rPr>
        <w:t>; </w:t>
      </w:r>
      <w:r>
        <w:rPr>
          <w:rFonts w:ascii="Arial" w:hAnsi="Arial"/>
          <w:i/>
          <w:sz w:val="20"/>
        </w:rPr>
        <w:t>Hepburn v A. Tomlinson (Hauliers) Ltd [1966] A.C. 451</w:t>
      </w:r>
      <w:r>
        <w:rPr>
          <w:sz w:val="20"/>
        </w:rPr>
        <w:t>; </w:t>
      </w:r>
      <w:r>
        <w:rPr>
          <w:rFonts w:ascii="Arial" w:hAnsi="Arial"/>
          <w:i/>
          <w:sz w:val="20"/>
        </w:rPr>
        <w:t>New Zealand Shipping Co Ltd v A.M. Satterthwaite Ltd (The Eurymedon) [1975] A.C. 154</w:t>
      </w:r>
      <w:r>
        <w:rPr>
          <w:sz w:val="20"/>
        </w:rPr>
        <w:t>; </w:t>
      </w:r>
      <w:r>
        <w:rPr>
          <w:rFonts w:ascii="Arial" w:hAnsi="Arial"/>
          <w:i/>
          <w:sz w:val="20"/>
        </w:rPr>
        <w:t>Port Jackson Stevedoring Pty Ltd v Salmond &amp; Spraggon (Australia) Pty Ltd (The New York Star) [1980] 1 W.L.R. 138</w:t>
      </w:r>
      <w:r>
        <w:rPr>
          <w:sz w:val="20"/>
        </w:rPr>
        <w:t>; </w:t>
      </w:r>
      <w:r>
        <w:rPr>
          <w:rFonts w:ascii="Arial" w:hAnsi="Arial"/>
          <w:i/>
          <w:sz w:val="20"/>
        </w:rPr>
        <w:t>Woodar Investment Development Ltd v Wimpey Construction UK </w:t>
      </w:r>
      <w:r>
        <w:rPr>
          <w:rFonts w:ascii="Arial" w:hAnsi="Arial"/>
          <w:i/>
          <w:sz w:val="20"/>
        </w:rPr>
        <w:t>Ltd [1980]</w:t>
      </w:r>
      <w:r>
        <w:rPr>
          <w:rFonts w:ascii="Arial" w:hAnsi="Arial"/>
          <w:i/>
          <w:spacing w:val="58"/>
          <w:sz w:val="20"/>
        </w:rPr>
        <w:t> </w:t>
      </w:r>
      <w:r>
        <w:rPr>
          <w:rFonts w:ascii="Arial" w:hAnsi="Arial"/>
          <w:i/>
          <w:sz w:val="20"/>
        </w:rPr>
        <w:t>1</w:t>
      </w:r>
      <w:r>
        <w:rPr>
          <w:rFonts w:ascii="Arial" w:hAnsi="Arial"/>
          <w:i/>
          <w:spacing w:val="59"/>
          <w:sz w:val="20"/>
        </w:rPr>
        <w:t> </w:t>
      </w:r>
      <w:r>
        <w:rPr>
          <w:rFonts w:ascii="Arial" w:hAnsi="Arial"/>
          <w:i/>
          <w:sz w:val="20"/>
        </w:rPr>
        <w:t>W.L.R.</w:t>
      </w:r>
      <w:r>
        <w:rPr>
          <w:rFonts w:ascii="Arial" w:hAnsi="Arial"/>
          <w:i/>
          <w:spacing w:val="59"/>
          <w:sz w:val="20"/>
        </w:rPr>
        <w:t> </w:t>
      </w:r>
      <w:r>
        <w:rPr>
          <w:rFonts w:ascii="Arial" w:hAnsi="Arial"/>
          <w:i/>
          <w:sz w:val="20"/>
        </w:rPr>
        <w:t>277</w:t>
      </w:r>
      <w:r>
        <w:rPr>
          <w:sz w:val="20"/>
        </w:rPr>
        <w:t>;</w:t>
      </w:r>
      <w:r>
        <w:rPr>
          <w:spacing w:val="59"/>
          <w:sz w:val="20"/>
        </w:rPr>
        <w:t> </w:t>
      </w:r>
      <w:r>
        <w:rPr>
          <w:rFonts w:ascii="Arial" w:hAnsi="Arial"/>
          <w:i/>
          <w:sz w:val="20"/>
        </w:rPr>
        <w:t>Balsamo</w:t>
      </w:r>
      <w:r>
        <w:rPr>
          <w:rFonts w:ascii="Arial" w:hAnsi="Arial"/>
          <w:i/>
          <w:spacing w:val="59"/>
          <w:sz w:val="20"/>
        </w:rPr>
        <w:t> </w:t>
      </w:r>
      <w:r>
        <w:rPr>
          <w:rFonts w:ascii="Arial" w:hAnsi="Arial"/>
          <w:i/>
          <w:sz w:val="20"/>
        </w:rPr>
        <w:t>v</w:t>
      </w:r>
      <w:r>
        <w:rPr>
          <w:rFonts w:ascii="Arial" w:hAnsi="Arial"/>
          <w:i/>
          <w:spacing w:val="59"/>
          <w:sz w:val="20"/>
        </w:rPr>
        <w:t> </w:t>
      </w:r>
      <w:r>
        <w:rPr>
          <w:rFonts w:ascii="Arial" w:hAnsi="Arial"/>
          <w:i/>
          <w:sz w:val="20"/>
        </w:rPr>
        <w:t>Medici</w:t>
      </w:r>
      <w:r>
        <w:rPr>
          <w:rFonts w:ascii="Arial" w:hAnsi="Arial"/>
          <w:i/>
          <w:spacing w:val="58"/>
          <w:sz w:val="20"/>
        </w:rPr>
        <w:t> </w:t>
      </w:r>
      <w:r>
        <w:rPr>
          <w:rFonts w:ascii="Arial" w:hAnsi="Arial"/>
          <w:i/>
          <w:sz w:val="20"/>
        </w:rPr>
        <w:t>[1984]</w:t>
      </w:r>
      <w:r>
        <w:rPr>
          <w:rFonts w:ascii="Arial" w:hAnsi="Arial"/>
          <w:i/>
          <w:spacing w:val="59"/>
          <w:sz w:val="20"/>
        </w:rPr>
        <w:t> </w:t>
      </w:r>
      <w:r>
        <w:rPr>
          <w:rFonts w:ascii="Arial" w:hAnsi="Arial"/>
          <w:i/>
          <w:sz w:val="20"/>
        </w:rPr>
        <w:t>1</w:t>
      </w:r>
      <w:r>
        <w:rPr>
          <w:rFonts w:ascii="Arial" w:hAnsi="Arial"/>
          <w:i/>
          <w:spacing w:val="59"/>
          <w:sz w:val="20"/>
        </w:rPr>
        <w:t> </w:t>
      </w:r>
      <w:r>
        <w:rPr>
          <w:rFonts w:ascii="Arial" w:hAnsi="Arial"/>
          <w:i/>
          <w:sz w:val="20"/>
        </w:rPr>
        <w:t>W.L.R.</w:t>
      </w:r>
      <w:r>
        <w:rPr>
          <w:rFonts w:ascii="Arial" w:hAnsi="Arial"/>
          <w:i/>
          <w:spacing w:val="59"/>
          <w:sz w:val="20"/>
        </w:rPr>
        <w:t> </w:t>
      </w:r>
      <w:r>
        <w:rPr>
          <w:rFonts w:ascii="Arial" w:hAnsi="Arial"/>
          <w:i/>
          <w:sz w:val="20"/>
        </w:rPr>
        <w:t>951,</w:t>
      </w:r>
      <w:r>
        <w:rPr>
          <w:rFonts w:ascii="Arial" w:hAnsi="Arial"/>
          <w:i/>
          <w:spacing w:val="59"/>
          <w:sz w:val="20"/>
        </w:rPr>
        <w:t> </w:t>
      </w:r>
      <w:r>
        <w:rPr>
          <w:rFonts w:ascii="Arial" w:hAnsi="Arial"/>
          <w:i/>
          <w:sz w:val="20"/>
        </w:rPr>
        <w:t>959–960</w:t>
      </w:r>
      <w:r>
        <w:rPr>
          <w:sz w:val="20"/>
        </w:rPr>
        <w:t>;</w:t>
      </w:r>
      <w:r>
        <w:rPr>
          <w:spacing w:val="59"/>
          <w:sz w:val="20"/>
        </w:rPr>
        <w:t> </w:t>
      </w:r>
      <w:r>
        <w:rPr>
          <w:rFonts w:ascii="Arial" w:hAnsi="Arial"/>
          <w:i/>
          <w:sz w:val="20"/>
        </w:rPr>
        <w:t>Southern</w:t>
      </w:r>
      <w:r>
        <w:rPr>
          <w:rFonts w:ascii="Arial" w:hAnsi="Arial"/>
          <w:i/>
          <w:spacing w:val="59"/>
          <w:sz w:val="20"/>
        </w:rPr>
        <w:t> </w:t>
      </w:r>
      <w:r>
        <w:rPr>
          <w:rFonts w:ascii="Arial" w:hAnsi="Arial"/>
          <w:i/>
          <w:spacing w:val="-2"/>
          <w:sz w:val="20"/>
        </w:rPr>
        <w:t>Water</w:t>
      </w:r>
    </w:p>
    <w:p>
      <w:pPr>
        <w:spacing w:after="0" w:line="235" w:lineRule="auto"/>
        <w:jc w:val="both"/>
        <w:rPr>
          <w:rFonts w:ascii="Arial" w:hAnsi="Arial"/>
          <w:i/>
          <w:sz w:val="20"/>
        </w:rPr>
        <w:sectPr>
          <w:pgSz w:w="11900" w:h="16840"/>
          <w:pgMar w:header="971" w:footer="0" w:top="1160" w:bottom="280" w:left="1275" w:right="1275"/>
        </w:sectPr>
      </w:pPr>
    </w:p>
    <w:p>
      <w:pPr>
        <w:pStyle w:val="BodyText"/>
        <w:spacing w:before="24"/>
        <w:rPr>
          <w:rFonts w:ascii="Arial"/>
          <w:i/>
        </w:rPr>
      </w:pPr>
    </w:p>
    <w:p>
      <w:pPr>
        <w:spacing w:line="235" w:lineRule="auto" w:before="1"/>
        <w:ind w:left="705" w:right="168" w:firstLine="0"/>
        <w:jc w:val="both"/>
        <w:rPr>
          <w:rFonts w:ascii="Arial" w:hAnsi="Arial"/>
          <w:i/>
          <w:sz w:val="20"/>
        </w:rPr>
      </w:pPr>
      <w:r>
        <w:rPr>
          <w:rFonts w:ascii="Arial" w:hAnsi="Arial"/>
          <w:i/>
          <w:sz w:val="20"/>
        </w:rPr>
        <w:t>Authority v Carey [1985] 2 All E.R. 1077, 1083</w:t>
      </w:r>
      <w:r>
        <w:rPr>
          <w:sz w:val="20"/>
        </w:rPr>
        <w:t>; </w:t>
      </w:r>
      <w:r>
        <w:rPr>
          <w:rFonts w:ascii="Arial" w:hAnsi="Arial"/>
          <w:i/>
          <w:sz w:val="20"/>
        </w:rPr>
        <w:t>The Forum Craftsman [1985] 1 Lloyd’s Rep. 291, 295</w:t>
      </w:r>
      <w:r>
        <w:rPr>
          <w:sz w:val="20"/>
        </w:rPr>
        <w:t>; </w:t>
      </w:r>
      <w:r>
        <w:rPr>
          <w:rFonts w:ascii="Arial" w:hAnsi="Arial"/>
          <w:i/>
          <w:sz w:val="20"/>
        </w:rPr>
        <w:t>Swiss Bank Corp. v Brink’s-Mat Ltd [1986] 2 Lloyd’s Rep. 79</w:t>
      </w:r>
      <w:r>
        <w:rPr>
          <w:sz w:val="20"/>
        </w:rPr>
        <w:t>; </w:t>
      </w:r>
      <w:r>
        <w:rPr>
          <w:rFonts w:ascii="Arial" w:hAnsi="Arial"/>
          <w:i/>
          <w:sz w:val="20"/>
        </w:rPr>
        <w:t>Singer (UK) Ltd v </w:t>
      </w:r>
      <w:r>
        <w:rPr>
          <w:rFonts w:ascii="Arial" w:hAnsi="Arial"/>
          <w:i/>
          <w:sz w:val="20"/>
        </w:rPr>
        <w:t>Tees &amp;</w:t>
      </w:r>
      <w:r>
        <w:rPr>
          <w:rFonts w:ascii="Arial" w:hAnsi="Arial"/>
          <w:i/>
          <w:spacing w:val="19"/>
          <w:sz w:val="20"/>
        </w:rPr>
        <w:t> </w:t>
      </w:r>
      <w:r>
        <w:rPr>
          <w:rFonts w:ascii="Arial" w:hAnsi="Arial"/>
          <w:i/>
          <w:sz w:val="20"/>
        </w:rPr>
        <w:t>Hartlepool</w:t>
      </w:r>
      <w:r>
        <w:rPr>
          <w:rFonts w:ascii="Arial" w:hAnsi="Arial"/>
          <w:i/>
          <w:spacing w:val="20"/>
          <w:sz w:val="20"/>
        </w:rPr>
        <w:t> </w:t>
      </w:r>
      <w:r>
        <w:rPr>
          <w:rFonts w:ascii="Arial" w:hAnsi="Arial"/>
          <w:i/>
          <w:sz w:val="20"/>
        </w:rPr>
        <w:t>Port</w:t>
      </w:r>
      <w:r>
        <w:rPr>
          <w:rFonts w:ascii="Arial" w:hAnsi="Arial"/>
          <w:i/>
          <w:spacing w:val="20"/>
          <w:sz w:val="20"/>
        </w:rPr>
        <w:t> </w:t>
      </w:r>
      <w:r>
        <w:rPr>
          <w:rFonts w:ascii="Arial" w:hAnsi="Arial"/>
          <w:i/>
          <w:sz w:val="20"/>
        </w:rPr>
        <w:t>Authority</w:t>
      </w:r>
      <w:r>
        <w:rPr>
          <w:rFonts w:ascii="Arial" w:hAnsi="Arial"/>
          <w:i/>
          <w:spacing w:val="20"/>
          <w:sz w:val="20"/>
        </w:rPr>
        <w:t> </w:t>
      </w:r>
      <w:r>
        <w:rPr>
          <w:rFonts w:ascii="Arial" w:hAnsi="Arial"/>
          <w:i/>
          <w:sz w:val="20"/>
        </w:rPr>
        <w:t>[1988]</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164,</w:t>
      </w:r>
      <w:r>
        <w:rPr>
          <w:rFonts w:ascii="Arial" w:hAnsi="Arial"/>
          <w:i/>
          <w:spacing w:val="20"/>
          <w:sz w:val="20"/>
        </w:rPr>
        <w:t> </w:t>
      </w:r>
      <w:r>
        <w:rPr>
          <w:rFonts w:ascii="Arial" w:hAnsi="Arial"/>
          <w:i/>
          <w:sz w:val="20"/>
        </w:rPr>
        <w:t>167</w:t>
      </w:r>
      <w:r>
        <w:rPr>
          <w:sz w:val="20"/>
        </w:rPr>
        <w:t>;</w:t>
      </w:r>
      <w:r>
        <w:rPr>
          <w:spacing w:val="20"/>
          <w:sz w:val="20"/>
        </w:rPr>
        <w:t> </w:t>
      </w:r>
      <w:r>
        <w:rPr>
          <w:rFonts w:ascii="Arial" w:hAnsi="Arial"/>
          <w:i/>
          <w:sz w:val="20"/>
        </w:rPr>
        <w:t>J.H.</w:t>
      </w:r>
      <w:r>
        <w:rPr>
          <w:rFonts w:ascii="Arial" w:hAnsi="Arial"/>
          <w:i/>
          <w:spacing w:val="20"/>
          <w:sz w:val="20"/>
        </w:rPr>
        <w:t> </w:t>
      </w:r>
      <w:r>
        <w:rPr>
          <w:rFonts w:ascii="Arial" w:hAnsi="Arial"/>
          <w:i/>
          <w:sz w:val="20"/>
        </w:rPr>
        <w:t>Rayner</w:t>
      </w:r>
      <w:r>
        <w:rPr>
          <w:rFonts w:ascii="Arial" w:hAnsi="Arial"/>
          <w:i/>
          <w:spacing w:val="20"/>
          <w:sz w:val="20"/>
        </w:rPr>
        <w:t> </w:t>
      </w:r>
      <w:r>
        <w:rPr>
          <w:rFonts w:ascii="Arial" w:hAnsi="Arial"/>
          <w:i/>
          <w:sz w:val="20"/>
        </w:rPr>
        <w:t>(Mincing</w:t>
      </w:r>
      <w:r>
        <w:rPr>
          <w:rFonts w:ascii="Arial" w:hAnsi="Arial"/>
          <w:i/>
          <w:spacing w:val="20"/>
          <w:sz w:val="20"/>
        </w:rPr>
        <w:t> </w:t>
      </w:r>
      <w:r>
        <w:rPr>
          <w:rFonts w:ascii="Arial" w:hAnsi="Arial"/>
          <w:i/>
          <w:sz w:val="20"/>
        </w:rPr>
        <w:t>Lane)</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pacing w:val="-10"/>
          <w:sz w:val="20"/>
        </w:rPr>
        <w:t>v</w:t>
      </w:r>
    </w:p>
    <w:p>
      <w:pPr>
        <w:spacing w:line="235" w:lineRule="auto" w:before="0"/>
        <w:ind w:left="705" w:right="168" w:firstLine="0"/>
        <w:jc w:val="both"/>
        <w:rPr>
          <w:rFonts w:ascii="Arial" w:hAnsi="Arial"/>
          <w:i/>
          <w:sz w:val="20"/>
        </w:rPr>
      </w:pPr>
      <w:r>
        <w:rPr>
          <w:rFonts w:ascii="Arial" w:hAnsi="Arial"/>
          <w:i/>
          <w:sz w:val="20"/>
        </w:rPr>
        <w:t>D.T.I. [1990] A.C. 643, 662</w:t>
      </w:r>
      <w:r>
        <w:rPr>
          <w:sz w:val="20"/>
        </w:rPr>
        <w:t>; </w:t>
      </w:r>
      <w:r>
        <w:rPr>
          <w:rFonts w:ascii="Arial" w:hAnsi="Arial"/>
          <w:i/>
          <w:sz w:val="20"/>
        </w:rPr>
        <w:t>Cia. Portorafti Commerciale SA v Panama Inc. (The </w:t>
      </w:r>
      <w:r>
        <w:rPr>
          <w:rFonts w:ascii="Arial" w:hAnsi="Arial"/>
          <w:i/>
          <w:sz w:val="20"/>
        </w:rPr>
        <w:t>Captain Gregos) [1990] 1 Lloyd’s Rep. 310, 318</w:t>
      </w:r>
      <w:r>
        <w:rPr>
          <w:sz w:val="20"/>
        </w:rPr>
        <w:t>; </w:t>
      </w:r>
      <w:r>
        <w:rPr>
          <w:rFonts w:ascii="Arial" w:hAnsi="Arial"/>
          <w:i/>
          <w:sz w:val="20"/>
        </w:rPr>
        <w:t>Law Debenture Trust Corp. v Ural Caspian Oil Corp. Ltd</w:t>
      </w:r>
      <w:r>
        <w:rPr>
          <w:rFonts w:ascii="Arial" w:hAnsi="Arial"/>
          <w:i/>
          <w:spacing w:val="25"/>
          <w:sz w:val="20"/>
        </w:rPr>
        <w:t> </w:t>
      </w:r>
      <w:r>
        <w:rPr>
          <w:rFonts w:ascii="Arial" w:hAnsi="Arial"/>
          <w:i/>
          <w:sz w:val="20"/>
        </w:rPr>
        <w:t>[1993]</w:t>
      </w:r>
      <w:r>
        <w:rPr>
          <w:rFonts w:ascii="Arial" w:hAnsi="Arial"/>
          <w:i/>
          <w:spacing w:val="26"/>
          <w:sz w:val="20"/>
        </w:rPr>
        <w:t> </w:t>
      </w:r>
      <w:r>
        <w:rPr>
          <w:rFonts w:ascii="Arial" w:hAnsi="Arial"/>
          <w:i/>
          <w:sz w:val="20"/>
        </w:rPr>
        <w:t>2</w:t>
      </w:r>
      <w:r>
        <w:rPr>
          <w:rFonts w:ascii="Arial" w:hAnsi="Arial"/>
          <w:i/>
          <w:spacing w:val="26"/>
          <w:sz w:val="20"/>
        </w:rPr>
        <w:t> </w:t>
      </w:r>
      <w:r>
        <w:rPr>
          <w:rFonts w:ascii="Arial" w:hAnsi="Arial"/>
          <w:i/>
          <w:sz w:val="20"/>
        </w:rPr>
        <w:t>All</w:t>
      </w:r>
      <w:r>
        <w:rPr>
          <w:rFonts w:ascii="Arial" w:hAnsi="Arial"/>
          <w:i/>
          <w:spacing w:val="26"/>
          <w:sz w:val="20"/>
        </w:rPr>
        <w:t> </w:t>
      </w:r>
      <w:r>
        <w:rPr>
          <w:rFonts w:ascii="Arial" w:hAnsi="Arial"/>
          <w:i/>
          <w:sz w:val="20"/>
        </w:rPr>
        <w:t>E.R.</w:t>
      </w:r>
      <w:r>
        <w:rPr>
          <w:rFonts w:ascii="Arial" w:hAnsi="Arial"/>
          <w:i/>
          <w:spacing w:val="26"/>
          <w:sz w:val="20"/>
        </w:rPr>
        <w:t> </w:t>
      </w:r>
      <w:r>
        <w:rPr>
          <w:rFonts w:ascii="Arial" w:hAnsi="Arial"/>
          <w:i/>
          <w:sz w:val="20"/>
        </w:rPr>
        <w:t>355,</w:t>
      </w:r>
      <w:r>
        <w:rPr>
          <w:rFonts w:ascii="Arial" w:hAnsi="Arial"/>
          <w:i/>
          <w:spacing w:val="26"/>
          <w:sz w:val="20"/>
        </w:rPr>
        <w:t> </w:t>
      </w:r>
      <w:r>
        <w:rPr>
          <w:rFonts w:ascii="Arial" w:hAnsi="Arial"/>
          <w:i/>
          <w:sz w:val="20"/>
        </w:rPr>
        <w:t>365</w:t>
      </w:r>
      <w:r>
        <w:rPr>
          <w:sz w:val="20"/>
        </w:rPr>
        <w:t>;</w:t>
      </w:r>
      <w:r>
        <w:rPr>
          <w:spacing w:val="26"/>
          <w:sz w:val="20"/>
        </w:rPr>
        <w:t> </w:t>
      </w:r>
      <w:r>
        <w:rPr>
          <w:sz w:val="20"/>
        </w:rPr>
        <w:t>(reversed</w:t>
      </w:r>
      <w:r>
        <w:rPr>
          <w:spacing w:val="26"/>
          <w:sz w:val="20"/>
        </w:rPr>
        <w:t> </w:t>
      </w:r>
      <w:r>
        <w:rPr>
          <w:sz w:val="20"/>
        </w:rPr>
        <w:t>on</w:t>
      </w:r>
      <w:r>
        <w:rPr>
          <w:spacing w:val="25"/>
          <w:sz w:val="20"/>
        </w:rPr>
        <w:t> </w:t>
      </w:r>
      <w:r>
        <w:rPr>
          <w:sz w:val="20"/>
        </w:rPr>
        <w:t>another</w:t>
      </w:r>
      <w:r>
        <w:rPr>
          <w:spacing w:val="26"/>
          <w:sz w:val="20"/>
        </w:rPr>
        <w:t> </w:t>
      </w:r>
      <w:r>
        <w:rPr>
          <w:sz w:val="20"/>
        </w:rPr>
        <w:t>point,</w:t>
      </w:r>
      <w:r>
        <w:rPr>
          <w:spacing w:val="26"/>
          <w:sz w:val="20"/>
        </w:rPr>
        <w:t> </w:t>
      </w:r>
      <w:r>
        <w:rPr>
          <w:rFonts w:ascii="Arial" w:hAnsi="Arial"/>
          <w:i/>
          <w:sz w:val="20"/>
        </w:rPr>
        <w:t>[1995]</w:t>
      </w:r>
      <w:r>
        <w:rPr>
          <w:rFonts w:ascii="Arial" w:hAnsi="Arial"/>
          <w:i/>
          <w:spacing w:val="26"/>
          <w:sz w:val="20"/>
        </w:rPr>
        <w:t> </w:t>
      </w:r>
      <w:r>
        <w:rPr>
          <w:rFonts w:ascii="Arial" w:hAnsi="Arial"/>
          <w:i/>
          <w:sz w:val="20"/>
        </w:rPr>
        <w:t>Ch.</w:t>
      </w:r>
      <w:r>
        <w:rPr>
          <w:rFonts w:ascii="Arial" w:hAnsi="Arial"/>
          <w:i/>
          <w:spacing w:val="26"/>
          <w:sz w:val="20"/>
        </w:rPr>
        <w:t> </w:t>
      </w:r>
      <w:r>
        <w:rPr>
          <w:rFonts w:ascii="Arial" w:hAnsi="Arial"/>
          <w:i/>
          <w:sz w:val="20"/>
        </w:rPr>
        <w:t>152</w:t>
      </w:r>
      <w:r>
        <w:rPr>
          <w:sz w:val="20"/>
        </w:rPr>
        <w:t>);</w:t>
      </w:r>
      <w:r>
        <w:rPr>
          <w:spacing w:val="26"/>
          <w:sz w:val="20"/>
        </w:rPr>
        <w:t> </w:t>
      </w:r>
      <w:r>
        <w:rPr>
          <w:rFonts w:ascii="Arial" w:hAnsi="Arial"/>
          <w:i/>
          <w:sz w:val="20"/>
        </w:rPr>
        <w:t>Siu</w:t>
      </w:r>
      <w:r>
        <w:rPr>
          <w:rFonts w:ascii="Arial" w:hAnsi="Arial"/>
          <w:i/>
          <w:spacing w:val="26"/>
          <w:sz w:val="20"/>
        </w:rPr>
        <w:t> </w:t>
      </w:r>
      <w:r>
        <w:rPr>
          <w:rFonts w:ascii="Arial" w:hAnsi="Arial"/>
          <w:i/>
          <w:sz w:val="20"/>
        </w:rPr>
        <w:t>Yin</w:t>
      </w:r>
      <w:r>
        <w:rPr>
          <w:rFonts w:ascii="Arial" w:hAnsi="Arial"/>
          <w:i/>
          <w:spacing w:val="26"/>
          <w:sz w:val="20"/>
        </w:rPr>
        <w:t> </w:t>
      </w:r>
      <w:r>
        <w:rPr>
          <w:rFonts w:ascii="Arial" w:hAnsi="Arial"/>
          <w:i/>
          <w:sz w:val="20"/>
        </w:rPr>
        <w:t>Kwan</w:t>
      </w:r>
      <w:r>
        <w:rPr>
          <w:rFonts w:ascii="Arial" w:hAnsi="Arial"/>
          <w:i/>
          <w:spacing w:val="26"/>
          <w:sz w:val="20"/>
        </w:rPr>
        <w:t> </w:t>
      </w:r>
      <w:r>
        <w:rPr>
          <w:rFonts w:ascii="Arial" w:hAnsi="Arial"/>
          <w:i/>
          <w:spacing w:val="-10"/>
          <w:sz w:val="20"/>
        </w:rPr>
        <w:t>v</w:t>
      </w:r>
    </w:p>
    <w:p>
      <w:pPr>
        <w:spacing w:line="235" w:lineRule="auto" w:before="0"/>
        <w:ind w:left="705" w:right="168" w:firstLine="0"/>
        <w:jc w:val="both"/>
        <w:rPr>
          <w:rFonts w:ascii="Arial"/>
          <w:i/>
          <w:sz w:val="20"/>
        </w:rPr>
      </w:pPr>
      <w:r>
        <w:rPr>
          <w:rFonts w:ascii="Arial"/>
          <w:i/>
          <w:sz w:val="20"/>
        </w:rPr>
        <w:t>Eastern Insurance [1994] 2 A.C. 199, 207</w:t>
      </w:r>
      <w:r>
        <w:rPr>
          <w:sz w:val="20"/>
        </w:rPr>
        <w:t>; </w:t>
      </w:r>
      <w:r>
        <w:rPr>
          <w:rFonts w:ascii="Arial"/>
          <w:i/>
          <w:sz w:val="20"/>
        </w:rPr>
        <w:t>Rhone v Stephens [1994] 2 A.C. 310, 321</w:t>
      </w:r>
      <w:r>
        <w:rPr>
          <w:sz w:val="20"/>
        </w:rPr>
        <w:t>; </w:t>
      </w:r>
      <w:r>
        <w:rPr>
          <w:rFonts w:ascii="Arial"/>
          <w:i/>
          <w:sz w:val="20"/>
        </w:rPr>
        <w:t>K.H. Enterprise v Pioneer Container (The Pioneer Container) [1994] 2 A.C. 324, 355</w:t>
      </w:r>
      <w:r>
        <w:rPr>
          <w:sz w:val="20"/>
        </w:rPr>
        <w:t>; </w:t>
      </w:r>
      <w:r>
        <w:rPr>
          <w:rFonts w:ascii="Arial"/>
          <w:i/>
          <w:sz w:val="20"/>
        </w:rPr>
        <w:t>White v </w:t>
      </w:r>
      <w:r>
        <w:rPr>
          <w:rFonts w:ascii="Arial"/>
          <w:i/>
          <w:sz w:val="20"/>
        </w:rPr>
        <w:t>Jones [1995]</w:t>
      </w:r>
      <w:r>
        <w:rPr>
          <w:rFonts w:ascii="Arial"/>
          <w:i/>
          <w:spacing w:val="4"/>
          <w:sz w:val="20"/>
        </w:rPr>
        <w:t> </w:t>
      </w:r>
      <w:r>
        <w:rPr>
          <w:rFonts w:ascii="Arial"/>
          <w:i/>
          <w:sz w:val="20"/>
        </w:rPr>
        <w:t>2</w:t>
      </w:r>
      <w:r>
        <w:rPr>
          <w:rFonts w:ascii="Arial"/>
          <w:i/>
          <w:spacing w:val="5"/>
          <w:sz w:val="20"/>
        </w:rPr>
        <w:t> </w:t>
      </w:r>
      <w:r>
        <w:rPr>
          <w:rFonts w:ascii="Arial"/>
          <w:i/>
          <w:sz w:val="20"/>
        </w:rPr>
        <w:t>A.C.</w:t>
      </w:r>
      <w:r>
        <w:rPr>
          <w:rFonts w:ascii="Arial"/>
          <w:i/>
          <w:spacing w:val="5"/>
          <w:sz w:val="20"/>
        </w:rPr>
        <w:t> </w:t>
      </w:r>
      <w:r>
        <w:rPr>
          <w:rFonts w:ascii="Arial"/>
          <w:i/>
          <w:sz w:val="20"/>
        </w:rPr>
        <w:t>207,</w:t>
      </w:r>
      <w:r>
        <w:rPr>
          <w:rFonts w:ascii="Arial"/>
          <w:i/>
          <w:spacing w:val="5"/>
          <w:sz w:val="20"/>
        </w:rPr>
        <w:t> </w:t>
      </w:r>
      <w:r>
        <w:rPr>
          <w:rFonts w:ascii="Arial"/>
          <w:i/>
          <w:sz w:val="20"/>
        </w:rPr>
        <w:t>252,</w:t>
      </w:r>
      <w:r>
        <w:rPr>
          <w:rFonts w:ascii="Arial"/>
          <w:i/>
          <w:spacing w:val="5"/>
          <w:sz w:val="20"/>
        </w:rPr>
        <w:t> </w:t>
      </w:r>
      <w:r>
        <w:rPr>
          <w:rFonts w:ascii="Arial"/>
          <w:i/>
          <w:sz w:val="20"/>
        </w:rPr>
        <w:t>266</w:t>
      </w:r>
      <w:r>
        <w:rPr>
          <w:sz w:val="20"/>
        </w:rPr>
        <w:t>;</w:t>
      </w:r>
      <w:r>
        <w:rPr>
          <w:spacing w:val="5"/>
          <w:sz w:val="20"/>
        </w:rPr>
        <w:t> </w:t>
      </w:r>
      <w:r>
        <w:rPr>
          <w:rFonts w:ascii="Arial"/>
          <w:i/>
          <w:sz w:val="20"/>
        </w:rPr>
        <w:t>The</w:t>
      </w:r>
      <w:r>
        <w:rPr>
          <w:rFonts w:ascii="Arial"/>
          <w:i/>
          <w:spacing w:val="5"/>
          <w:sz w:val="20"/>
        </w:rPr>
        <w:t> </w:t>
      </w:r>
      <w:r>
        <w:rPr>
          <w:rFonts w:ascii="Arial"/>
          <w:i/>
          <w:sz w:val="20"/>
        </w:rPr>
        <w:t>Mahkutai</w:t>
      </w:r>
      <w:r>
        <w:rPr>
          <w:rFonts w:ascii="Arial"/>
          <w:i/>
          <w:spacing w:val="5"/>
          <w:sz w:val="20"/>
        </w:rPr>
        <w:t> </w:t>
      </w:r>
      <w:r>
        <w:rPr>
          <w:rFonts w:ascii="Arial"/>
          <w:i/>
          <w:sz w:val="20"/>
        </w:rPr>
        <w:t>[1996]</w:t>
      </w:r>
      <w:r>
        <w:rPr>
          <w:rFonts w:ascii="Arial"/>
          <w:i/>
          <w:spacing w:val="4"/>
          <w:sz w:val="20"/>
        </w:rPr>
        <w:t> </w:t>
      </w:r>
      <w:r>
        <w:rPr>
          <w:rFonts w:ascii="Arial"/>
          <w:i/>
          <w:sz w:val="20"/>
        </w:rPr>
        <w:t>A.C.</w:t>
      </w:r>
      <w:r>
        <w:rPr>
          <w:rFonts w:ascii="Arial"/>
          <w:i/>
          <w:spacing w:val="5"/>
          <w:sz w:val="20"/>
        </w:rPr>
        <w:t> </w:t>
      </w:r>
      <w:r>
        <w:rPr>
          <w:rFonts w:ascii="Arial"/>
          <w:i/>
          <w:sz w:val="20"/>
        </w:rPr>
        <w:t>650,</w:t>
      </w:r>
      <w:r>
        <w:rPr>
          <w:rFonts w:ascii="Arial"/>
          <w:i/>
          <w:spacing w:val="5"/>
          <w:sz w:val="20"/>
        </w:rPr>
        <w:t> </w:t>
      </w:r>
      <w:r>
        <w:rPr>
          <w:rFonts w:ascii="Arial"/>
          <w:i/>
          <w:sz w:val="20"/>
        </w:rPr>
        <w:t>658</w:t>
      </w:r>
      <w:r>
        <w:rPr>
          <w:sz w:val="20"/>
        </w:rPr>
        <w:t>;</w:t>
      </w:r>
      <w:r>
        <w:rPr>
          <w:spacing w:val="5"/>
          <w:sz w:val="20"/>
        </w:rPr>
        <w:t> </w:t>
      </w:r>
      <w:r>
        <w:rPr>
          <w:rFonts w:ascii="Arial"/>
          <w:i/>
          <w:sz w:val="20"/>
        </w:rPr>
        <w:t>Amsprop</w:t>
      </w:r>
      <w:r>
        <w:rPr>
          <w:rFonts w:ascii="Arial"/>
          <w:i/>
          <w:spacing w:val="5"/>
          <w:sz w:val="20"/>
        </w:rPr>
        <w:t> </w:t>
      </w:r>
      <w:r>
        <w:rPr>
          <w:rFonts w:ascii="Arial"/>
          <w:i/>
          <w:sz w:val="20"/>
        </w:rPr>
        <w:t>Trading</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pacing w:val="-2"/>
          <w:sz w:val="20"/>
        </w:rPr>
        <w:t>Harris</w:t>
      </w:r>
    </w:p>
    <w:p>
      <w:pPr>
        <w:spacing w:line="235" w:lineRule="auto" w:before="0"/>
        <w:ind w:left="705" w:right="168" w:firstLine="0"/>
        <w:jc w:val="both"/>
        <w:rPr>
          <w:sz w:val="20"/>
        </w:rPr>
      </w:pPr>
      <w:r>
        <w:rPr>
          <w:rFonts w:ascii="Arial"/>
          <w:i/>
          <w:sz w:val="20"/>
        </w:rPr>
        <w:t>Distribution Ltd [1997] 1 W.L.R. 1025, 1028</w:t>
      </w:r>
      <w:r>
        <w:rPr>
          <w:sz w:val="20"/>
        </w:rPr>
        <w:t>; </w:t>
      </w:r>
      <w:r>
        <w:rPr>
          <w:rFonts w:ascii="Arial"/>
          <w:i/>
          <w:sz w:val="20"/>
        </w:rPr>
        <w:t>The Giannis NK [1998] A.C. 605, 616</w:t>
      </w:r>
      <w:r>
        <w:rPr>
          <w:sz w:val="20"/>
        </w:rPr>
        <w:t>; </w:t>
      </w:r>
      <w:r>
        <w:rPr>
          <w:rFonts w:ascii="Arial"/>
          <w:i/>
          <w:sz w:val="20"/>
        </w:rPr>
        <w:t>Homburg Houtimport BV v Agrosin Private Ltd (The Starsin) [2003] UKHL 12; [2004] 1 A.C. 715</w:t>
      </w:r>
      <w:r>
        <w:rPr>
          <w:sz w:val="20"/>
        </w:rPr>
        <w:t>, esp. at [34],</w:t>
      </w:r>
      <w:r>
        <w:rPr>
          <w:spacing w:val="-2"/>
          <w:sz w:val="20"/>
        </w:rPr>
        <w:t> </w:t>
      </w:r>
      <w:r>
        <w:rPr>
          <w:sz w:val="20"/>
        </w:rPr>
        <w:t>[146].</w:t>
      </w:r>
      <w:r>
        <w:rPr>
          <w:spacing w:val="-2"/>
          <w:sz w:val="20"/>
        </w:rPr>
        <w:t> </w:t>
      </w:r>
      <w:r>
        <w:rPr>
          <w:sz w:val="20"/>
        </w:rPr>
        <w:t>The</w:t>
      </w:r>
      <w:r>
        <w:rPr>
          <w:spacing w:val="-2"/>
          <w:sz w:val="20"/>
        </w:rPr>
        <w:t> </w:t>
      </w:r>
      <w:r>
        <w:rPr>
          <w:sz w:val="20"/>
        </w:rPr>
        <w:t>point</w:t>
      </w:r>
      <w:r>
        <w:rPr>
          <w:spacing w:val="-2"/>
          <w:sz w:val="20"/>
        </w:rPr>
        <w:t> </w:t>
      </w:r>
      <w:r>
        <w:rPr>
          <w:sz w:val="20"/>
        </w:rPr>
        <w:t>is</w:t>
      </w:r>
      <w:r>
        <w:rPr>
          <w:spacing w:val="-2"/>
          <w:sz w:val="20"/>
        </w:rPr>
        <w:t> </w:t>
      </w:r>
      <w:r>
        <w:rPr>
          <w:sz w:val="20"/>
        </w:rPr>
        <w:t>perhaps</w:t>
      </w:r>
      <w:r>
        <w:rPr>
          <w:spacing w:val="-2"/>
          <w:sz w:val="20"/>
        </w:rPr>
        <w:t> </w:t>
      </w:r>
      <w:r>
        <w:rPr>
          <w:sz w:val="20"/>
        </w:rPr>
        <w:t>left</w:t>
      </w:r>
      <w:r>
        <w:rPr>
          <w:spacing w:val="-2"/>
          <w:sz w:val="20"/>
        </w:rPr>
        <w:t> </w:t>
      </w:r>
      <w:r>
        <w:rPr>
          <w:sz w:val="20"/>
        </w:rPr>
        <w:t>open</w:t>
      </w:r>
      <w:r>
        <w:rPr>
          <w:spacing w:val="-2"/>
          <w:sz w:val="20"/>
        </w:rPr>
        <w:t> </w:t>
      </w:r>
      <w:r>
        <w:rPr>
          <w:sz w:val="20"/>
        </w:rPr>
        <w:t>in</w:t>
      </w:r>
      <w:r>
        <w:rPr>
          <w:spacing w:val="-3"/>
          <w:sz w:val="20"/>
        </w:rPr>
        <w:t> </w:t>
      </w:r>
      <w:r>
        <w:rPr>
          <w:rFonts w:ascii="Arial"/>
          <w:i/>
          <w:sz w:val="20"/>
        </w:rPr>
        <w:t>Esso</w:t>
      </w:r>
      <w:r>
        <w:rPr>
          <w:rFonts w:ascii="Arial"/>
          <w:i/>
          <w:spacing w:val="-2"/>
          <w:sz w:val="20"/>
        </w:rPr>
        <w:t> </w:t>
      </w:r>
      <w:r>
        <w:rPr>
          <w:rFonts w:ascii="Arial"/>
          <w:i/>
          <w:sz w:val="20"/>
        </w:rPr>
        <w:t>Petroleum</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Hall</w:t>
      </w:r>
      <w:r>
        <w:rPr>
          <w:rFonts w:ascii="Arial"/>
          <w:i/>
          <w:spacing w:val="-2"/>
          <w:sz w:val="20"/>
        </w:rPr>
        <w:t> </w:t>
      </w:r>
      <w:r>
        <w:rPr>
          <w:rFonts w:ascii="Arial"/>
          <w:i/>
          <w:sz w:val="20"/>
        </w:rPr>
        <w:t>Russell</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[1989]</w:t>
      </w:r>
      <w:r>
        <w:rPr>
          <w:rFonts w:ascii="Arial"/>
          <w:i/>
          <w:spacing w:val="-2"/>
          <w:sz w:val="20"/>
        </w:rPr>
        <w:t> </w:t>
      </w:r>
      <w:r>
        <w:rPr>
          <w:rFonts w:ascii="Arial"/>
          <w:i/>
          <w:sz w:val="20"/>
        </w:rPr>
        <w:t>A.C. 643, 662</w:t>
      </w:r>
      <w:r>
        <w:rPr>
          <w:sz w:val="20"/>
        </w:rPr>
        <w:t>.</w:t>
      </w:r>
    </w:p>
    <w:p>
      <w:pPr>
        <w:pStyle w:val="BodyText"/>
        <w:spacing w:before="1"/>
      </w:pPr>
    </w:p>
    <w:p>
      <w:pPr>
        <w:pStyle w:val="BodyText"/>
        <w:tabs>
          <w:tab w:pos="705" w:val="left" w:leader="none"/>
        </w:tabs>
        <w:ind w:left="165"/>
      </w:pPr>
      <w:bookmarkStart w:name="_bookmark234" w:id="236"/>
      <w:bookmarkEnd w:id="236"/>
      <w:r>
        <w:rPr/>
      </w:r>
      <w:hyperlink w:history="true" w:anchor="_bookmark212">
        <w:r>
          <w:rPr>
            <w:color w:val="005DA1"/>
            <w:spacing w:val="-4"/>
            <w:position w:val="5"/>
            <w:sz w:val="14"/>
            <w:u w:val="single" w:color="005DA1"/>
          </w:rPr>
          <w:t>116</w:t>
        </w:r>
      </w:hyperlink>
      <w:r>
        <w:rPr>
          <w:spacing w:val="-4"/>
          <w:position w:val="5"/>
          <w:sz w:val="14"/>
        </w:rPr>
        <w:t>.</w:t>
      </w:r>
      <w:r>
        <w:rPr>
          <w:position w:val="5"/>
          <w:sz w:val="14"/>
        </w:rPr>
        <w:tab/>
      </w:r>
      <w:r>
        <w:rPr/>
        <w:t>See,</w:t>
      </w:r>
      <w:r>
        <w:rPr>
          <w:spacing w:val="-2"/>
        </w:rPr>
        <w:t> </w:t>
      </w:r>
      <w:r>
        <w:rPr/>
        <w:t>above, para.18-</w:t>
      </w:r>
      <w:r>
        <w:rPr>
          <w:spacing w:val="-4"/>
        </w:rPr>
        <w:t>001.</w:t>
      </w:r>
    </w:p>
    <w:p>
      <w:pPr>
        <w:pStyle w:val="BodyText"/>
        <w:spacing w:before="5"/>
      </w:pPr>
    </w:p>
    <w:p>
      <w:pPr>
        <w:pStyle w:val="BodyText"/>
        <w:tabs>
          <w:tab w:pos="705" w:val="left" w:leader="none"/>
        </w:tabs>
        <w:ind w:left="165"/>
      </w:pPr>
      <w:bookmarkStart w:name="_bookmark235" w:id="237"/>
      <w:bookmarkEnd w:id="237"/>
      <w:r>
        <w:rPr/>
      </w:r>
      <w:hyperlink w:history="true" w:anchor="_bookmark213">
        <w:r>
          <w:rPr>
            <w:color w:val="005DA1"/>
            <w:spacing w:val="-4"/>
            <w:position w:val="5"/>
            <w:sz w:val="14"/>
            <w:u w:val="single" w:color="005DA1"/>
          </w:rPr>
          <w:t>117</w:t>
        </w:r>
      </w:hyperlink>
      <w:r>
        <w:rPr>
          <w:spacing w:val="-4"/>
          <w:position w:val="5"/>
          <w:sz w:val="14"/>
        </w:rPr>
        <w:t>.</w:t>
      </w:r>
      <w:r>
        <w:rPr>
          <w:position w:val="5"/>
          <w:sz w:val="14"/>
        </w:rPr>
        <w:tab/>
      </w:r>
      <w:r>
        <w:rPr/>
        <w:t>Below,</w:t>
      </w:r>
      <w:r>
        <w:rPr>
          <w:spacing w:val="-2"/>
        </w:rPr>
        <w:t> </w:t>
      </w:r>
      <w:r>
        <w:rPr/>
        <w:t>paras 18-090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236" w:id="238"/>
      <w:bookmarkEnd w:id="238"/>
      <w:r>
        <w:rPr/>
      </w:r>
      <w:hyperlink w:history="true" w:anchor="_bookmark214">
        <w:r>
          <w:rPr>
            <w:color w:val="005DA1"/>
            <w:spacing w:val="-4"/>
            <w:position w:val="5"/>
            <w:sz w:val="14"/>
            <w:u w:val="single" w:color="005DA1"/>
          </w:rPr>
          <w:t>118</w:t>
        </w:r>
      </w:hyperlink>
      <w:r>
        <w:rPr>
          <w:spacing w:val="-4"/>
          <w:position w:val="5"/>
          <w:sz w:val="14"/>
        </w:rPr>
        <w:t>.</w:t>
      </w:r>
      <w:r>
        <w:rPr>
          <w:position w:val="5"/>
          <w:sz w:val="14"/>
        </w:rPr>
        <w:tab/>
      </w:r>
      <w:r>
        <w:rPr>
          <w:rFonts w:ascii="Arial"/>
          <w:i/>
          <w:sz w:val="20"/>
        </w:rPr>
        <w:t>[1968] A.C. 58; affirming [1966] Ch. 538; reversing [1965] 2 All E.R. </w:t>
      </w:r>
      <w:r>
        <w:rPr>
          <w:rFonts w:ascii="Arial"/>
          <w:i/>
          <w:spacing w:val="-4"/>
          <w:sz w:val="20"/>
        </w:rPr>
        <w:t>858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37" w:id="239"/>
      <w:bookmarkEnd w:id="239"/>
      <w:r>
        <w:rPr/>
      </w:r>
      <w:hyperlink w:history="true" w:anchor="_bookmark215">
        <w:r>
          <w:rPr>
            <w:color w:val="005DA1"/>
            <w:spacing w:val="-4"/>
            <w:position w:val="5"/>
            <w:sz w:val="14"/>
            <w:u w:val="single" w:color="005DA1"/>
          </w:rPr>
          <w:t>119</w:t>
        </w:r>
      </w:hyperlink>
      <w:r>
        <w:rPr>
          <w:spacing w:val="-4"/>
          <w:position w:val="5"/>
          <w:sz w:val="14"/>
        </w:rPr>
        <w:t>.</w:t>
      </w:r>
      <w:r>
        <w:rPr>
          <w:position w:val="5"/>
          <w:sz w:val="14"/>
        </w:rPr>
        <w:tab/>
      </w:r>
      <w:r>
        <w:rPr>
          <w:rFonts w:ascii="Arial"/>
          <w:i/>
          <w:sz w:val="20"/>
        </w:rPr>
        <w:t>[1966]</w:t>
      </w:r>
      <w:r>
        <w:rPr>
          <w:rFonts w:ascii="Arial"/>
          <w:i/>
          <w:spacing w:val="-2"/>
          <w:sz w:val="20"/>
        </w:rPr>
        <w:t> </w:t>
      </w:r>
      <w:r>
        <w:rPr>
          <w:rFonts w:ascii="Arial"/>
          <w:i/>
          <w:sz w:val="20"/>
        </w:rPr>
        <w:t>Ch. at </w:t>
      </w:r>
      <w:r>
        <w:rPr>
          <w:rFonts w:ascii="Arial"/>
          <w:i/>
          <w:spacing w:val="-4"/>
          <w:sz w:val="20"/>
        </w:rPr>
        <w:t>557</w:t>
      </w:r>
      <w:r>
        <w:rPr>
          <w:spacing w:val="-4"/>
          <w:sz w:val="20"/>
        </w:rPr>
        <w:t>.</w:t>
      </w:r>
    </w:p>
    <w:p>
      <w:pPr>
        <w:pStyle w:val="BodyText"/>
        <w:spacing w:before="5"/>
      </w:pPr>
    </w:p>
    <w:p>
      <w:pPr>
        <w:pStyle w:val="BodyText"/>
        <w:tabs>
          <w:tab w:pos="705" w:val="left" w:leader="none"/>
        </w:tabs>
        <w:ind w:left="165"/>
      </w:pPr>
      <w:bookmarkStart w:name="_bookmark238" w:id="240"/>
      <w:bookmarkEnd w:id="240"/>
      <w:r>
        <w:rPr/>
      </w:r>
      <w:hyperlink w:history="true" w:anchor="_bookmark216">
        <w:r>
          <w:rPr>
            <w:color w:val="005DA1"/>
            <w:spacing w:val="-4"/>
            <w:position w:val="5"/>
            <w:sz w:val="14"/>
            <w:u w:val="single" w:color="005DA1"/>
          </w:rPr>
          <w:t>120</w:t>
        </w:r>
      </w:hyperlink>
      <w:r>
        <w:rPr>
          <w:spacing w:val="-4"/>
          <w:position w:val="5"/>
          <w:sz w:val="14"/>
        </w:rPr>
        <w:t>.</w:t>
      </w:r>
      <w:r>
        <w:rPr>
          <w:position w:val="5"/>
          <w:sz w:val="14"/>
        </w:rPr>
        <w:tab/>
      </w:r>
      <w:r>
        <w:rPr/>
        <w:t>For criticism of this view, see para.18-077, </w:t>
      </w:r>
      <w:r>
        <w:rPr>
          <w:spacing w:val="-2"/>
        </w:rPr>
        <w:t>below.</w:t>
      </w:r>
    </w:p>
    <w:p>
      <w:pPr>
        <w:pStyle w:val="BodyText"/>
        <w:spacing w:before="5"/>
      </w:pPr>
    </w:p>
    <w:p>
      <w:pPr>
        <w:pStyle w:val="BodyText"/>
        <w:tabs>
          <w:tab w:pos="705" w:val="left" w:leader="none"/>
        </w:tabs>
        <w:ind w:left="165"/>
      </w:pPr>
      <w:bookmarkStart w:name="_bookmark239" w:id="241"/>
      <w:bookmarkEnd w:id="241"/>
      <w:r>
        <w:rPr/>
      </w:r>
      <w:hyperlink w:history="true" w:anchor="_bookmark217">
        <w:r>
          <w:rPr>
            <w:color w:val="005DA1"/>
            <w:spacing w:val="-4"/>
            <w:position w:val="5"/>
            <w:sz w:val="14"/>
            <w:u w:val="single" w:color="005DA1"/>
          </w:rPr>
          <w:t>121</w:t>
        </w:r>
      </w:hyperlink>
      <w:r>
        <w:rPr>
          <w:spacing w:val="-4"/>
          <w:position w:val="5"/>
          <w:sz w:val="14"/>
        </w:rPr>
        <w:t>.</w:t>
      </w:r>
      <w:r>
        <w:rPr>
          <w:position w:val="5"/>
          <w:sz w:val="14"/>
        </w:rPr>
        <w:tab/>
      </w:r>
      <w:r>
        <w:rPr/>
        <w:t>Below, paras 18-127-18-</w:t>
      </w:r>
      <w:r>
        <w:rPr>
          <w:spacing w:val="-4"/>
        </w:rPr>
        <w:t>130.</w:t>
      </w:r>
    </w:p>
    <w:p>
      <w:pPr>
        <w:pStyle w:val="BodyText"/>
        <w:spacing w:before="5"/>
      </w:pPr>
    </w:p>
    <w:p>
      <w:pPr>
        <w:pStyle w:val="BodyText"/>
        <w:tabs>
          <w:tab w:pos="705" w:val="left" w:leader="none"/>
        </w:tabs>
        <w:spacing w:line="227" w:lineRule="exact"/>
        <w:ind w:left="165"/>
      </w:pPr>
      <w:bookmarkStart w:name="_bookmark240" w:id="242"/>
      <w:bookmarkEnd w:id="242"/>
      <w:r>
        <w:rPr/>
      </w:r>
      <w:hyperlink w:history="true" w:anchor="_bookmark218">
        <w:r>
          <w:rPr>
            <w:color w:val="005DA1"/>
            <w:spacing w:val="-4"/>
            <w:position w:val="5"/>
            <w:sz w:val="14"/>
            <w:u w:val="single" w:color="005DA1"/>
          </w:rPr>
          <w:t>122</w:t>
        </w:r>
      </w:hyperlink>
      <w:r>
        <w:rPr>
          <w:spacing w:val="-4"/>
          <w:position w:val="5"/>
          <w:sz w:val="14"/>
        </w:rPr>
        <w:t>.</w:t>
      </w:r>
      <w:r>
        <w:rPr>
          <w:position w:val="5"/>
          <w:sz w:val="14"/>
        </w:rPr>
        <w:tab/>
      </w:r>
      <w:r>
        <w:rPr>
          <w:rFonts w:ascii="Arial"/>
          <w:i/>
        </w:rPr>
        <w:t>[1968]</w:t>
      </w:r>
      <w:r>
        <w:rPr>
          <w:rFonts w:ascii="Arial"/>
          <w:i/>
          <w:spacing w:val="29"/>
        </w:rPr>
        <w:t> </w:t>
      </w:r>
      <w:r>
        <w:rPr>
          <w:rFonts w:ascii="Arial"/>
          <w:i/>
        </w:rPr>
        <w:t>A.C.</w:t>
      </w:r>
      <w:r>
        <w:rPr>
          <w:rFonts w:ascii="Arial"/>
          <w:i/>
          <w:spacing w:val="30"/>
        </w:rPr>
        <w:t> </w:t>
      </w:r>
      <w:r>
        <w:rPr>
          <w:rFonts w:ascii="Arial"/>
          <w:i/>
        </w:rPr>
        <w:t>58</w:t>
      </w:r>
      <w:r>
        <w:rPr/>
        <w:t>;</w:t>
      </w:r>
      <w:r>
        <w:rPr>
          <w:spacing w:val="30"/>
        </w:rPr>
        <w:t> </w:t>
      </w:r>
      <w:r>
        <w:rPr/>
        <w:t>Goodhart</w:t>
      </w:r>
      <w:r>
        <w:rPr>
          <w:spacing w:val="30"/>
        </w:rPr>
        <w:t> </w:t>
      </w:r>
      <w:r>
        <w:rPr/>
        <w:t>(1967)</w:t>
      </w:r>
      <w:r>
        <w:rPr>
          <w:spacing w:val="30"/>
        </w:rPr>
        <w:t> </w:t>
      </w:r>
      <w:r>
        <w:rPr/>
        <w:t>83</w:t>
      </w:r>
      <w:r>
        <w:rPr>
          <w:spacing w:val="30"/>
        </w:rPr>
        <w:t> </w:t>
      </w:r>
      <w:r>
        <w:rPr/>
        <w:t>L.Q.R.</w:t>
      </w:r>
      <w:r>
        <w:rPr>
          <w:spacing w:val="30"/>
        </w:rPr>
        <w:t> </w:t>
      </w:r>
      <w:r>
        <w:rPr/>
        <w:t>465;</w:t>
      </w:r>
      <w:r>
        <w:rPr>
          <w:spacing w:val="30"/>
        </w:rPr>
        <w:t> </w:t>
      </w:r>
      <w:r>
        <w:rPr/>
        <w:t>Fairest</w:t>
      </w:r>
      <w:r>
        <w:rPr>
          <w:spacing w:val="30"/>
        </w:rPr>
        <w:t> </w:t>
      </w:r>
      <w:r>
        <w:rPr/>
        <w:t>[1967]</w:t>
      </w:r>
      <w:r>
        <w:rPr>
          <w:spacing w:val="30"/>
        </w:rPr>
        <w:t> </w:t>
      </w:r>
      <w:r>
        <w:rPr/>
        <w:t>C.L.J.</w:t>
      </w:r>
      <w:r>
        <w:rPr>
          <w:spacing w:val="30"/>
        </w:rPr>
        <w:t> </w:t>
      </w:r>
      <w:r>
        <w:rPr/>
        <w:t>149;</w:t>
      </w:r>
      <w:r>
        <w:rPr>
          <w:spacing w:val="30"/>
        </w:rPr>
        <w:t> </w:t>
      </w:r>
      <w:r>
        <w:rPr/>
        <w:t>Treitel</w:t>
      </w:r>
      <w:r>
        <w:rPr>
          <w:spacing w:val="30"/>
        </w:rPr>
        <w:t> </w:t>
      </w:r>
      <w:r>
        <w:rPr/>
        <w:t>(1967)</w:t>
      </w:r>
      <w:r>
        <w:rPr>
          <w:spacing w:val="30"/>
        </w:rPr>
        <w:t> </w:t>
      </w:r>
      <w:r>
        <w:rPr>
          <w:spacing w:val="-5"/>
        </w:rPr>
        <w:t>30</w:t>
      </w:r>
    </w:p>
    <w:p>
      <w:pPr>
        <w:pStyle w:val="BodyText"/>
        <w:spacing w:line="227" w:lineRule="exact"/>
        <w:ind w:left="705"/>
      </w:pPr>
      <w:r>
        <w:rPr/>
        <w:t>M.L.R. </w:t>
      </w:r>
      <w:r>
        <w:rPr>
          <w:spacing w:val="-4"/>
        </w:rPr>
        <w:t>687.</w:t>
      </w:r>
    </w:p>
    <w:p>
      <w:pPr>
        <w:pStyle w:val="BodyText"/>
        <w:spacing w:before="5"/>
      </w:pPr>
    </w:p>
    <w:p>
      <w:pPr>
        <w:pStyle w:val="BodyText"/>
        <w:tabs>
          <w:tab w:pos="705" w:val="left" w:leader="none"/>
        </w:tabs>
        <w:ind w:left="165"/>
      </w:pPr>
      <w:bookmarkStart w:name="_bookmark241" w:id="243"/>
      <w:bookmarkEnd w:id="243"/>
      <w:r>
        <w:rPr/>
      </w:r>
      <w:hyperlink w:history="true" w:anchor="_bookmark218">
        <w:r>
          <w:rPr>
            <w:color w:val="005DA1"/>
            <w:spacing w:val="-4"/>
            <w:position w:val="5"/>
            <w:sz w:val="14"/>
            <w:u w:val="single" w:color="005DA1"/>
          </w:rPr>
          <w:t>123</w:t>
        </w:r>
      </w:hyperlink>
      <w:r>
        <w:rPr>
          <w:spacing w:val="-4"/>
          <w:position w:val="5"/>
          <w:sz w:val="14"/>
        </w:rPr>
        <w:t>.</w:t>
      </w:r>
      <w:r>
        <w:rPr>
          <w:position w:val="5"/>
          <w:sz w:val="14"/>
        </w:rPr>
        <w:tab/>
      </w:r>
      <w:r>
        <w:rPr/>
        <w:t>See below, paras 18-129-18-</w:t>
      </w:r>
      <w:r>
        <w:rPr>
          <w:spacing w:val="-4"/>
        </w:rPr>
        <w:t>130.</w:t>
      </w:r>
    </w:p>
    <w:p>
      <w:pPr>
        <w:pStyle w:val="BodyText"/>
        <w:spacing w:before="5"/>
      </w:pPr>
    </w:p>
    <w:p>
      <w:pPr>
        <w:tabs>
          <w:tab w:pos="705" w:val="left" w:leader="none"/>
        </w:tabs>
        <w:spacing w:before="0"/>
        <w:ind w:left="165" w:right="0" w:firstLine="0"/>
        <w:jc w:val="left"/>
        <w:rPr>
          <w:sz w:val="20"/>
        </w:rPr>
      </w:pPr>
      <w:bookmarkStart w:name="_bookmark242" w:id="244"/>
      <w:bookmarkEnd w:id="244"/>
      <w:r>
        <w:rPr/>
      </w:r>
      <w:hyperlink w:history="true" w:anchor="_bookmark219">
        <w:r>
          <w:rPr>
            <w:color w:val="005DA1"/>
            <w:spacing w:val="-4"/>
            <w:position w:val="5"/>
            <w:sz w:val="14"/>
            <w:u w:val="single" w:color="005DA1"/>
          </w:rPr>
          <w:t>124</w:t>
        </w:r>
      </w:hyperlink>
      <w:r>
        <w:rPr>
          <w:spacing w:val="-4"/>
          <w:position w:val="5"/>
          <w:sz w:val="14"/>
        </w:rPr>
        <w:t>.</w:t>
      </w:r>
      <w:r>
        <w:rPr>
          <w:position w:val="5"/>
          <w:sz w:val="14"/>
        </w:rPr>
        <w:tab/>
      </w:r>
      <w:r>
        <w:rPr>
          <w:rFonts w:ascii="Arial" w:hAnsi="Arial"/>
          <w:i/>
          <w:sz w:val="20"/>
        </w:rPr>
        <w:t>[1968] A.C. 58, 72D, 81G, 92–93, </w:t>
      </w:r>
      <w:r>
        <w:rPr>
          <w:rFonts w:ascii="Arial" w:hAnsi="Arial"/>
          <w:i/>
          <w:spacing w:val="-4"/>
          <w:sz w:val="20"/>
        </w:rPr>
        <w:t>95G</w:t>
      </w:r>
      <w:r>
        <w:rPr>
          <w:spacing w:val="-4"/>
          <w:sz w:val="20"/>
        </w:rPr>
        <w:t>.</w:t>
      </w:r>
    </w:p>
    <w:p>
      <w:pPr>
        <w:pStyle w:val="BodyText"/>
        <w:spacing w:before="5"/>
      </w:pPr>
    </w:p>
    <w:p>
      <w:pPr>
        <w:tabs>
          <w:tab w:pos="540" w:val="left" w:leader="none"/>
        </w:tabs>
        <w:spacing w:line="227" w:lineRule="exact" w:before="0"/>
        <w:ind w:left="0" w:right="167" w:firstLine="0"/>
        <w:jc w:val="right"/>
        <w:rPr>
          <w:rFonts w:ascii="Arial"/>
          <w:i/>
          <w:sz w:val="20"/>
        </w:rPr>
      </w:pPr>
      <w:bookmarkStart w:name="_bookmark243" w:id="245"/>
      <w:bookmarkEnd w:id="245"/>
      <w:r>
        <w:rPr/>
      </w:r>
      <w:hyperlink w:history="true" w:anchor="_bookmark220">
        <w:r>
          <w:rPr>
            <w:color w:val="005DA1"/>
            <w:spacing w:val="-4"/>
            <w:position w:val="5"/>
            <w:sz w:val="14"/>
            <w:u w:val="single" w:color="005DA1"/>
          </w:rPr>
          <w:t>125</w:t>
        </w:r>
      </w:hyperlink>
      <w:r>
        <w:rPr>
          <w:spacing w:val="-4"/>
          <w:position w:val="5"/>
          <w:sz w:val="14"/>
        </w:rPr>
        <w:t>.</w:t>
      </w:r>
      <w:r>
        <w:rPr>
          <w:position w:val="5"/>
          <w:sz w:val="14"/>
        </w:rPr>
        <w:tab/>
      </w:r>
      <w:r>
        <w:rPr>
          <w:sz w:val="20"/>
        </w:rPr>
        <w:t>ibid.,</w:t>
      </w:r>
      <w:r>
        <w:rPr>
          <w:spacing w:val="44"/>
          <w:sz w:val="20"/>
        </w:rPr>
        <w:t> </w:t>
      </w:r>
      <w:r>
        <w:rPr>
          <w:sz w:val="20"/>
        </w:rPr>
        <w:t>at</w:t>
      </w:r>
      <w:r>
        <w:rPr>
          <w:spacing w:val="44"/>
          <w:sz w:val="20"/>
        </w:rPr>
        <w:t> </w:t>
      </w:r>
      <w:r>
        <w:rPr>
          <w:sz w:val="20"/>
        </w:rPr>
        <w:t>72;</w:t>
      </w:r>
      <w:r>
        <w:rPr>
          <w:spacing w:val="44"/>
          <w:sz w:val="20"/>
        </w:rPr>
        <w:t> </w:t>
      </w:r>
      <w:r>
        <w:rPr>
          <w:rFonts w:ascii="Arial"/>
          <w:i/>
          <w:sz w:val="20"/>
        </w:rPr>
        <w:t>Woodar</w:t>
      </w:r>
      <w:r>
        <w:rPr>
          <w:rFonts w:ascii="Arial"/>
          <w:i/>
          <w:spacing w:val="44"/>
          <w:sz w:val="20"/>
        </w:rPr>
        <w:t> </w:t>
      </w:r>
      <w:r>
        <w:rPr>
          <w:rFonts w:ascii="Arial"/>
          <w:i/>
          <w:sz w:val="20"/>
        </w:rPr>
        <w:t>Investment</w:t>
      </w:r>
      <w:r>
        <w:rPr>
          <w:rFonts w:ascii="Arial"/>
          <w:i/>
          <w:spacing w:val="44"/>
          <w:sz w:val="20"/>
        </w:rPr>
        <w:t> </w:t>
      </w:r>
      <w:r>
        <w:rPr>
          <w:rFonts w:ascii="Arial"/>
          <w:i/>
          <w:sz w:val="20"/>
        </w:rPr>
        <w:t>Development</w:t>
      </w:r>
      <w:r>
        <w:rPr>
          <w:rFonts w:ascii="Arial"/>
          <w:i/>
          <w:spacing w:val="44"/>
          <w:sz w:val="20"/>
        </w:rPr>
        <w:t> </w:t>
      </w:r>
      <w:r>
        <w:rPr>
          <w:rFonts w:ascii="Arial"/>
          <w:i/>
          <w:sz w:val="20"/>
        </w:rPr>
        <w:t>Ltd</w:t>
      </w:r>
      <w:r>
        <w:rPr>
          <w:rFonts w:ascii="Arial"/>
          <w:i/>
          <w:spacing w:val="44"/>
          <w:sz w:val="20"/>
        </w:rPr>
        <w:t> </w:t>
      </w:r>
      <w:r>
        <w:rPr>
          <w:rFonts w:ascii="Arial"/>
          <w:i/>
          <w:sz w:val="20"/>
        </w:rPr>
        <w:t>v</w:t>
      </w:r>
      <w:r>
        <w:rPr>
          <w:rFonts w:ascii="Arial"/>
          <w:i/>
          <w:spacing w:val="44"/>
          <w:sz w:val="20"/>
        </w:rPr>
        <w:t> </w:t>
      </w:r>
      <w:r>
        <w:rPr>
          <w:rFonts w:ascii="Arial"/>
          <w:i/>
          <w:sz w:val="20"/>
        </w:rPr>
        <w:t>Wimpey</w:t>
      </w:r>
      <w:r>
        <w:rPr>
          <w:rFonts w:ascii="Arial"/>
          <w:i/>
          <w:spacing w:val="44"/>
          <w:sz w:val="20"/>
        </w:rPr>
        <w:t> </w:t>
      </w:r>
      <w:r>
        <w:rPr>
          <w:rFonts w:ascii="Arial"/>
          <w:i/>
          <w:sz w:val="20"/>
        </w:rPr>
        <w:t>Construction</w:t>
      </w:r>
      <w:r>
        <w:rPr>
          <w:rFonts w:ascii="Arial"/>
          <w:i/>
          <w:spacing w:val="44"/>
          <w:sz w:val="20"/>
        </w:rPr>
        <w:t> </w:t>
      </w:r>
      <w:r>
        <w:rPr>
          <w:rFonts w:ascii="Arial"/>
          <w:i/>
          <w:sz w:val="20"/>
        </w:rPr>
        <w:t>UK</w:t>
      </w:r>
      <w:r>
        <w:rPr>
          <w:rFonts w:ascii="Arial"/>
          <w:i/>
          <w:spacing w:val="44"/>
          <w:sz w:val="20"/>
        </w:rPr>
        <w:t> </w:t>
      </w:r>
      <w:r>
        <w:rPr>
          <w:rFonts w:ascii="Arial"/>
          <w:i/>
          <w:sz w:val="20"/>
        </w:rPr>
        <w:t>Ltd</w:t>
      </w:r>
      <w:r>
        <w:rPr>
          <w:rFonts w:ascii="Arial"/>
          <w:i/>
          <w:spacing w:val="44"/>
          <w:sz w:val="20"/>
        </w:rPr>
        <w:t> </w:t>
      </w:r>
      <w:r>
        <w:rPr>
          <w:rFonts w:ascii="Arial"/>
          <w:i/>
          <w:sz w:val="20"/>
        </w:rPr>
        <w:t>[1980]</w:t>
      </w:r>
      <w:r>
        <w:rPr>
          <w:rFonts w:ascii="Arial"/>
          <w:i/>
          <w:spacing w:val="44"/>
          <w:sz w:val="20"/>
        </w:rPr>
        <w:t> </w:t>
      </w:r>
      <w:r>
        <w:rPr>
          <w:rFonts w:ascii="Arial"/>
          <w:i/>
          <w:spacing w:val="-10"/>
          <w:sz w:val="20"/>
        </w:rPr>
        <w:t>1</w:t>
      </w:r>
    </w:p>
    <w:p>
      <w:pPr>
        <w:spacing w:line="225" w:lineRule="exact" w:before="0"/>
        <w:ind w:left="0" w:right="168" w:firstLine="0"/>
        <w:jc w:val="right"/>
        <w:rPr>
          <w:rFonts w:ascii="Arial" w:hAnsi="Arial"/>
          <w:i/>
          <w:sz w:val="20"/>
        </w:rPr>
      </w:pPr>
      <w:r>
        <w:rPr>
          <w:rFonts w:ascii="Arial" w:hAnsi="Arial"/>
          <w:i/>
          <w:sz w:val="20"/>
        </w:rPr>
        <w:t>W.L.R.</w:t>
      </w:r>
      <w:r>
        <w:rPr>
          <w:rFonts w:ascii="Arial" w:hAnsi="Arial"/>
          <w:i/>
          <w:spacing w:val="24"/>
          <w:sz w:val="20"/>
        </w:rPr>
        <w:t> </w:t>
      </w:r>
      <w:r>
        <w:rPr>
          <w:rFonts w:ascii="Arial" w:hAnsi="Arial"/>
          <w:i/>
          <w:sz w:val="20"/>
        </w:rPr>
        <w:t>277,</w:t>
      </w:r>
      <w:r>
        <w:rPr>
          <w:rFonts w:ascii="Arial" w:hAnsi="Arial"/>
          <w:i/>
          <w:spacing w:val="25"/>
          <w:sz w:val="20"/>
        </w:rPr>
        <w:t> </w:t>
      </w:r>
      <w:r>
        <w:rPr>
          <w:rFonts w:ascii="Arial" w:hAnsi="Arial"/>
          <w:i/>
          <w:sz w:val="20"/>
        </w:rPr>
        <w:t>291,</w:t>
      </w:r>
      <w:r>
        <w:rPr>
          <w:rFonts w:ascii="Arial" w:hAnsi="Arial"/>
          <w:i/>
          <w:spacing w:val="25"/>
          <w:sz w:val="20"/>
        </w:rPr>
        <w:t> </w:t>
      </w:r>
      <w:r>
        <w:rPr>
          <w:rFonts w:ascii="Arial" w:hAnsi="Arial"/>
          <w:i/>
          <w:sz w:val="20"/>
        </w:rPr>
        <w:t>297–298,</w:t>
      </w:r>
      <w:r>
        <w:rPr>
          <w:rFonts w:ascii="Arial" w:hAnsi="Arial"/>
          <w:i/>
          <w:spacing w:val="25"/>
          <w:sz w:val="20"/>
        </w:rPr>
        <w:t> </w:t>
      </w:r>
      <w:r>
        <w:rPr>
          <w:rFonts w:ascii="Arial" w:hAnsi="Arial"/>
          <w:i/>
          <w:sz w:val="20"/>
        </w:rPr>
        <w:t>300</w:t>
      </w:r>
      <w:r>
        <w:rPr>
          <w:sz w:val="20"/>
        </w:rPr>
        <w:t>;</w:t>
      </w:r>
      <w:r>
        <w:rPr>
          <w:spacing w:val="25"/>
          <w:sz w:val="20"/>
        </w:rPr>
        <w:t> </w:t>
      </w:r>
      <w:r>
        <w:rPr>
          <w:rFonts w:ascii="Arial" w:hAnsi="Arial"/>
          <w:i/>
          <w:sz w:val="20"/>
        </w:rPr>
        <w:t>Swain</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Law</w:t>
      </w:r>
      <w:r>
        <w:rPr>
          <w:rFonts w:ascii="Arial" w:hAnsi="Arial"/>
          <w:i/>
          <w:spacing w:val="25"/>
          <w:sz w:val="20"/>
        </w:rPr>
        <w:t> </w:t>
      </w:r>
      <w:r>
        <w:rPr>
          <w:rFonts w:ascii="Arial" w:hAnsi="Arial"/>
          <w:i/>
          <w:sz w:val="20"/>
        </w:rPr>
        <w:t>Society</w:t>
      </w:r>
      <w:r>
        <w:rPr>
          <w:rFonts w:ascii="Arial" w:hAnsi="Arial"/>
          <w:i/>
          <w:spacing w:val="24"/>
          <w:sz w:val="20"/>
        </w:rPr>
        <w:t> </w:t>
      </w:r>
      <w:r>
        <w:rPr>
          <w:rFonts w:ascii="Arial" w:hAnsi="Arial"/>
          <w:i/>
          <w:sz w:val="20"/>
        </w:rPr>
        <w:t>[1983]</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A.C.</w:t>
      </w:r>
      <w:r>
        <w:rPr>
          <w:rFonts w:ascii="Arial" w:hAnsi="Arial"/>
          <w:i/>
          <w:spacing w:val="25"/>
          <w:sz w:val="20"/>
        </w:rPr>
        <w:t> </w:t>
      </w:r>
      <w:r>
        <w:rPr>
          <w:rFonts w:ascii="Arial" w:hAnsi="Arial"/>
          <w:i/>
          <w:sz w:val="20"/>
        </w:rPr>
        <w:t>598,</w:t>
      </w:r>
      <w:r>
        <w:rPr>
          <w:rFonts w:ascii="Arial" w:hAnsi="Arial"/>
          <w:i/>
          <w:spacing w:val="25"/>
          <w:sz w:val="20"/>
        </w:rPr>
        <w:t> </w:t>
      </w:r>
      <w:r>
        <w:rPr>
          <w:rFonts w:ascii="Arial" w:hAnsi="Arial"/>
          <w:i/>
          <w:sz w:val="20"/>
        </w:rPr>
        <w:t>611</w:t>
      </w:r>
      <w:r>
        <w:rPr>
          <w:sz w:val="20"/>
        </w:rPr>
        <w:t>;</w:t>
      </w:r>
      <w:r>
        <w:rPr>
          <w:spacing w:val="25"/>
          <w:sz w:val="20"/>
        </w:rPr>
        <w:t> </w:t>
      </w:r>
      <w:r>
        <w:rPr>
          <w:sz w:val="20"/>
        </w:rPr>
        <w:t>cf.</w:t>
      </w:r>
      <w:r>
        <w:rPr>
          <w:spacing w:val="26"/>
          <w:sz w:val="20"/>
        </w:rPr>
        <w:t> </w:t>
      </w:r>
      <w:r>
        <w:rPr>
          <w:rFonts w:ascii="Arial" w:hAnsi="Arial"/>
          <w:i/>
          <w:sz w:val="20"/>
        </w:rPr>
        <w:t>Williams</w:t>
      </w:r>
      <w:r>
        <w:rPr>
          <w:rFonts w:ascii="Arial" w:hAnsi="Arial"/>
          <w:i/>
          <w:spacing w:val="25"/>
          <w:sz w:val="20"/>
        </w:rPr>
        <w:t> </w:t>
      </w:r>
      <w:r>
        <w:rPr>
          <w:rFonts w:ascii="Arial" w:hAnsi="Arial"/>
          <w:i/>
          <w:spacing w:val="-10"/>
          <w:sz w:val="20"/>
        </w:rPr>
        <w:t>v</w:t>
      </w:r>
    </w:p>
    <w:p>
      <w:pPr>
        <w:spacing w:line="227" w:lineRule="exact" w:before="0"/>
        <w:ind w:left="705" w:right="0" w:firstLine="0"/>
        <w:jc w:val="left"/>
        <w:rPr>
          <w:sz w:val="20"/>
        </w:rPr>
      </w:pPr>
      <w:r>
        <w:rPr>
          <w:rFonts w:ascii="Arial"/>
          <w:i/>
          <w:sz w:val="20"/>
        </w:rPr>
        <w:t>Natural Life Health Foods Ltd [1998] 1 W.L.R. 830, </w:t>
      </w:r>
      <w:r>
        <w:rPr>
          <w:rFonts w:ascii="Arial"/>
          <w:i/>
          <w:spacing w:val="-4"/>
          <w:sz w:val="20"/>
        </w:rPr>
        <w:t>837</w:t>
      </w:r>
      <w:r>
        <w:rPr>
          <w:spacing w:val="-4"/>
          <w:sz w:val="20"/>
        </w:rPr>
        <w:t>.</w:t>
      </w:r>
    </w:p>
    <w:p>
      <w:pPr>
        <w:pStyle w:val="BodyText"/>
        <w:spacing w:before="9"/>
      </w:pPr>
    </w:p>
    <w:p>
      <w:pPr>
        <w:pStyle w:val="BodyText"/>
        <w:spacing w:line="235" w:lineRule="auto"/>
        <w:ind w:left="705" w:right="167" w:hanging="541"/>
        <w:jc w:val="both"/>
        <w:rPr>
          <w:rFonts w:ascii="Arial" w:hAnsi="Arial"/>
          <w:i/>
        </w:rPr>
      </w:pPr>
      <w:bookmarkStart w:name="_bookmark244" w:id="246"/>
      <w:bookmarkEnd w:id="246"/>
      <w:r>
        <w:rPr/>
      </w:r>
      <w:hyperlink w:history="true" w:anchor="_bookmark221">
        <w:r>
          <w:rPr>
            <w:color w:val="005DA1"/>
            <w:position w:val="5"/>
            <w:sz w:val="14"/>
            <w:u w:val="single" w:color="005DA1"/>
          </w:rPr>
          <w:t>126</w:t>
        </w:r>
      </w:hyperlink>
      <w:r>
        <w:rPr>
          <w:position w:val="5"/>
          <w:sz w:val="14"/>
        </w:rPr>
        <w:t>.</w:t>
      </w:r>
      <w:r>
        <w:rPr>
          <w:spacing w:val="80"/>
          <w:position w:val="5"/>
          <w:sz w:val="14"/>
        </w:rPr>
        <w:t>  </w:t>
      </w:r>
      <w:r>
        <w:rPr>
          <w:rFonts w:ascii="Arial" w:hAnsi="Arial"/>
          <w:i/>
        </w:rPr>
        <w:t>Trident</w:t>
      </w:r>
      <w:r>
        <w:rPr>
          <w:rFonts w:ascii="Arial" w:hAnsi="Arial"/>
          <w:i/>
          <w:spacing w:val="-1"/>
        </w:rPr>
        <w:t> </w:t>
      </w:r>
      <w:r>
        <w:rPr>
          <w:rFonts w:ascii="Arial" w:hAnsi="Arial"/>
          <w:i/>
        </w:rPr>
        <w:t>Insurance</w:t>
      </w:r>
      <w:r>
        <w:rPr>
          <w:rFonts w:ascii="Arial" w:hAnsi="Arial"/>
          <w:i/>
          <w:spacing w:val="-1"/>
        </w:rPr>
        <w:t> </w:t>
      </w:r>
      <w:r>
        <w:rPr>
          <w:rFonts w:ascii="Arial" w:hAnsi="Arial"/>
          <w:i/>
        </w:rPr>
        <w:t>Co</w:t>
      </w:r>
      <w:r>
        <w:rPr>
          <w:rFonts w:ascii="Arial" w:hAnsi="Arial"/>
          <w:i/>
          <w:spacing w:val="-1"/>
        </w:rPr>
        <w:t> </w:t>
      </w:r>
      <w:r>
        <w:rPr>
          <w:rFonts w:ascii="Arial" w:hAnsi="Arial"/>
          <w:i/>
        </w:rPr>
        <w:t>Ltd</w:t>
      </w:r>
      <w:r>
        <w:rPr>
          <w:rFonts w:ascii="Arial" w:hAnsi="Arial"/>
          <w:i/>
          <w:spacing w:val="-1"/>
        </w:rPr>
        <w:t> </w:t>
      </w:r>
      <w:r>
        <w:rPr>
          <w:rFonts w:ascii="Arial" w:hAnsi="Arial"/>
          <w:i/>
        </w:rPr>
        <w:t>v</w:t>
      </w:r>
      <w:r>
        <w:rPr>
          <w:rFonts w:ascii="Arial" w:hAnsi="Arial"/>
          <w:i/>
          <w:spacing w:val="-1"/>
        </w:rPr>
        <w:t> </w:t>
      </w:r>
      <w:r>
        <w:rPr>
          <w:rFonts w:ascii="Arial" w:hAnsi="Arial"/>
          <w:i/>
        </w:rPr>
        <w:t>McNiece</w:t>
      </w:r>
      <w:r>
        <w:rPr>
          <w:rFonts w:ascii="Arial" w:hAnsi="Arial"/>
          <w:i/>
          <w:spacing w:val="-1"/>
        </w:rPr>
        <w:t> </w:t>
      </w:r>
      <w:r>
        <w:rPr>
          <w:rFonts w:ascii="Arial" w:hAnsi="Arial"/>
          <w:i/>
        </w:rPr>
        <w:t>Bros</w:t>
      </w:r>
      <w:r>
        <w:rPr>
          <w:rFonts w:ascii="Arial" w:hAnsi="Arial"/>
          <w:i/>
          <w:spacing w:val="-1"/>
        </w:rPr>
        <w:t> </w:t>
      </w:r>
      <w:r>
        <w:rPr>
          <w:rFonts w:ascii="Arial" w:hAnsi="Arial"/>
          <w:i/>
        </w:rPr>
        <w:t>Pty</w:t>
      </w:r>
      <w:r>
        <w:rPr>
          <w:rFonts w:ascii="Arial" w:hAnsi="Arial"/>
          <w:i/>
          <w:spacing w:val="-1"/>
        </w:rPr>
        <w:t> </w:t>
      </w:r>
      <w:r>
        <w:rPr>
          <w:rFonts w:ascii="Arial" w:hAnsi="Arial"/>
          <w:i/>
        </w:rPr>
        <w:t>Ltd</w:t>
      </w:r>
      <w:r>
        <w:rPr>
          <w:rFonts w:ascii="Arial" w:hAnsi="Arial"/>
          <w:i/>
          <w:spacing w:val="-1"/>
        </w:rPr>
        <w:t> </w:t>
      </w:r>
      <w:r>
        <w:rPr>
          <w:rFonts w:ascii="Arial" w:hAnsi="Arial"/>
          <w:i/>
        </w:rPr>
        <w:t>(1988)</w:t>
      </w:r>
      <w:r>
        <w:rPr>
          <w:rFonts w:ascii="Arial" w:hAnsi="Arial"/>
          <w:i/>
          <w:spacing w:val="-1"/>
        </w:rPr>
        <w:t> </w:t>
      </w:r>
      <w:r>
        <w:rPr>
          <w:rFonts w:ascii="Arial" w:hAnsi="Arial"/>
          <w:i/>
        </w:rPr>
        <w:t>165</w:t>
      </w:r>
      <w:r>
        <w:rPr>
          <w:rFonts w:ascii="Arial" w:hAnsi="Arial"/>
          <w:i/>
          <w:spacing w:val="-1"/>
        </w:rPr>
        <w:t> </w:t>
      </w:r>
      <w:r>
        <w:rPr>
          <w:rFonts w:ascii="Arial" w:hAnsi="Arial"/>
          <w:i/>
        </w:rPr>
        <w:t>C.L.R.</w:t>
      </w:r>
      <w:r>
        <w:rPr>
          <w:rFonts w:ascii="Arial" w:hAnsi="Arial"/>
          <w:i/>
          <w:spacing w:val="-1"/>
        </w:rPr>
        <w:t> </w:t>
      </w:r>
      <w:r>
        <w:rPr>
          <w:rFonts w:ascii="Arial" w:hAnsi="Arial"/>
          <w:i/>
        </w:rPr>
        <w:t>107</w:t>
      </w:r>
      <w:r>
        <w:rPr/>
        <w:t>,</w:t>
      </w:r>
      <w:r>
        <w:rPr>
          <w:spacing w:val="-1"/>
        </w:rPr>
        <w:t> </w:t>
      </w:r>
      <w:r>
        <w:rPr/>
        <w:t>where</w:t>
      </w:r>
      <w:r>
        <w:rPr>
          <w:spacing w:val="-1"/>
        </w:rPr>
        <w:t> </w:t>
      </w:r>
      <w:r>
        <w:rPr/>
        <w:t>a</w:t>
      </w:r>
      <w:r>
        <w:rPr>
          <w:spacing w:val="-1"/>
        </w:rPr>
        <w:t> </w:t>
      </w:r>
      <w:r>
        <w:rPr/>
        <w:t>claim</w:t>
      </w:r>
      <w:r>
        <w:rPr>
          <w:spacing w:val="-1"/>
        </w:rPr>
        <w:t> </w:t>
      </w:r>
      <w:r>
        <w:rPr/>
        <w:t>under</w:t>
      </w:r>
      <w:r>
        <w:rPr>
          <w:spacing w:val="-1"/>
        </w:rPr>
        <w:t> </w:t>
      </w:r>
      <w:r>
        <w:rPr/>
        <w:t>a liability</w:t>
      </w:r>
      <w:r>
        <w:rPr>
          <w:spacing w:val="-2"/>
        </w:rPr>
        <w:t> </w:t>
      </w:r>
      <w:r>
        <w:rPr/>
        <w:t>insurance</w:t>
      </w:r>
      <w:r>
        <w:rPr>
          <w:spacing w:val="-2"/>
        </w:rPr>
        <w:t> </w:t>
      </w:r>
      <w:r>
        <w:rPr/>
        <w:t>policy</w:t>
      </w:r>
      <w:r>
        <w:rPr>
          <w:spacing w:val="-2"/>
        </w:rPr>
        <w:t> </w:t>
      </w:r>
      <w:r>
        <w:rPr/>
        <w:t>by</w:t>
      </w:r>
      <w:r>
        <w:rPr>
          <w:spacing w:val="-2"/>
        </w:rPr>
        <w:t> </w:t>
      </w:r>
      <w:r>
        <w:rPr/>
        <w:t>a</w:t>
      </w:r>
      <w:r>
        <w:rPr>
          <w:spacing w:val="-2"/>
        </w:rPr>
        <w:t> </w:t>
      </w:r>
      <w:r>
        <w:rPr/>
        <w:t>person</w:t>
      </w:r>
      <w:r>
        <w:rPr>
          <w:spacing w:val="-2"/>
        </w:rPr>
        <w:t> </w:t>
      </w:r>
      <w:r>
        <w:rPr/>
        <w:t>who</w:t>
      </w:r>
      <w:r>
        <w:rPr>
          <w:spacing w:val="-2"/>
        </w:rPr>
        <w:t> </w:t>
      </w:r>
      <w:r>
        <w:rPr/>
        <w:t>was</w:t>
      </w:r>
      <w:r>
        <w:rPr>
          <w:spacing w:val="-2"/>
        </w:rPr>
        <w:t> </w:t>
      </w:r>
      <w:r>
        <w:rPr/>
        <w:t>not</w:t>
      </w:r>
      <w:r>
        <w:rPr>
          <w:spacing w:val="-2"/>
        </w:rPr>
        <w:t> </w:t>
      </w:r>
      <w:r>
        <w:rPr/>
        <w:t>a</w:t>
      </w:r>
      <w:r>
        <w:rPr>
          <w:spacing w:val="-2"/>
        </w:rPr>
        <w:t> </w:t>
      </w:r>
      <w:r>
        <w:rPr/>
        <w:t>party</w:t>
      </w:r>
      <w:r>
        <w:rPr>
          <w:spacing w:val="-2"/>
        </w:rPr>
        <w:t> </w:t>
      </w:r>
      <w:r>
        <w:rPr/>
        <w:t>to</w:t>
      </w:r>
      <w:r>
        <w:rPr>
          <w:spacing w:val="-2"/>
        </w:rPr>
        <w:t> </w:t>
      </w:r>
      <w:r>
        <w:rPr/>
        <w:t>it</w:t>
      </w:r>
      <w:r>
        <w:rPr>
          <w:spacing w:val="-2"/>
        </w:rPr>
        <w:t> </w:t>
      </w:r>
      <w:r>
        <w:rPr/>
        <w:t>was</w:t>
      </w:r>
      <w:r>
        <w:rPr>
          <w:spacing w:val="-2"/>
        </w:rPr>
        <w:t> </w:t>
      </w:r>
      <w:r>
        <w:rPr/>
        <w:t>upheld</w:t>
      </w:r>
      <w:r>
        <w:rPr>
          <w:spacing w:val="-2"/>
        </w:rPr>
        <w:t> </w:t>
      </w:r>
      <w:r>
        <w:rPr/>
        <w:t>by</w:t>
      </w:r>
      <w:r>
        <w:rPr>
          <w:spacing w:val="-2"/>
        </w:rPr>
        <w:t> </w:t>
      </w:r>
      <w:r>
        <w:rPr/>
        <w:t>a</w:t>
      </w:r>
      <w:r>
        <w:rPr>
          <w:spacing w:val="-2"/>
        </w:rPr>
        <w:t> </w:t>
      </w:r>
      <w:r>
        <w:rPr/>
        <w:t>majority</w:t>
      </w:r>
      <w:r>
        <w:rPr>
          <w:spacing w:val="-2"/>
        </w:rPr>
        <w:t> </w:t>
      </w:r>
      <w:r>
        <w:rPr/>
        <w:t>of</w:t>
      </w:r>
      <w:r>
        <w:rPr>
          <w:spacing w:val="-2"/>
        </w:rPr>
        <w:t> </w:t>
      </w:r>
      <w:r>
        <w:rPr/>
        <w:t>five</w:t>
      </w:r>
      <w:r>
        <w:rPr>
          <w:spacing w:val="-2"/>
        </w:rPr>
        <w:t> </w:t>
      </w:r>
      <w:r>
        <w:rPr/>
        <w:t>to two. But one member of the majority (Deane J.) was prepared to allow the third party’s claim only</w:t>
      </w:r>
      <w:r>
        <w:rPr>
          <w:spacing w:val="80"/>
        </w:rPr>
        <w:t> </w:t>
      </w:r>
      <w:r>
        <w:rPr/>
        <w:t>under</w:t>
      </w:r>
      <w:r>
        <w:rPr>
          <w:spacing w:val="80"/>
        </w:rPr>
        <w:t> </w:t>
      </w:r>
      <w:r>
        <w:rPr/>
        <w:t>the</w:t>
      </w:r>
      <w:r>
        <w:rPr>
          <w:spacing w:val="80"/>
        </w:rPr>
        <w:t> </w:t>
      </w:r>
      <w:r>
        <w:rPr/>
        <w:t>well</w:t>
      </w:r>
      <w:r>
        <w:rPr>
          <w:spacing w:val="80"/>
        </w:rPr>
        <w:t> </w:t>
      </w:r>
      <w:r>
        <w:rPr/>
        <w:t>established</w:t>
      </w:r>
      <w:r>
        <w:rPr>
          <w:spacing w:val="80"/>
        </w:rPr>
        <w:t> </w:t>
      </w:r>
      <w:r>
        <w:rPr/>
        <w:t>trust</w:t>
      </w:r>
      <w:r>
        <w:rPr>
          <w:spacing w:val="80"/>
        </w:rPr>
        <w:t> </w:t>
      </w:r>
      <w:r>
        <w:rPr/>
        <w:t>exception</w:t>
      </w:r>
      <w:r>
        <w:rPr>
          <w:spacing w:val="80"/>
        </w:rPr>
        <w:t> </w:t>
      </w:r>
      <w:r>
        <w:rPr/>
        <w:t>to</w:t>
      </w:r>
      <w:r>
        <w:rPr>
          <w:spacing w:val="80"/>
        </w:rPr>
        <w:t> </w:t>
      </w:r>
      <w:r>
        <w:rPr/>
        <w:t>the</w:t>
      </w:r>
      <w:r>
        <w:rPr>
          <w:spacing w:val="80"/>
        </w:rPr>
        <w:t> </w:t>
      </w:r>
      <w:r>
        <w:rPr/>
        <w:t>doctrine</w:t>
      </w:r>
      <w:r>
        <w:rPr>
          <w:spacing w:val="80"/>
        </w:rPr>
        <w:t> </w:t>
      </w:r>
      <w:r>
        <w:rPr/>
        <w:t>of</w:t>
      </w:r>
      <w:r>
        <w:rPr>
          <w:spacing w:val="80"/>
        </w:rPr>
        <w:t> </w:t>
      </w:r>
      <w:r>
        <w:rPr/>
        <w:t>privity</w:t>
      </w:r>
      <w:r>
        <w:rPr>
          <w:spacing w:val="80"/>
        </w:rPr>
        <w:t> </w:t>
      </w:r>
      <w:r>
        <w:rPr/>
        <w:t>(below, para.18-080-18-088); while another (Gaudron J.) based her decision in favour of the third party, not on contract but on unjust enrichment, and said that this was “not an abrogation of the doctrine of privity of contract” (at 177, and see below, para.18-044). Only three of the seven members of the court can be said to have countenanced such an abrogation, and even their view may be restricted to the special insurance context with which the case was concerned.</w:t>
      </w:r>
      <w:r>
        <w:rPr>
          <w:spacing w:val="40"/>
        </w:rPr>
        <w:t> </w:t>
      </w:r>
      <w:r>
        <w:rPr/>
        <w:t>See also Edgell [1989] L.M.C.L.Q. 139; Kincaid (1989) 2 J.C.L. 160. For a different judicial approach in Canada, proceeding by means of developing an exception to the doctrine in the context</w:t>
      </w:r>
      <w:r>
        <w:rPr>
          <w:spacing w:val="1"/>
        </w:rPr>
        <w:t> </w:t>
      </w:r>
      <w:r>
        <w:rPr/>
        <w:t>of</w:t>
      </w:r>
      <w:r>
        <w:rPr>
          <w:spacing w:val="3"/>
        </w:rPr>
        <w:t> </w:t>
      </w:r>
      <w:r>
        <w:rPr/>
        <w:t>exemption</w:t>
      </w:r>
      <w:r>
        <w:rPr>
          <w:spacing w:val="3"/>
        </w:rPr>
        <w:t> </w:t>
      </w:r>
      <w:r>
        <w:rPr/>
        <w:t>clauses,</w:t>
      </w:r>
      <w:r>
        <w:rPr>
          <w:spacing w:val="3"/>
        </w:rPr>
        <w:t> </w:t>
      </w:r>
      <w:r>
        <w:rPr/>
        <w:t>see</w:t>
      </w:r>
      <w:r>
        <w:rPr>
          <w:spacing w:val="3"/>
        </w:rPr>
        <w:t> </w:t>
      </w:r>
      <w:r>
        <w:rPr>
          <w:rFonts w:ascii="Arial" w:hAnsi="Arial"/>
          <w:i/>
        </w:rPr>
        <w:t>London</w:t>
      </w:r>
      <w:r>
        <w:rPr>
          <w:rFonts w:ascii="Arial" w:hAnsi="Arial"/>
          <w:i/>
          <w:spacing w:val="3"/>
        </w:rPr>
        <w:t> </w:t>
      </w:r>
      <w:r>
        <w:rPr>
          <w:rFonts w:ascii="Arial" w:hAnsi="Arial"/>
          <w:i/>
        </w:rPr>
        <w:t>Drugs</w:t>
      </w:r>
      <w:r>
        <w:rPr>
          <w:rFonts w:ascii="Arial" w:hAnsi="Arial"/>
          <w:i/>
          <w:spacing w:val="3"/>
        </w:rPr>
        <w:t> </w:t>
      </w:r>
      <w:r>
        <w:rPr>
          <w:rFonts w:ascii="Arial" w:hAnsi="Arial"/>
          <w:i/>
        </w:rPr>
        <w:t>Ltd</w:t>
      </w:r>
      <w:r>
        <w:rPr>
          <w:rFonts w:ascii="Arial" w:hAnsi="Arial"/>
          <w:i/>
          <w:spacing w:val="3"/>
        </w:rPr>
        <w:t> </w:t>
      </w:r>
      <w:r>
        <w:rPr>
          <w:rFonts w:ascii="Arial" w:hAnsi="Arial"/>
          <w:i/>
        </w:rPr>
        <w:t>v</w:t>
      </w:r>
      <w:r>
        <w:rPr>
          <w:rFonts w:ascii="Arial" w:hAnsi="Arial"/>
          <w:i/>
          <w:spacing w:val="3"/>
        </w:rPr>
        <w:t> </w:t>
      </w:r>
      <w:r>
        <w:rPr>
          <w:rFonts w:ascii="Arial" w:hAnsi="Arial"/>
          <w:i/>
        </w:rPr>
        <w:t>Kuehne</w:t>
      </w:r>
      <w:r>
        <w:rPr>
          <w:rFonts w:ascii="Arial" w:hAnsi="Arial"/>
          <w:i/>
          <w:spacing w:val="3"/>
        </w:rPr>
        <w:t> </w:t>
      </w:r>
      <w:r>
        <w:rPr>
          <w:rFonts w:ascii="Arial" w:hAnsi="Arial"/>
          <w:i/>
        </w:rPr>
        <w:t>&amp;</w:t>
      </w:r>
      <w:r>
        <w:rPr>
          <w:rFonts w:ascii="Arial" w:hAnsi="Arial"/>
          <w:i/>
          <w:spacing w:val="3"/>
        </w:rPr>
        <w:t> </w:t>
      </w:r>
      <w:r>
        <w:rPr>
          <w:rFonts w:ascii="Arial" w:hAnsi="Arial"/>
          <w:i/>
        </w:rPr>
        <w:t>Nagel</w:t>
      </w:r>
      <w:r>
        <w:rPr>
          <w:rFonts w:ascii="Arial" w:hAnsi="Arial"/>
          <w:i/>
          <w:spacing w:val="3"/>
        </w:rPr>
        <w:t> </w:t>
      </w:r>
      <w:r>
        <w:rPr>
          <w:rFonts w:ascii="Arial" w:hAnsi="Arial"/>
          <w:i/>
        </w:rPr>
        <w:t>International</w:t>
      </w:r>
      <w:r>
        <w:rPr>
          <w:rFonts w:ascii="Arial" w:hAnsi="Arial"/>
          <w:i/>
          <w:spacing w:val="3"/>
        </w:rPr>
        <w:t> </w:t>
      </w:r>
      <w:r>
        <w:rPr>
          <w:rFonts w:ascii="Arial" w:hAnsi="Arial"/>
          <w:i/>
        </w:rPr>
        <w:t>Ltd</w:t>
      </w:r>
      <w:r>
        <w:rPr>
          <w:rFonts w:ascii="Arial" w:hAnsi="Arial"/>
          <w:i/>
          <w:spacing w:val="3"/>
        </w:rPr>
        <w:t> </w:t>
      </w:r>
      <w:r>
        <w:rPr>
          <w:rFonts w:ascii="Arial" w:hAnsi="Arial"/>
          <w:i/>
          <w:spacing w:val="-2"/>
        </w:rPr>
        <w:t>[1992]</w:t>
      </w:r>
    </w:p>
    <w:p>
      <w:pPr>
        <w:spacing w:line="235" w:lineRule="auto" w:before="0"/>
        <w:ind w:left="705" w:right="167" w:firstLine="0"/>
        <w:jc w:val="both"/>
        <w:rPr>
          <w:sz w:val="20"/>
        </w:rPr>
      </w:pPr>
      <w:r>
        <w:rPr>
          <w:rFonts w:ascii="Arial" w:hAnsi="Arial"/>
          <w:i/>
          <w:sz w:val="20"/>
        </w:rPr>
        <w:t>3</w:t>
      </w:r>
      <w:r>
        <w:rPr>
          <w:rFonts w:ascii="Arial" w:hAnsi="Arial"/>
          <w:i/>
          <w:spacing w:val="40"/>
          <w:sz w:val="20"/>
        </w:rPr>
        <w:t> </w:t>
      </w:r>
      <w:r>
        <w:rPr>
          <w:rFonts w:ascii="Arial" w:hAnsi="Arial"/>
          <w:i/>
          <w:sz w:val="20"/>
        </w:rPr>
        <w:t>S.C.R.</w:t>
      </w:r>
      <w:r>
        <w:rPr>
          <w:rFonts w:ascii="Arial" w:hAnsi="Arial"/>
          <w:i/>
          <w:spacing w:val="40"/>
          <w:sz w:val="20"/>
        </w:rPr>
        <w:t> </w:t>
      </w:r>
      <w:r>
        <w:rPr>
          <w:rFonts w:ascii="Arial" w:hAnsi="Arial"/>
          <w:i/>
          <w:sz w:val="20"/>
        </w:rPr>
        <w:t>299</w:t>
      </w:r>
      <w:r>
        <w:rPr>
          <w:sz w:val="20"/>
        </w:rPr>
        <w:t>;</w:t>
      </w:r>
      <w:r>
        <w:rPr>
          <w:spacing w:val="40"/>
          <w:sz w:val="20"/>
        </w:rPr>
        <w:t> </w:t>
      </w:r>
      <w:r>
        <w:rPr>
          <w:sz w:val="20"/>
        </w:rPr>
        <w:t>Waddams</w:t>
      </w:r>
      <w:r>
        <w:rPr>
          <w:spacing w:val="40"/>
          <w:sz w:val="20"/>
        </w:rPr>
        <w:t> </w:t>
      </w:r>
      <w:r>
        <w:rPr>
          <w:sz w:val="20"/>
        </w:rPr>
        <w:t>(1993)</w:t>
      </w:r>
      <w:r>
        <w:rPr>
          <w:spacing w:val="40"/>
          <w:sz w:val="20"/>
        </w:rPr>
        <w:t> </w:t>
      </w:r>
      <w:r>
        <w:rPr>
          <w:sz w:val="20"/>
        </w:rPr>
        <w:t>109</w:t>
      </w:r>
      <w:r>
        <w:rPr>
          <w:spacing w:val="40"/>
          <w:sz w:val="20"/>
        </w:rPr>
        <w:t> </w:t>
      </w:r>
      <w:r>
        <w:rPr>
          <w:sz w:val="20"/>
        </w:rPr>
        <w:t>L.Q.R.</w:t>
      </w:r>
      <w:r>
        <w:rPr>
          <w:spacing w:val="40"/>
          <w:sz w:val="20"/>
        </w:rPr>
        <w:t> </w:t>
      </w:r>
      <w:r>
        <w:rPr>
          <w:sz w:val="20"/>
        </w:rPr>
        <w:t>349.</w:t>
      </w:r>
      <w:r>
        <w:rPr>
          <w:spacing w:val="40"/>
          <w:sz w:val="20"/>
        </w:rPr>
        <w:t> </w:t>
      </w:r>
      <w:r>
        <w:rPr>
          <w:sz w:val="20"/>
        </w:rPr>
        <w:t>cf.</w:t>
      </w:r>
      <w:r>
        <w:rPr>
          <w:spacing w:val="40"/>
          <w:sz w:val="20"/>
        </w:rPr>
        <w:t> </w:t>
      </w:r>
      <w:r>
        <w:rPr>
          <w:rFonts w:ascii="Arial" w:hAnsi="Arial"/>
          <w:i/>
          <w:sz w:val="20"/>
        </w:rPr>
        <w:t>Fraser</w:t>
      </w:r>
      <w:r>
        <w:rPr>
          <w:rFonts w:ascii="Arial" w:hAnsi="Arial"/>
          <w:i/>
          <w:spacing w:val="40"/>
          <w:sz w:val="20"/>
        </w:rPr>
        <w:t> </w:t>
      </w:r>
      <w:r>
        <w:rPr>
          <w:rFonts w:ascii="Arial" w:hAnsi="Arial"/>
          <w:i/>
          <w:sz w:val="20"/>
        </w:rPr>
        <w:t>River</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Pile</w:t>
      </w:r>
      <w:r>
        <w:rPr>
          <w:rFonts w:ascii="Arial" w:hAnsi="Arial"/>
          <w:i/>
          <w:spacing w:val="40"/>
          <w:sz w:val="20"/>
        </w:rPr>
        <w:t> </w:t>
      </w:r>
      <w:r>
        <w:rPr>
          <w:rFonts w:ascii="Arial" w:hAnsi="Arial"/>
          <w:i/>
          <w:sz w:val="20"/>
        </w:rPr>
        <w:t>Dredge</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 Can-Drive Services Ltd [2000] 1 Lloyds Rep. 199</w:t>
      </w:r>
      <w:r>
        <w:rPr>
          <w:sz w:val="20"/>
        </w:rPr>
        <w:t>, where the Supreme Court of Canada, while refusing to engage in “wholesale abolition” of the doctrine of privity, continued to make “incremental changes” by holding that a third party could take the benefit of a “waiver </w:t>
      </w:r>
      <w:r>
        <w:rPr>
          <w:sz w:val="20"/>
        </w:rPr>
        <w:t>of subrogation” clause in an insurance policy.</w:t>
      </w:r>
    </w:p>
    <w:p>
      <w:pPr>
        <w:pStyle w:val="BodyText"/>
        <w:spacing w:before="4"/>
      </w:pPr>
    </w:p>
    <w:p>
      <w:pPr>
        <w:pStyle w:val="BodyText"/>
        <w:tabs>
          <w:tab w:pos="705" w:val="left" w:leader="none"/>
        </w:tabs>
        <w:spacing w:line="235" w:lineRule="auto"/>
        <w:ind w:left="705" w:right="168" w:hanging="541"/>
      </w:pPr>
      <w:bookmarkStart w:name="_bookmark245" w:id="247"/>
      <w:bookmarkEnd w:id="247"/>
      <w:r>
        <w:rPr/>
      </w:r>
      <w:hyperlink w:history="true" w:anchor="_bookmark222">
        <w:r>
          <w:rPr>
            <w:color w:val="005DA1"/>
            <w:spacing w:val="-4"/>
            <w:position w:val="5"/>
            <w:sz w:val="14"/>
            <w:u w:val="single" w:color="005DA1"/>
          </w:rPr>
          <w:t>127</w:t>
        </w:r>
      </w:hyperlink>
      <w:r>
        <w:rPr>
          <w:spacing w:val="-4"/>
          <w:position w:val="5"/>
          <w:sz w:val="14"/>
        </w:rPr>
        <w:t>.</w:t>
      </w:r>
      <w:r>
        <w:rPr>
          <w:position w:val="5"/>
          <w:sz w:val="14"/>
        </w:rPr>
        <w:tab/>
      </w:r>
      <w:r>
        <w:rPr/>
        <w:t>See the discussion of these problems in American law (which in principle recognises the rights of third-party beneficiaries) in Corbin on Contracts, Chs 41–44.</w:t>
      </w:r>
    </w:p>
    <w:p>
      <w:pPr>
        <w:pStyle w:val="BodyText"/>
        <w:spacing w:before="5"/>
      </w:pPr>
    </w:p>
    <w:p>
      <w:pPr>
        <w:pStyle w:val="BodyText"/>
        <w:tabs>
          <w:tab w:pos="705" w:val="left" w:leader="none"/>
        </w:tabs>
        <w:spacing w:line="227" w:lineRule="exact"/>
        <w:ind w:left="165"/>
      </w:pPr>
      <w:bookmarkStart w:name="_bookmark246" w:id="248"/>
      <w:bookmarkEnd w:id="248"/>
      <w:r>
        <w:rPr/>
      </w:r>
      <w:hyperlink w:history="true" w:anchor="_bookmark223">
        <w:r>
          <w:rPr>
            <w:color w:val="005DA1"/>
            <w:spacing w:val="-4"/>
            <w:position w:val="5"/>
            <w:sz w:val="14"/>
            <w:u w:val="single" w:color="005DA1"/>
          </w:rPr>
          <w:t>128</w:t>
        </w:r>
      </w:hyperlink>
      <w:r>
        <w:rPr>
          <w:spacing w:val="-4"/>
          <w:position w:val="5"/>
          <w:sz w:val="14"/>
        </w:rPr>
        <w:t>.</w:t>
      </w:r>
      <w:r>
        <w:rPr>
          <w:position w:val="5"/>
          <w:sz w:val="14"/>
        </w:rPr>
        <w:tab/>
      </w:r>
      <w:r>
        <w:rPr/>
        <w:t>See</w:t>
      </w:r>
      <w:r>
        <w:rPr>
          <w:spacing w:val="16"/>
        </w:rPr>
        <w:t> </w:t>
      </w:r>
      <w:r>
        <w:rPr/>
        <w:t>Treitel</w:t>
      </w:r>
      <w:r>
        <w:rPr>
          <w:spacing w:val="16"/>
        </w:rPr>
        <w:t> </w:t>
      </w:r>
      <w:r>
        <w:rPr/>
        <w:t>(1966)</w:t>
      </w:r>
      <w:r>
        <w:rPr>
          <w:spacing w:val="16"/>
        </w:rPr>
        <w:t> </w:t>
      </w:r>
      <w:r>
        <w:rPr/>
        <w:t>29</w:t>
      </w:r>
      <w:r>
        <w:rPr>
          <w:spacing w:val="16"/>
        </w:rPr>
        <w:t> </w:t>
      </w:r>
      <w:r>
        <w:rPr/>
        <w:t>M.L.R.</w:t>
      </w:r>
      <w:r>
        <w:rPr>
          <w:spacing w:val="16"/>
        </w:rPr>
        <w:t> </w:t>
      </w:r>
      <w:r>
        <w:rPr/>
        <w:t>657,</w:t>
      </w:r>
      <w:r>
        <w:rPr>
          <w:spacing w:val="16"/>
        </w:rPr>
        <w:t> </w:t>
      </w:r>
      <w:r>
        <w:rPr/>
        <w:t>665;</w:t>
      </w:r>
      <w:r>
        <w:rPr>
          <w:spacing w:val="16"/>
        </w:rPr>
        <w:t> </w:t>
      </w:r>
      <w:r>
        <w:rPr/>
        <w:t>Reynolds</w:t>
      </w:r>
      <w:r>
        <w:rPr>
          <w:spacing w:val="16"/>
        </w:rPr>
        <w:t> </w:t>
      </w:r>
      <w:r>
        <w:rPr/>
        <w:t>(1989)</w:t>
      </w:r>
      <w:r>
        <w:rPr>
          <w:spacing w:val="16"/>
        </w:rPr>
        <w:t> </w:t>
      </w:r>
      <w:r>
        <w:rPr/>
        <w:t>105</w:t>
      </w:r>
      <w:r>
        <w:rPr>
          <w:spacing w:val="16"/>
        </w:rPr>
        <w:t> </w:t>
      </w:r>
      <w:r>
        <w:rPr/>
        <w:t>L.Q.R.</w:t>
      </w:r>
      <w:r>
        <w:rPr>
          <w:spacing w:val="16"/>
        </w:rPr>
        <w:t> </w:t>
      </w:r>
      <w:r>
        <w:rPr/>
        <w:t>1,</w:t>
      </w:r>
      <w:r>
        <w:rPr>
          <w:spacing w:val="16"/>
        </w:rPr>
        <w:t> </w:t>
      </w:r>
      <w:r>
        <w:rPr/>
        <w:t>3;</w:t>
      </w:r>
      <w:r>
        <w:rPr>
          <w:spacing w:val="16"/>
        </w:rPr>
        <w:t> </w:t>
      </w:r>
      <w:r>
        <w:rPr/>
        <w:t>above,</w:t>
      </w:r>
      <w:r>
        <w:rPr>
          <w:spacing w:val="16"/>
        </w:rPr>
        <w:t> </w:t>
      </w:r>
      <w:r>
        <w:rPr/>
        <w:t>para.18-</w:t>
      </w:r>
      <w:r>
        <w:rPr>
          <w:spacing w:val="-4"/>
        </w:rPr>
        <w:t>001.</w:t>
      </w:r>
    </w:p>
    <w:p>
      <w:pPr>
        <w:spacing w:line="225" w:lineRule="exact" w:before="0"/>
        <w:ind w:left="705" w:right="0" w:firstLine="0"/>
        <w:jc w:val="left"/>
        <w:rPr>
          <w:rFonts w:ascii="Arial"/>
          <w:i/>
          <w:sz w:val="20"/>
        </w:rPr>
      </w:pPr>
      <w:r>
        <w:rPr>
          <w:sz w:val="20"/>
        </w:rPr>
        <w:t>Judicial</w:t>
      </w:r>
      <w:r>
        <w:rPr>
          <w:spacing w:val="25"/>
          <w:sz w:val="20"/>
        </w:rPr>
        <w:t> </w:t>
      </w:r>
      <w:r>
        <w:rPr>
          <w:sz w:val="20"/>
        </w:rPr>
        <w:t>reform</w:t>
      </w:r>
      <w:r>
        <w:rPr>
          <w:spacing w:val="25"/>
          <w:sz w:val="20"/>
        </w:rPr>
        <w:t> </w:t>
      </w:r>
      <w:r>
        <w:rPr>
          <w:sz w:val="20"/>
        </w:rPr>
        <w:t>is</w:t>
      </w:r>
      <w:r>
        <w:rPr>
          <w:spacing w:val="25"/>
          <w:sz w:val="20"/>
        </w:rPr>
        <w:t> </w:t>
      </w:r>
      <w:r>
        <w:rPr>
          <w:sz w:val="20"/>
        </w:rPr>
        <w:t>favoured</w:t>
      </w:r>
      <w:r>
        <w:rPr>
          <w:spacing w:val="25"/>
          <w:sz w:val="20"/>
        </w:rPr>
        <w:t> </w:t>
      </w:r>
      <w:r>
        <w:rPr>
          <w:sz w:val="20"/>
        </w:rPr>
        <w:t>by</w:t>
      </w:r>
      <w:r>
        <w:rPr>
          <w:spacing w:val="25"/>
          <w:sz w:val="20"/>
        </w:rPr>
        <w:t> </w:t>
      </w:r>
      <w:r>
        <w:rPr>
          <w:sz w:val="20"/>
        </w:rPr>
        <w:t>Steyn</w:t>
      </w:r>
      <w:r>
        <w:rPr>
          <w:spacing w:val="25"/>
          <w:sz w:val="20"/>
        </w:rPr>
        <w:t> </w:t>
      </w:r>
      <w:r>
        <w:rPr>
          <w:sz w:val="20"/>
        </w:rPr>
        <w:t>L.J.</w:t>
      </w:r>
      <w:r>
        <w:rPr>
          <w:spacing w:val="25"/>
          <w:sz w:val="20"/>
        </w:rPr>
        <w:t> </w:t>
      </w:r>
      <w:r>
        <w:rPr>
          <w:sz w:val="20"/>
        </w:rPr>
        <w:t>in</w:t>
      </w:r>
      <w:r>
        <w:rPr>
          <w:spacing w:val="25"/>
          <w:sz w:val="20"/>
        </w:rPr>
        <w:t> </w:t>
      </w:r>
      <w:r>
        <w:rPr>
          <w:rFonts w:ascii="Arial"/>
          <w:i/>
          <w:sz w:val="20"/>
        </w:rPr>
        <w:t>Darlington</w:t>
      </w:r>
      <w:r>
        <w:rPr>
          <w:rFonts w:ascii="Arial"/>
          <w:i/>
          <w:spacing w:val="25"/>
          <w:sz w:val="20"/>
        </w:rPr>
        <w:t> </w:t>
      </w:r>
      <w:r>
        <w:rPr>
          <w:rFonts w:ascii="Arial"/>
          <w:i/>
          <w:sz w:val="20"/>
        </w:rPr>
        <w:t>B.C.</w:t>
      </w:r>
      <w:r>
        <w:rPr>
          <w:rFonts w:ascii="Arial"/>
          <w:i/>
          <w:spacing w:val="25"/>
          <w:sz w:val="20"/>
        </w:rPr>
        <w:t> </w:t>
      </w:r>
      <w:r>
        <w:rPr>
          <w:rFonts w:ascii="Arial"/>
          <w:i/>
          <w:sz w:val="20"/>
        </w:rPr>
        <w:t>v</w:t>
      </w:r>
      <w:r>
        <w:rPr>
          <w:rFonts w:ascii="Arial"/>
          <w:i/>
          <w:spacing w:val="25"/>
          <w:sz w:val="20"/>
        </w:rPr>
        <w:t> </w:t>
      </w:r>
      <w:r>
        <w:rPr>
          <w:rFonts w:ascii="Arial"/>
          <w:i/>
          <w:sz w:val="20"/>
        </w:rPr>
        <w:t>Wiltshire</w:t>
      </w:r>
      <w:r>
        <w:rPr>
          <w:rFonts w:ascii="Arial"/>
          <w:i/>
          <w:spacing w:val="25"/>
          <w:sz w:val="20"/>
        </w:rPr>
        <w:t> </w:t>
      </w:r>
      <w:r>
        <w:rPr>
          <w:rFonts w:ascii="Arial"/>
          <w:i/>
          <w:sz w:val="20"/>
        </w:rPr>
        <w:t>Northern</w:t>
      </w:r>
      <w:r>
        <w:rPr>
          <w:rFonts w:ascii="Arial"/>
          <w:i/>
          <w:spacing w:val="25"/>
          <w:sz w:val="20"/>
        </w:rPr>
        <w:t> </w:t>
      </w:r>
      <w:r>
        <w:rPr>
          <w:rFonts w:ascii="Arial"/>
          <w:i/>
          <w:sz w:val="20"/>
        </w:rPr>
        <w:t>Ltd</w:t>
      </w:r>
      <w:r>
        <w:rPr>
          <w:rFonts w:ascii="Arial"/>
          <w:i/>
          <w:spacing w:val="25"/>
          <w:sz w:val="20"/>
        </w:rPr>
        <w:t> </w:t>
      </w:r>
      <w:r>
        <w:rPr>
          <w:rFonts w:ascii="Arial"/>
          <w:i/>
          <w:sz w:val="20"/>
        </w:rPr>
        <w:t>[1995]</w:t>
      </w:r>
      <w:r>
        <w:rPr>
          <w:rFonts w:ascii="Arial"/>
          <w:i/>
          <w:spacing w:val="25"/>
          <w:sz w:val="20"/>
        </w:rPr>
        <w:t> </w:t>
      </w:r>
      <w:r>
        <w:rPr>
          <w:rFonts w:ascii="Arial"/>
          <w:i/>
          <w:spacing w:val="-10"/>
          <w:sz w:val="20"/>
        </w:rPr>
        <w:t>1</w:t>
      </w:r>
    </w:p>
    <w:p>
      <w:pPr>
        <w:pStyle w:val="BodyText"/>
        <w:spacing w:line="227" w:lineRule="exact"/>
        <w:ind w:left="705"/>
      </w:pPr>
      <w:r>
        <w:rPr>
          <w:rFonts w:ascii="Arial"/>
          <w:i/>
        </w:rPr>
        <w:t>W.L.R.</w:t>
      </w:r>
      <w:r>
        <w:rPr>
          <w:rFonts w:ascii="Arial"/>
          <w:i/>
          <w:spacing w:val="-1"/>
        </w:rPr>
        <w:t> </w:t>
      </w:r>
      <w:r>
        <w:rPr>
          <w:rFonts w:ascii="Arial"/>
          <w:i/>
        </w:rPr>
        <w:t>68, 76</w:t>
      </w:r>
      <w:r>
        <w:rPr/>
        <w:t>, discussed in para.18-058 below. See also Beale (1995) J.C.L. </w:t>
      </w:r>
      <w:r>
        <w:rPr>
          <w:spacing w:val="-4"/>
        </w:rPr>
        <w:t>103.</w:t>
      </w:r>
    </w:p>
    <w:p>
      <w:pPr>
        <w:pStyle w:val="BodyText"/>
        <w:spacing w:after="0" w:line="227" w:lineRule="exact"/>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223">
        <w:r>
          <w:rPr>
            <w:color w:val="005DA1"/>
            <w:spacing w:val="-4"/>
            <w:position w:val="5"/>
            <w:sz w:val="14"/>
            <w:u w:val="single" w:color="005DA1"/>
          </w:rPr>
          <w:t>129</w:t>
        </w:r>
      </w:hyperlink>
      <w:r>
        <w:rPr>
          <w:spacing w:val="-4"/>
          <w:position w:val="5"/>
          <w:sz w:val="14"/>
        </w:rPr>
        <w:t>.</w:t>
      </w:r>
      <w:r>
        <w:rPr>
          <w:position w:val="5"/>
          <w:sz w:val="14"/>
        </w:rPr>
        <w:tab/>
      </w:r>
      <w:r>
        <w:rPr/>
        <w:t>Below, paras 18-090 et seq. cf., in New Zealand, the Contract (Privity) Act </w:t>
      </w:r>
      <w:r>
        <w:rPr>
          <w:spacing w:val="-2"/>
        </w:rPr>
        <w:t>1982.</w:t>
      </w:r>
    </w:p>
    <w:p>
      <w:pPr>
        <w:pStyle w:val="BodyText"/>
        <w:spacing w:before="5"/>
      </w:pPr>
    </w:p>
    <w:p>
      <w:pPr>
        <w:tabs>
          <w:tab w:pos="705" w:val="left" w:leader="none"/>
        </w:tabs>
        <w:spacing w:before="0"/>
        <w:ind w:left="165" w:right="0" w:firstLine="0"/>
        <w:jc w:val="left"/>
        <w:rPr>
          <w:sz w:val="20"/>
        </w:rPr>
      </w:pPr>
      <w:bookmarkStart w:name="_bookmark247" w:id="249"/>
      <w:bookmarkEnd w:id="249"/>
      <w:r>
        <w:rPr/>
      </w:r>
      <w:hyperlink w:history="true" w:anchor="_bookmark224">
        <w:r>
          <w:rPr>
            <w:color w:val="005DA1"/>
            <w:spacing w:val="-4"/>
            <w:position w:val="5"/>
            <w:sz w:val="14"/>
            <w:u w:val="single" w:color="005DA1"/>
          </w:rPr>
          <w:t>130</w:t>
        </w:r>
      </w:hyperlink>
      <w:r>
        <w:rPr>
          <w:spacing w:val="-4"/>
          <w:position w:val="5"/>
          <w:sz w:val="14"/>
        </w:rPr>
        <w:t>.</w:t>
      </w:r>
      <w:r>
        <w:rPr>
          <w:position w:val="5"/>
          <w:sz w:val="14"/>
        </w:rPr>
        <w:tab/>
      </w:r>
      <w:r>
        <w:rPr>
          <w:sz w:val="20"/>
        </w:rPr>
        <w:t>Above, para.18-</w:t>
      </w:r>
      <w:r>
        <w:rPr>
          <w:spacing w:val="-4"/>
          <w:sz w:val="20"/>
        </w:rPr>
        <w:t>002.</w:t>
      </w:r>
    </w:p>
    <w:p>
      <w:pPr>
        <w:pStyle w:val="BodyText"/>
        <w:spacing w:before="5"/>
      </w:pPr>
    </w:p>
    <w:p>
      <w:pPr>
        <w:pStyle w:val="BodyText"/>
        <w:tabs>
          <w:tab w:pos="705" w:val="left" w:leader="none"/>
        </w:tabs>
        <w:ind w:left="165"/>
      </w:pPr>
      <w:bookmarkStart w:name="_bookmark248" w:id="250"/>
      <w:bookmarkEnd w:id="250"/>
      <w:r>
        <w:rPr/>
      </w:r>
      <w:hyperlink w:history="true" w:anchor="_bookmark225">
        <w:r>
          <w:rPr>
            <w:color w:val="005DA1"/>
            <w:spacing w:val="-4"/>
            <w:position w:val="5"/>
            <w:sz w:val="14"/>
            <w:u w:val="single" w:color="005DA1"/>
          </w:rPr>
          <w:t>131</w:t>
        </w:r>
      </w:hyperlink>
      <w:r>
        <w:rPr>
          <w:spacing w:val="-4"/>
          <w:position w:val="5"/>
          <w:sz w:val="14"/>
        </w:rPr>
        <w:t>.</w:t>
      </w:r>
      <w:r>
        <w:rPr>
          <w:position w:val="5"/>
          <w:sz w:val="14"/>
        </w:rPr>
        <w:tab/>
      </w:r>
      <w:r>
        <w:rPr/>
        <w:t>The passing of the 1999 Act has probably reduced the pressure for judicial </w:t>
      </w:r>
      <w:r>
        <w:rPr>
          <w:spacing w:val="-2"/>
        </w:rPr>
        <w:t>reform.</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49920">
                <wp:simplePos x="0" y="0"/>
                <wp:positionH relativeFrom="page">
                  <wp:posOffset>4703826</wp:posOffset>
                </wp:positionH>
                <wp:positionV relativeFrom="paragraph">
                  <wp:posOffset>377436</wp:posOffset>
                </wp:positionV>
                <wp:extent cx="425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6560"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3. - </w:t>
      </w:r>
      <w:r>
        <w:rPr>
          <w:rFonts w:ascii="Arial"/>
          <w:b/>
          <w:spacing w:val="-2"/>
          <w:sz w:val="24"/>
        </w:rPr>
        <w:t>Scope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w:t>
      </w:r>
    </w:p>
    <w:p>
      <w:pPr>
        <w:pStyle w:val="BodyText"/>
        <w:spacing w:before="41"/>
        <w:rPr>
          <w:rFonts w:ascii="Arial"/>
          <w:b/>
          <w:sz w:val="18"/>
        </w:rPr>
      </w:pPr>
    </w:p>
    <w:p>
      <w:pPr>
        <w:pStyle w:val="Heading2"/>
      </w:pPr>
      <w:r>
        <w:rPr/>
        <w:t>18-</w:t>
      </w:r>
      <w:r>
        <w:rPr>
          <w:spacing w:val="-5"/>
        </w:rPr>
        <w:t>023</w:t>
      </w:r>
    </w:p>
    <w:p>
      <w:pPr>
        <w:pStyle w:val="BodyText"/>
        <w:spacing w:line="235" w:lineRule="auto" w:before="203"/>
        <w:ind w:left="165" w:right="167"/>
        <w:jc w:val="both"/>
      </w:pPr>
      <w:r>
        <w:rPr/>
        <w:t>The common law doctrine of privity means, and means only, that a person cannot acquire rights, or</w:t>
      </w:r>
      <w:r>
        <w:rPr>
          <w:spacing w:val="40"/>
        </w:rPr>
        <w:t> </w:t>
      </w:r>
      <w:bookmarkStart w:name="_bookmark249" w:id="251"/>
      <w:bookmarkEnd w:id="251"/>
      <w:r>
        <w:rPr/>
        <w:t>be</w:t>
      </w:r>
      <w:r>
        <w:rPr/>
        <w:t> subjected to liabilities, </w:t>
      </w:r>
      <w:r>
        <w:rPr>
          <w:rFonts w:ascii="Arial"/>
          <w:i/>
        </w:rPr>
        <w:t>arising under </w:t>
      </w:r>
      <w:r>
        <w:rPr/>
        <w:t>a contract to which he is not a party. For example, it </w:t>
      </w:r>
      <w:r>
        <w:rPr/>
        <w:t>means that, if A promises B to pay a sum of money to C, then C cannot sue A for that sum. </w:t>
      </w:r>
      <w:r>
        <w:rPr>
          <w:color w:val="005DA1"/>
          <w:u w:val="single" w:color="005DA1"/>
          <w:vertAlign w:val="superscript"/>
        </w:rPr>
        <w:t>132</w:t>
      </w:r>
      <w:r>
        <w:rPr>
          <w:color w:val="005DA1"/>
          <w:vertAlign w:val="baseline"/>
        </w:rPr>
        <w:t> </w:t>
      </w:r>
      <w:r>
        <w:rPr>
          <w:vertAlign w:val="baseline"/>
        </w:rPr>
        <w:t>Similarly, if a contract between A and B contains a term purporting to exempt C from tortious liability to A, the </w:t>
      </w:r>
      <w:bookmarkStart w:name="_bookmark250" w:id="252"/>
      <w:bookmarkEnd w:id="252"/>
      <w:r>
        <w:rPr>
          <w:vertAlign w:val="baseline"/>
        </w:rPr>
        <w:t>doctrine</w:t>
      </w:r>
      <w:r>
        <w:rPr>
          <w:spacing w:val="11"/>
          <w:vertAlign w:val="baseline"/>
        </w:rPr>
        <w:t> </w:t>
      </w:r>
      <w:r>
        <w:rPr>
          <w:vertAlign w:val="baseline"/>
        </w:rPr>
        <w:t>of</w:t>
      </w:r>
      <w:r>
        <w:rPr>
          <w:spacing w:val="11"/>
          <w:vertAlign w:val="baseline"/>
        </w:rPr>
        <w:t> </w:t>
      </w:r>
      <w:r>
        <w:rPr>
          <w:vertAlign w:val="baseline"/>
        </w:rPr>
        <w:t>privity</w:t>
      </w:r>
      <w:r>
        <w:rPr>
          <w:spacing w:val="11"/>
          <w:vertAlign w:val="baseline"/>
        </w:rPr>
        <w:t> </w:t>
      </w:r>
      <w:r>
        <w:rPr>
          <w:vertAlign w:val="baseline"/>
        </w:rPr>
        <w:t>may</w:t>
      </w:r>
      <w:r>
        <w:rPr>
          <w:spacing w:val="11"/>
          <w:vertAlign w:val="baseline"/>
        </w:rPr>
        <w:t> </w:t>
      </w:r>
      <w:r>
        <w:rPr>
          <w:vertAlign w:val="baseline"/>
        </w:rPr>
        <w:t>prevent</w:t>
      </w:r>
      <w:r>
        <w:rPr>
          <w:spacing w:val="11"/>
          <w:vertAlign w:val="baseline"/>
        </w:rPr>
        <w:t> </w:t>
      </w:r>
      <w:r>
        <w:rPr>
          <w:vertAlign w:val="baseline"/>
        </w:rPr>
        <w:t>C</w:t>
      </w:r>
      <w:r>
        <w:rPr>
          <w:spacing w:val="11"/>
          <w:vertAlign w:val="baseline"/>
        </w:rPr>
        <w:t> </w:t>
      </w:r>
      <w:r>
        <w:rPr>
          <w:vertAlign w:val="baseline"/>
        </w:rPr>
        <w:t>from</w:t>
      </w:r>
      <w:r>
        <w:rPr>
          <w:spacing w:val="11"/>
          <w:vertAlign w:val="baseline"/>
        </w:rPr>
        <w:t> </w:t>
      </w:r>
      <w:r>
        <w:rPr>
          <w:vertAlign w:val="baseline"/>
        </w:rPr>
        <w:t>relying</w:t>
      </w:r>
      <w:r>
        <w:rPr>
          <w:spacing w:val="11"/>
          <w:vertAlign w:val="baseline"/>
        </w:rPr>
        <w:t> </w:t>
      </w:r>
      <w:r>
        <w:rPr>
          <w:vertAlign w:val="baseline"/>
        </w:rPr>
        <w:t>on</w:t>
      </w:r>
      <w:r>
        <w:rPr>
          <w:spacing w:val="11"/>
          <w:vertAlign w:val="baseline"/>
        </w:rPr>
        <w:t> </w:t>
      </w:r>
      <w:r>
        <w:rPr>
          <w:vertAlign w:val="baseline"/>
        </w:rPr>
        <w:t>that</w:t>
      </w:r>
      <w:r>
        <w:rPr>
          <w:spacing w:val="11"/>
          <w:vertAlign w:val="baseline"/>
        </w:rPr>
        <w:t> </w:t>
      </w:r>
      <w:r>
        <w:rPr>
          <w:vertAlign w:val="baseline"/>
        </w:rPr>
        <w:t>term</w:t>
      </w:r>
      <w:r>
        <w:rPr>
          <w:spacing w:val="11"/>
          <w:vertAlign w:val="baseline"/>
        </w:rPr>
        <w:t> </w:t>
      </w:r>
      <w:r>
        <w:rPr>
          <w:vertAlign w:val="baseline"/>
        </w:rPr>
        <w:t>in</w:t>
      </w:r>
      <w:r>
        <w:rPr>
          <w:spacing w:val="11"/>
          <w:vertAlign w:val="baseline"/>
        </w:rPr>
        <w:t> </w:t>
      </w:r>
      <w:r>
        <w:rPr>
          <w:vertAlign w:val="baseline"/>
        </w:rPr>
        <w:t>an</w:t>
      </w:r>
      <w:r>
        <w:rPr>
          <w:spacing w:val="11"/>
          <w:vertAlign w:val="baseline"/>
        </w:rPr>
        <w:t> </w:t>
      </w:r>
      <w:r>
        <w:rPr>
          <w:vertAlign w:val="baseline"/>
        </w:rPr>
        <w:t>action</w:t>
      </w:r>
      <w:r>
        <w:rPr>
          <w:spacing w:val="11"/>
          <w:vertAlign w:val="baseline"/>
        </w:rPr>
        <w:t> </w:t>
      </w:r>
      <w:r>
        <w:rPr>
          <w:vertAlign w:val="baseline"/>
        </w:rPr>
        <w:t>in</w:t>
      </w:r>
      <w:r>
        <w:rPr>
          <w:spacing w:val="11"/>
          <w:vertAlign w:val="baseline"/>
        </w:rPr>
        <w:t> </w:t>
      </w:r>
      <w:r>
        <w:rPr>
          <w:vertAlign w:val="baseline"/>
        </w:rPr>
        <w:t>tort</w:t>
      </w:r>
      <w:r>
        <w:rPr>
          <w:spacing w:val="11"/>
          <w:vertAlign w:val="baseline"/>
        </w:rPr>
        <w:t> </w:t>
      </w:r>
      <w:r>
        <w:rPr>
          <w:vertAlign w:val="baseline"/>
        </w:rPr>
        <w:t>brought</w:t>
      </w:r>
      <w:r>
        <w:rPr>
          <w:spacing w:val="11"/>
          <w:vertAlign w:val="baseline"/>
        </w:rPr>
        <w:t> </w:t>
      </w:r>
      <w:r>
        <w:rPr>
          <w:vertAlign w:val="baseline"/>
        </w:rPr>
        <w:t>against</w:t>
      </w:r>
      <w:r>
        <w:rPr>
          <w:spacing w:val="11"/>
          <w:vertAlign w:val="baseline"/>
        </w:rPr>
        <w:t> </w:t>
      </w:r>
      <w:r>
        <w:rPr>
          <w:vertAlign w:val="baseline"/>
        </w:rPr>
        <w:t>him</w:t>
      </w:r>
      <w:r>
        <w:rPr>
          <w:spacing w:val="11"/>
          <w:vertAlign w:val="baseline"/>
        </w:rPr>
        <w:t> </w:t>
      </w:r>
      <w:r>
        <w:rPr>
          <w:spacing w:val="-5"/>
          <w:vertAlign w:val="baseline"/>
        </w:rPr>
        <w:t>by</w:t>
      </w:r>
    </w:p>
    <w:p>
      <w:pPr>
        <w:pStyle w:val="BodyText"/>
        <w:spacing w:line="235" w:lineRule="auto"/>
        <w:ind w:left="165" w:right="167"/>
        <w:jc w:val="both"/>
      </w:pPr>
      <w:r>
        <w:rPr/>
        <w:t>A. </w:t>
      </w:r>
      <w:r>
        <w:rPr>
          <w:color w:val="005DA1"/>
          <w:u w:val="single" w:color="005DA1"/>
          <w:vertAlign w:val="superscript"/>
        </w:rPr>
        <w:t>133</w:t>
      </w:r>
      <w:r>
        <w:rPr>
          <w:color w:val="005DA1"/>
          <w:vertAlign w:val="baseline"/>
        </w:rPr>
        <w:t> </w:t>
      </w:r>
      <w:r>
        <w:rPr>
          <w:vertAlign w:val="baseline"/>
        </w:rPr>
        <w:t>But it does not follow that a contract between A and B cannot affect the legal rights of C indirectly. For example, in the situation just described, a clause in the contract between A and B </w:t>
      </w:r>
      <w:r>
        <w:rPr>
          <w:vertAlign w:val="baseline"/>
        </w:rPr>
        <w:t>can form the basis on which a separate collateral contract comes into existence between A and C, </w:t>
      </w:r>
      <w:bookmarkStart w:name="_bookmark251" w:id="253"/>
      <w:bookmarkEnd w:id="253"/>
      <w:r>
        <w:rPr>
          <w:vertAlign w:val="baseline"/>
        </w:rPr>
        <w:t>containing</w:t>
      </w:r>
      <w:r>
        <w:rPr>
          <w:vertAlign w:val="baseline"/>
        </w:rPr>
        <w:t> a promise by A to make the relevant terms of the contract between A and B available for the benefit of C </w:t>
      </w:r>
      <w:r>
        <w:rPr>
          <w:color w:val="005DA1"/>
          <w:u w:val="single" w:color="005DA1"/>
          <w:vertAlign w:val="superscript"/>
        </w:rPr>
        <w:t>134</w:t>
      </w:r>
      <w:r>
        <w:rPr>
          <w:vertAlign w:val="baseline"/>
        </w:rPr>
        <w:t>; such an agreement may also give rise to a bailment or sub-bailment between A and C by virtue of which C may be entitled to the benefit of, or be bound by, limitation or exemption </w:t>
      </w:r>
      <w:bookmarkStart w:name="_bookmark252" w:id="254"/>
      <w:bookmarkEnd w:id="254"/>
      <w:r>
        <w:rPr>
          <w:vertAlign w:val="baseline"/>
        </w:rPr>
        <w:t>clauses</w:t>
      </w:r>
      <w:r>
        <w:rPr>
          <w:vertAlign w:val="baseline"/>
        </w:rPr>
        <w:t> in the contract between A and B, even though the relationship between A and C is not contractual </w:t>
      </w:r>
      <w:r>
        <w:rPr>
          <w:color w:val="005DA1"/>
          <w:u w:val="single" w:color="005DA1"/>
          <w:vertAlign w:val="superscript"/>
        </w:rPr>
        <w:t>135</w:t>
      </w:r>
      <w:r>
        <w:rPr>
          <w:vertAlign w:val="baseline"/>
        </w:rPr>
        <w:t>; an agreement between A and B under which A accepts from B part payment of a debt </w:t>
      </w:r>
      <w:bookmarkStart w:name="_bookmark253" w:id="255"/>
      <w:bookmarkEnd w:id="255"/>
      <w:r>
        <w:rPr>
          <w:vertAlign w:val="baseline"/>
        </w:rPr>
        <w:t>owed</w:t>
      </w:r>
      <w:r>
        <w:rPr>
          <w:vertAlign w:val="baseline"/>
        </w:rPr>
        <w:t> by C to A in full settlement of that debt can benefit C by precluding A from suing C for the balance of the debt </w:t>
      </w:r>
      <w:r>
        <w:rPr>
          <w:color w:val="005DA1"/>
          <w:u w:val="single" w:color="005DA1"/>
          <w:vertAlign w:val="superscript"/>
        </w:rPr>
        <w:t>136</w:t>
      </w:r>
      <w:r>
        <w:rPr>
          <w:vertAlign w:val="baseline"/>
        </w:rPr>
        <w:t>; and a fortiori full performance by B of C’s obligation to A can discharge that obligation. Conversely, a building contract between A and B may benefit C by defining his rights: e.g. </w:t>
      </w:r>
      <w:bookmarkStart w:name="_bookmark254" w:id="256"/>
      <w:bookmarkEnd w:id="256"/>
      <w:r>
        <w:rPr>
          <w:vertAlign w:val="baseline"/>
        </w:rPr>
        <w:t>by</w:t>
      </w:r>
      <w:r>
        <w:rPr>
          <w:vertAlign w:val="baseline"/>
        </w:rPr>
        <w:t> specifying the time at which payment becomes due to C under a subcontract between B and C for </w:t>
      </w:r>
      <w:bookmarkStart w:name="_bookmark255" w:id="257"/>
      <w:bookmarkEnd w:id="257"/>
      <w:r>
        <w:rPr>
          <w:vertAlign w:val="baseline"/>
        </w:rPr>
        <w:t>the</w:t>
      </w:r>
      <w:r>
        <w:rPr>
          <w:vertAlign w:val="baseline"/>
        </w:rPr>
        <w:t> execution of part of the work. </w:t>
      </w:r>
      <w:r>
        <w:rPr>
          <w:color w:val="005DA1"/>
          <w:u w:val="single" w:color="005DA1"/>
          <w:vertAlign w:val="superscript"/>
        </w:rPr>
        <w:t>137</w:t>
      </w:r>
      <w:r>
        <w:rPr>
          <w:color w:val="005DA1"/>
          <w:vertAlign w:val="baseline"/>
        </w:rPr>
        <w:t> </w:t>
      </w:r>
      <w:r>
        <w:rPr>
          <w:vertAlign w:val="baseline"/>
        </w:rPr>
        <w:t>It is also possible for a contract between A and B to affect C </w:t>
      </w:r>
      <w:bookmarkStart w:name="_bookmark256" w:id="258"/>
      <w:bookmarkEnd w:id="258"/>
      <w:r>
        <w:rPr>
          <w:vertAlign w:val="baseline"/>
        </w:rPr>
        <w:t>adversely,</w:t>
      </w:r>
      <w:r>
        <w:rPr>
          <w:spacing w:val="-2"/>
          <w:vertAlign w:val="baseline"/>
        </w:rPr>
        <w:t> </w:t>
      </w:r>
      <w:r>
        <w:rPr>
          <w:color w:val="005DA1"/>
          <w:u w:val="single" w:color="005DA1"/>
          <w:vertAlign w:val="superscript"/>
        </w:rPr>
        <w:t>138</w:t>
      </w:r>
      <w:r>
        <w:rPr>
          <w:color w:val="005DA1"/>
          <w:spacing w:val="-2"/>
          <w:vertAlign w:val="baseline"/>
        </w:rPr>
        <w:t> </w:t>
      </w:r>
      <w:r>
        <w:rPr>
          <w:vertAlign w:val="baseline"/>
        </w:rPr>
        <w:t>as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bailment</w:t>
      </w:r>
      <w:r>
        <w:rPr>
          <w:spacing w:val="-2"/>
          <w:vertAlign w:val="baseline"/>
        </w:rPr>
        <w:t> </w:t>
      </w:r>
      <w:r>
        <w:rPr>
          <w:vertAlign w:val="baseline"/>
        </w:rPr>
        <w:t>situation</w:t>
      </w:r>
      <w:r>
        <w:rPr>
          <w:spacing w:val="-2"/>
          <w:vertAlign w:val="baseline"/>
        </w:rPr>
        <w:t> </w:t>
      </w:r>
      <w:r>
        <w:rPr>
          <w:vertAlign w:val="baseline"/>
        </w:rPr>
        <w:t>described</w:t>
      </w:r>
      <w:r>
        <w:rPr>
          <w:spacing w:val="-2"/>
          <w:vertAlign w:val="baseline"/>
        </w:rPr>
        <w:t> </w:t>
      </w:r>
      <w:r>
        <w:rPr>
          <w:vertAlign w:val="baseline"/>
        </w:rPr>
        <w:t>above</w:t>
      </w:r>
      <w:r>
        <w:rPr>
          <w:spacing w:val="-2"/>
          <w:vertAlign w:val="baseline"/>
        </w:rPr>
        <w:t> </w:t>
      </w:r>
      <w:r>
        <w:rPr>
          <w:color w:val="005DA1"/>
          <w:u w:val="single" w:color="005DA1"/>
          <w:vertAlign w:val="superscript"/>
        </w:rPr>
        <w:t>139</w:t>
      </w:r>
      <w:r>
        <w:rPr>
          <w:vertAlign w:val="baseline"/>
        </w:rPr>
        <w:t>;</w:t>
      </w:r>
      <w:r>
        <w:rPr>
          <w:spacing w:val="-2"/>
          <w:vertAlign w:val="baseline"/>
        </w:rPr>
        <w:t> </w:t>
      </w:r>
      <w:r>
        <w:rPr>
          <w:vertAlign w:val="baseline"/>
        </w:rPr>
        <w:t>other</w:t>
      </w:r>
      <w:r>
        <w:rPr>
          <w:spacing w:val="-2"/>
          <w:vertAlign w:val="baseline"/>
        </w:rPr>
        <w:t> </w:t>
      </w:r>
      <w:r>
        <w:rPr>
          <w:vertAlign w:val="baseline"/>
        </w:rPr>
        <w:t>ways</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between A</w:t>
      </w:r>
      <w:r>
        <w:rPr>
          <w:spacing w:val="-2"/>
          <w:vertAlign w:val="baseline"/>
        </w:rPr>
        <w:t> </w:t>
      </w:r>
      <w:r>
        <w:rPr>
          <w:vertAlign w:val="baseline"/>
        </w:rPr>
        <w:t>and</w:t>
      </w:r>
      <w:r>
        <w:rPr>
          <w:spacing w:val="-2"/>
          <w:vertAlign w:val="baseline"/>
        </w:rPr>
        <w:t> </w:t>
      </w:r>
      <w:r>
        <w:rPr>
          <w:vertAlign w:val="baseline"/>
        </w:rPr>
        <w:t>B</w:t>
      </w:r>
      <w:r>
        <w:rPr>
          <w:spacing w:val="-2"/>
          <w:vertAlign w:val="baseline"/>
        </w:rPr>
        <w:t> </w:t>
      </w:r>
      <w:r>
        <w:rPr>
          <w:vertAlign w:val="baseline"/>
        </w:rPr>
        <w:t>may</w:t>
      </w:r>
      <w:r>
        <w:rPr>
          <w:spacing w:val="-2"/>
          <w:vertAlign w:val="baseline"/>
        </w:rPr>
        <w:t> </w:t>
      </w:r>
      <w:r>
        <w:rPr>
          <w:vertAlign w:val="baseline"/>
        </w:rPr>
        <w:t>so</w:t>
      </w:r>
      <w:r>
        <w:rPr>
          <w:spacing w:val="-2"/>
          <w:vertAlign w:val="baseline"/>
        </w:rPr>
        <w:t> </w:t>
      </w:r>
      <w:r>
        <w:rPr>
          <w:vertAlign w:val="baseline"/>
        </w:rPr>
        <w:t>affect</w:t>
      </w:r>
      <w:r>
        <w:rPr>
          <w:spacing w:val="-2"/>
          <w:vertAlign w:val="baseline"/>
        </w:rPr>
        <w:t> </w:t>
      </w:r>
      <w:r>
        <w:rPr>
          <w:vertAlign w:val="baseline"/>
        </w:rPr>
        <w:t>C</w:t>
      </w:r>
      <w:r>
        <w:rPr>
          <w:spacing w:val="-2"/>
          <w:vertAlign w:val="baseline"/>
        </w:rPr>
        <w:t> </w:t>
      </w:r>
      <w:r>
        <w:rPr>
          <w:vertAlign w:val="baseline"/>
        </w:rPr>
        <w:t>are</w:t>
      </w:r>
      <w:r>
        <w:rPr>
          <w:spacing w:val="-2"/>
          <w:vertAlign w:val="baseline"/>
        </w:rPr>
        <w:t> </w:t>
      </w:r>
      <w:r>
        <w:rPr>
          <w:vertAlign w:val="baseline"/>
        </w:rPr>
        <w:t>more</w:t>
      </w:r>
      <w:r>
        <w:rPr>
          <w:spacing w:val="-2"/>
          <w:vertAlign w:val="baseline"/>
        </w:rPr>
        <w:t> </w:t>
      </w:r>
      <w:r>
        <w:rPr>
          <w:vertAlign w:val="baseline"/>
        </w:rPr>
        <w:t>fully</w:t>
      </w:r>
      <w:r>
        <w:rPr>
          <w:spacing w:val="-2"/>
          <w:vertAlign w:val="baseline"/>
        </w:rPr>
        <w:t> </w:t>
      </w:r>
      <w:r>
        <w:rPr>
          <w:vertAlign w:val="baseline"/>
        </w:rPr>
        <w:t>discussed</w:t>
      </w:r>
      <w:r>
        <w:rPr>
          <w:spacing w:val="-2"/>
          <w:vertAlign w:val="baseline"/>
        </w:rPr>
        <w:t> </w:t>
      </w:r>
      <w:r>
        <w:rPr>
          <w:vertAlign w:val="baseline"/>
        </w:rPr>
        <w:t>later</w:t>
      </w:r>
      <w:r>
        <w:rPr>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Chapter.</w:t>
      </w:r>
      <w:r>
        <w:rPr>
          <w:spacing w:val="-2"/>
          <w:vertAlign w:val="baseline"/>
        </w:rPr>
        <w:t> </w:t>
      </w:r>
      <w:r>
        <w:rPr>
          <w:color w:val="005DA1"/>
          <w:u w:val="single" w:color="005DA1"/>
          <w:vertAlign w:val="superscript"/>
        </w:rPr>
        <w:t>140</w:t>
      </w:r>
      <w:r>
        <w:rPr>
          <w:color w:val="005DA1"/>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following</w:t>
      </w:r>
      <w:r>
        <w:rPr>
          <w:spacing w:val="-2"/>
          <w:vertAlign w:val="baseline"/>
        </w:rPr>
        <w:t> </w:t>
      </w:r>
      <w:r>
        <w:rPr>
          <w:vertAlign w:val="baseline"/>
        </w:rPr>
        <w:t>paragraphs, our concern is with a number of further situations in which a contract between A and B can operate to the advantage of C: in particular, with situations in which C may, where A has committed a breach of that contract, have a right of action against A in tort.</w:t>
      </w:r>
    </w:p>
    <w:p>
      <w:pPr>
        <w:pStyle w:val="BodyText"/>
      </w:pPr>
    </w:p>
    <w:p>
      <w:pPr>
        <w:pStyle w:val="BodyText"/>
        <w:spacing w:before="31"/>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181048</wp:posOffset>
                </wp:positionV>
                <wp:extent cx="572452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255824pt;width:450.75pt;height:.1pt;mso-position-horizontal-relative:page;mso-position-vertical-relative:paragraph;z-index:-15711232;mso-wrap-distance-left:0;mso-wrap-distance-right:0" id="docshape13" coordorigin="1440,285" coordsize="9015,0" path="m1440,285l10454,285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50432">
                <wp:simplePos x="0" y="0"/>
                <wp:positionH relativeFrom="page">
                  <wp:posOffset>914400</wp:posOffset>
                </wp:positionH>
                <wp:positionV relativeFrom="paragraph">
                  <wp:posOffset>97116</wp:posOffset>
                </wp:positionV>
                <wp:extent cx="4953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6048"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5"/>
      </w:pPr>
    </w:p>
    <w:p>
      <w:pPr>
        <w:tabs>
          <w:tab w:pos="705" w:val="left" w:leader="none"/>
        </w:tabs>
        <w:spacing w:before="0"/>
        <w:ind w:left="165" w:right="0" w:firstLine="0"/>
        <w:jc w:val="left"/>
        <w:rPr>
          <w:sz w:val="20"/>
        </w:rPr>
      </w:pPr>
      <w:bookmarkStart w:name="_bookmark257" w:id="259"/>
      <w:bookmarkEnd w:id="259"/>
      <w:r>
        <w:rPr/>
      </w:r>
      <w:hyperlink w:history="true" w:anchor="_bookmark249">
        <w:r>
          <w:rPr>
            <w:color w:val="005DA1"/>
            <w:spacing w:val="-4"/>
            <w:position w:val="5"/>
            <w:sz w:val="14"/>
            <w:u w:val="single" w:color="005DA1"/>
          </w:rPr>
          <w:t>132</w:t>
        </w:r>
      </w:hyperlink>
      <w:r>
        <w:rPr>
          <w:spacing w:val="-4"/>
          <w:position w:val="5"/>
          <w:sz w:val="14"/>
        </w:rPr>
        <w:t>.</w:t>
      </w:r>
      <w:r>
        <w:rPr>
          <w:position w:val="5"/>
          <w:sz w:val="14"/>
        </w:rPr>
        <w:tab/>
      </w:r>
      <w:r>
        <w:rPr>
          <w:rFonts w:ascii="Arial"/>
          <w:i/>
          <w:sz w:val="20"/>
        </w:rPr>
        <w:t>Tweddle</w:t>
      </w:r>
      <w:r>
        <w:rPr>
          <w:rFonts w:ascii="Arial"/>
          <w:i/>
          <w:spacing w:val="-1"/>
          <w:sz w:val="20"/>
        </w:rPr>
        <w:t> </w:t>
      </w:r>
      <w:r>
        <w:rPr>
          <w:rFonts w:ascii="Arial"/>
          <w:i/>
          <w:sz w:val="20"/>
        </w:rPr>
        <w:t>v Atkinson (1861) 1 B. &amp; S. 393</w:t>
      </w:r>
      <w:r>
        <w:rPr>
          <w:sz w:val="20"/>
        </w:rPr>
        <w:t>; above, para.18-</w:t>
      </w:r>
      <w:r>
        <w:rPr>
          <w:spacing w:val="-4"/>
          <w:sz w:val="20"/>
        </w:rPr>
        <w:t>021.</w:t>
      </w:r>
    </w:p>
    <w:p>
      <w:pPr>
        <w:pStyle w:val="BodyText"/>
        <w:spacing w:before="9"/>
      </w:pPr>
    </w:p>
    <w:p>
      <w:pPr>
        <w:spacing w:line="235" w:lineRule="auto" w:before="0"/>
        <w:ind w:left="705" w:right="167" w:hanging="541"/>
        <w:jc w:val="both"/>
        <w:rPr>
          <w:rFonts w:ascii="Arial"/>
          <w:i/>
          <w:sz w:val="20"/>
        </w:rPr>
      </w:pPr>
      <w:bookmarkStart w:name="_bookmark258" w:id="260"/>
      <w:bookmarkEnd w:id="260"/>
      <w:r>
        <w:rPr/>
      </w:r>
      <w:hyperlink w:history="true" w:anchor="_bookmark250">
        <w:r>
          <w:rPr>
            <w:color w:val="005DA1"/>
            <w:position w:val="5"/>
            <w:sz w:val="14"/>
            <w:u w:val="single" w:color="005DA1"/>
          </w:rPr>
          <w:t>133</w:t>
        </w:r>
      </w:hyperlink>
      <w:r>
        <w:rPr>
          <w:position w:val="5"/>
          <w:sz w:val="14"/>
        </w:rPr>
        <w:t>.</w:t>
      </w:r>
      <w:r>
        <w:rPr>
          <w:spacing w:val="80"/>
          <w:position w:val="5"/>
          <w:sz w:val="14"/>
        </w:rPr>
        <w:t>  </w:t>
      </w:r>
      <w:r>
        <w:rPr>
          <w:rFonts w:ascii="Arial"/>
          <w:i/>
          <w:sz w:val="20"/>
        </w:rPr>
        <w:t>Scruttons Ltd v Midland Silicones Ltd [1962] A.C. 446</w:t>
      </w:r>
      <w:r>
        <w:rPr>
          <w:sz w:val="20"/>
        </w:rPr>
        <w:t>; paras 15-050, 18-021 above; but </w:t>
      </w:r>
      <w:r>
        <w:rPr>
          <w:sz w:val="20"/>
        </w:rPr>
        <w:t>there may</w:t>
      </w:r>
      <w:r>
        <w:rPr>
          <w:spacing w:val="-2"/>
          <w:sz w:val="20"/>
        </w:rPr>
        <w:t> </w:t>
      </w:r>
      <w:r>
        <w:rPr>
          <w:sz w:val="20"/>
        </w:rPr>
        <w:t>be</w:t>
      </w:r>
      <w:r>
        <w:rPr>
          <w:spacing w:val="-2"/>
          <w:sz w:val="20"/>
        </w:rPr>
        <w:t> </w:t>
      </w:r>
      <w:r>
        <w:rPr>
          <w:sz w:val="20"/>
        </w:rPr>
        <w:t>a</w:t>
      </w:r>
      <w:r>
        <w:rPr>
          <w:spacing w:val="-2"/>
          <w:sz w:val="20"/>
        </w:rPr>
        <w:t> </w:t>
      </w:r>
      <w:r>
        <w:rPr>
          <w:sz w:val="20"/>
        </w:rPr>
        <w:t>contract</w:t>
      </w:r>
      <w:r>
        <w:rPr>
          <w:spacing w:val="-2"/>
          <w:sz w:val="20"/>
        </w:rPr>
        <w:t> </w:t>
      </w:r>
      <w:r>
        <w:rPr>
          <w:sz w:val="20"/>
        </w:rPr>
        <w:t>between</w:t>
      </w:r>
      <w:r>
        <w:rPr>
          <w:spacing w:val="-2"/>
          <w:sz w:val="20"/>
        </w:rPr>
        <w:t> </w:t>
      </w:r>
      <w:r>
        <w:rPr>
          <w:sz w:val="20"/>
        </w:rPr>
        <w:t>A</w:t>
      </w:r>
      <w:r>
        <w:rPr>
          <w:spacing w:val="-2"/>
          <w:sz w:val="20"/>
        </w:rPr>
        <w:t> </w:t>
      </w:r>
      <w:r>
        <w:rPr>
          <w:sz w:val="20"/>
        </w:rPr>
        <w:t>and</w:t>
      </w:r>
      <w:r>
        <w:rPr>
          <w:spacing w:val="-2"/>
          <w:sz w:val="20"/>
        </w:rPr>
        <w:t> </w:t>
      </w:r>
      <w:r>
        <w:rPr>
          <w:sz w:val="20"/>
        </w:rPr>
        <w:t>C,</w:t>
      </w:r>
      <w:r>
        <w:rPr>
          <w:spacing w:val="-2"/>
          <w:sz w:val="20"/>
        </w:rPr>
        <w:t> </w:t>
      </w:r>
      <w:r>
        <w:rPr>
          <w:sz w:val="20"/>
        </w:rPr>
        <w:t>as</w:t>
      </w:r>
      <w:r>
        <w:rPr>
          <w:spacing w:val="-2"/>
          <w:sz w:val="20"/>
        </w:rPr>
        <w:t> </w:t>
      </w:r>
      <w:r>
        <w:rPr>
          <w:sz w:val="20"/>
        </w:rPr>
        <w:t>in</w:t>
      </w:r>
      <w:r>
        <w:rPr>
          <w:spacing w:val="-2"/>
          <w:sz w:val="20"/>
        </w:rPr>
        <w:t> </w:t>
      </w:r>
      <w:r>
        <w:rPr>
          <w:rFonts w:ascii="Arial"/>
          <w:i/>
          <w:sz w:val="20"/>
        </w:rPr>
        <w:t>New</w:t>
      </w:r>
      <w:r>
        <w:rPr>
          <w:rFonts w:ascii="Arial"/>
          <w:i/>
          <w:spacing w:val="-2"/>
          <w:sz w:val="20"/>
        </w:rPr>
        <w:t> </w:t>
      </w:r>
      <w:r>
        <w:rPr>
          <w:rFonts w:ascii="Arial"/>
          <w:i/>
          <w:sz w:val="20"/>
        </w:rPr>
        <w:t>Zealand</w:t>
      </w:r>
      <w:r>
        <w:rPr>
          <w:rFonts w:ascii="Arial"/>
          <w:i/>
          <w:spacing w:val="-2"/>
          <w:sz w:val="20"/>
        </w:rPr>
        <w:t> </w:t>
      </w:r>
      <w:r>
        <w:rPr>
          <w:rFonts w:ascii="Arial"/>
          <w:i/>
          <w:sz w:val="20"/>
        </w:rPr>
        <w:t>Shipping</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A.M.</w:t>
      </w:r>
      <w:r>
        <w:rPr>
          <w:rFonts w:ascii="Arial"/>
          <w:i/>
          <w:spacing w:val="-2"/>
          <w:sz w:val="20"/>
        </w:rPr>
        <w:t> </w:t>
      </w:r>
      <w:r>
        <w:rPr>
          <w:rFonts w:ascii="Arial"/>
          <w:i/>
          <w:sz w:val="20"/>
        </w:rPr>
        <w:t>Satterthwaite</w:t>
      </w:r>
      <w:r>
        <w:rPr>
          <w:rFonts w:ascii="Arial"/>
          <w:i/>
          <w:spacing w:val="-2"/>
          <w:sz w:val="20"/>
        </w:rPr>
        <w:t> </w:t>
      </w:r>
      <w:r>
        <w:rPr>
          <w:rFonts w:ascii="Arial"/>
          <w:i/>
          <w:sz w:val="20"/>
        </w:rPr>
        <w:t>&amp; Co Ltd (The Eurymedon) [1975] A.C. 154</w:t>
      </w:r>
      <w:r>
        <w:rPr>
          <w:sz w:val="20"/>
        </w:rPr>
        <w:t>; </w:t>
      </w:r>
      <w:r>
        <w:rPr>
          <w:rFonts w:ascii="Arial"/>
          <w:i/>
          <w:sz w:val="20"/>
        </w:rPr>
        <w:t>Port Jackson Stevedoring Pty Ltd v Salmond &amp; Spraggon (Australia) Pty Ltd (The New York Star) [1980] 1 W.L.R. 138</w:t>
      </w:r>
      <w:r>
        <w:rPr>
          <w:sz w:val="20"/>
        </w:rPr>
        <w:t>; above, para.15-051. Contrast,</w:t>
      </w:r>
      <w:r>
        <w:rPr>
          <w:spacing w:val="1"/>
          <w:sz w:val="20"/>
        </w:rPr>
        <w:t> </w:t>
      </w:r>
      <w:r>
        <w:rPr>
          <w:sz w:val="20"/>
        </w:rPr>
        <w:t>in</w:t>
      </w:r>
      <w:r>
        <w:rPr>
          <w:spacing w:val="1"/>
          <w:sz w:val="20"/>
        </w:rPr>
        <w:t> </w:t>
      </w:r>
      <w:r>
        <w:rPr>
          <w:sz w:val="20"/>
        </w:rPr>
        <w:t>Canada,</w:t>
      </w:r>
      <w:r>
        <w:rPr>
          <w:spacing w:val="1"/>
          <w:sz w:val="20"/>
        </w:rPr>
        <w:t> </w:t>
      </w:r>
      <w:r>
        <w:rPr>
          <w:rFonts w:ascii="Arial"/>
          <w:i/>
          <w:sz w:val="20"/>
        </w:rPr>
        <w:t>London</w:t>
      </w:r>
      <w:r>
        <w:rPr>
          <w:rFonts w:ascii="Arial"/>
          <w:i/>
          <w:spacing w:val="1"/>
          <w:sz w:val="20"/>
        </w:rPr>
        <w:t> </w:t>
      </w:r>
      <w:r>
        <w:rPr>
          <w:rFonts w:ascii="Arial"/>
          <w:i/>
          <w:sz w:val="20"/>
        </w:rPr>
        <w:t>Drugs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Kuehne</w:t>
      </w:r>
      <w:r>
        <w:rPr>
          <w:rFonts w:ascii="Arial"/>
          <w:i/>
          <w:spacing w:val="1"/>
          <w:sz w:val="20"/>
        </w:rPr>
        <w:t> </w:t>
      </w:r>
      <w:r>
        <w:rPr>
          <w:rFonts w:ascii="Arial"/>
          <w:i/>
          <w:sz w:val="20"/>
        </w:rPr>
        <w:t>&amp;</w:t>
      </w:r>
      <w:r>
        <w:rPr>
          <w:rFonts w:ascii="Arial"/>
          <w:i/>
          <w:spacing w:val="1"/>
          <w:sz w:val="20"/>
        </w:rPr>
        <w:t> </w:t>
      </w:r>
      <w:r>
        <w:rPr>
          <w:rFonts w:ascii="Arial"/>
          <w:i/>
          <w:sz w:val="20"/>
        </w:rPr>
        <w:t>Nagel</w:t>
      </w:r>
      <w:r>
        <w:rPr>
          <w:rFonts w:ascii="Arial"/>
          <w:i/>
          <w:spacing w:val="1"/>
          <w:sz w:val="20"/>
        </w:rPr>
        <w:t> </w:t>
      </w:r>
      <w:r>
        <w:rPr>
          <w:rFonts w:ascii="Arial"/>
          <w:i/>
          <w:sz w:val="20"/>
        </w:rPr>
        <w:t>International</w:t>
      </w:r>
      <w:r>
        <w:rPr>
          <w:rFonts w:ascii="Arial"/>
          <w:i/>
          <w:spacing w:val="1"/>
          <w:sz w:val="20"/>
        </w:rPr>
        <w:t> </w:t>
      </w:r>
      <w:r>
        <w:rPr>
          <w:rFonts w:ascii="Arial"/>
          <w:i/>
          <w:sz w:val="20"/>
        </w:rPr>
        <w:t>Ltd</w:t>
      </w:r>
      <w:r>
        <w:rPr>
          <w:rFonts w:ascii="Arial"/>
          <w:i/>
          <w:spacing w:val="1"/>
          <w:sz w:val="20"/>
        </w:rPr>
        <w:t> </w:t>
      </w:r>
      <w:r>
        <w:rPr>
          <w:rFonts w:ascii="Arial"/>
          <w:i/>
          <w:sz w:val="20"/>
        </w:rPr>
        <w:t>[1992]</w:t>
      </w:r>
      <w:r>
        <w:rPr>
          <w:rFonts w:ascii="Arial"/>
          <w:i/>
          <w:spacing w:val="1"/>
          <w:sz w:val="20"/>
        </w:rPr>
        <w:t> </w:t>
      </w:r>
      <w:r>
        <w:rPr>
          <w:rFonts w:ascii="Arial"/>
          <w:i/>
          <w:sz w:val="20"/>
        </w:rPr>
        <w:t>3</w:t>
      </w:r>
      <w:r>
        <w:rPr>
          <w:rFonts w:ascii="Arial"/>
          <w:i/>
          <w:spacing w:val="1"/>
          <w:sz w:val="20"/>
        </w:rPr>
        <w:t> </w:t>
      </w:r>
      <w:r>
        <w:rPr>
          <w:rFonts w:ascii="Arial"/>
          <w:i/>
          <w:sz w:val="20"/>
        </w:rPr>
        <w:t>S.C.R.</w:t>
      </w:r>
      <w:r>
        <w:rPr>
          <w:rFonts w:ascii="Arial"/>
          <w:i/>
          <w:spacing w:val="1"/>
          <w:sz w:val="20"/>
        </w:rPr>
        <w:t> </w:t>
      </w:r>
      <w:r>
        <w:rPr>
          <w:rFonts w:ascii="Arial"/>
          <w:i/>
          <w:spacing w:val="-5"/>
          <w:sz w:val="20"/>
        </w:rPr>
        <w:t>299</w:t>
      </w:r>
    </w:p>
    <w:p>
      <w:pPr>
        <w:pStyle w:val="BodyText"/>
        <w:spacing w:line="235" w:lineRule="auto"/>
        <w:ind w:left="705" w:right="167"/>
        <w:jc w:val="both"/>
      </w:pPr>
      <w:r>
        <w:rPr/>
        <w:t>. And see </w:t>
      </w:r>
      <w:r>
        <w:rPr>
          <w:rFonts w:ascii="Arial" w:hAnsi="Arial"/>
          <w:i/>
        </w:rPr>
        <w:t>The Mahkutai [1996] A.C. 650</w:t>
      </w:r>
      <w:r>
        <w:rPr/>
        <w:t>, where the actual decision is based, not on </w:t>
      </w:r>
      <w:r>
        <w:rPr/>
        <w:t>the</w:t>
      </w:r>
      <w:r>
        <w:rPr>
          <w:spacing w:val="40"/>
        </w:rPr>
        <w:t> </w:t>
      </w:r>
      <w:r>
        <w:rPr/>
        <w:t>doctrine of privity, but on the fact that an exclusive jurisdiction clause was not, as a matter of construction,</w:t>
      </w:r>
      <w:r>
        <w:rPr>
          <w:spacing w:val="48"/>
        </w:rPr>
        <w:t> </w:t>
      </w:r>
      <w:r>
        <w:rPr/>
        <w:t>one</w:t>
      </w:r>
      <w:r>
        <w:rPr>
          <w:spacing w:val="48"/>
        </w:rPr>
        <w:t> </w:t>
      </w:r>
      <w:r>
        <w:rPr/>
        <w:t>of</w:t>
      </w:r>
      <w:r>
        <w:rPr>
          <w:spacing w:val="48"/>
        </w:rPr>
        <w:t> </w:t>
      </w:r>
      <w:r>
        <w:rPr/>
        <w:t>the</w:t>
      </w:r>
      <w:r>
        <w:rPr>
          <w:spacing w:val="48"/>
        </w:rPr>
        <w:t> </w:t>
      </w:r>
      <w:r>
        <w:rPr/>
        <w:t>“exceptions,</w:t>
      </w:r>
      <w:r>
        <w:rPr>
          <w:spacing w:val="48"/>
        </w:rPr>
        <w:t> </w:t>
      </w:r>
      <w:r>
        <w:rPr/>
        <w:t>limitations,</w:t>
      </w:r>
      <w:r>
        <w:rPr>
          <w:spacing w:val="48"/>
        </w:rPr>
        <w:t> </w:t>
      </w:r>
      <w:r>
        <w:rPr/>
        <w:t>provisions,</w:t>
      </w:r>
      <w:r>
        <w:rPr>
          <w:spacing w:val="48"/>
        </w:rPr>
        <w:t> </w:t>
      </w:r>
      <w:r>
        <w:rPr/>
        <w:t>conditions</w:t>
      </w:r>
      <w:r>
        <w:rPr>
          <w:spacing w:val="48"/>
        </w:rPr>
        <w:t> </w:t>
      </w:r>
      <w:r>
        <w:rPr/>
        <w:t>and</w:t>
      </w:r>
      <w:r>
        <w:rPr>
          <w:spacing w:val="48"/>
        </w:rPr>
        <w:t> </w:t>
      </w:r>
      <w:r>
        <w:rPr/>
        <w:t>liberties”</w:t>
      </w:r>
      <w:r>
        <w:rPr>
          <w:spacing w:val="48"/>
        </w:rPr>
        <w:t> </w:t>
      </w:r>
      <w:r>
        <w:rPr/>
        <w:t>of</w:t>
      </w:r>
      <w:r>
        <w:rPr>
          <w:spacing w:val="48"/>
        </w:rPr>
        <w:t> </w:t>
      </w:r>
      <w:r>
        <w:rPr>
          <w:spacing w:val="-5"/>
        </w:rPr>
        <w:t>the</w:t>
      </w:r>
    </w:p>
    <w:p>
      <w:pPr>
        <w:pStyle w:val="BodyText"/>
        <w:spacing w:after="0" w:line="235" w:lineRule="auto"/>
        <w:jc w:val="both"/>
        <w:sectPr>
          <w:headerReference w:type="default" r:id="rId11"/>
          <w:pgSz w:w="11900" w:h="16840"/>
          <w:pgMar w:header="971" w:footer="0" w:top="1160" w:bottom="280" w:left="1275" w:right="1275"/>
          <w:pgNumType w:start="1"/>
        </w:sectPr>
      </w:pPr>
    </w:p>
    <w:p>
      <w:pPr>
        <w:pStyle w:val="BodyText"/>
        <w:spacing w:before="24"/>
      </w:pPr>
    </w:p>
    <w:p>
      <w:pPr>
        <w:pStyle w:val="BodyText"/>
        <w:spacing w:line="235" w:lineRule="auto" w:before="1"/>
        <w:ind w:left="705" w:right="167"/>
        <w:jc w:val="both"/>
      </w:pPr>
      <w:r>
        <w:rPr/>
        <w:t>contract on which the third party sought to rely. Hence it was not necessary to decide </w:t>
      </w:r>
      <w:r>
        <w:rPr/>
        <w:t>whether the English courts should, in cases of this kind, adopt the Canadian view taken in the </w:t>
      </w:r>
      <w:r>
        <w:rPr>
          <w:rFonts w:ascii="Arial"/>
          <w:i/>
        </w:rPr>
        <w:t>London Drugs case [1992] 3 S.C.R. 299</w:t>
      </w:r>
      <w:r>
        <w:rPr/>
        <w:t>, but Lord Goff at 665 in </w:t>
      </w:r>
      <w:r>
        <w:rPr>
          <w:rFonts w:ascii="Arial"/>
          <w:i/>
        </w:rPr>
        <w:t>The Mahkutai </w:t>
      </w:r>
      <w:r>
        <w:rPr/>
        <w:t>left the point open.</w:t>
      </w:r>
    </w:p>
    <w:p>
      <w:pPr>
        <w:pStyle w:val="BodyText"/>
        <w:spacing w:before="8"/>
      </w:pPr>
    </w:p>
    <w:p>
      <w:pPr>
        <w:spacing w:line="235" w:lineRule="auto" w:before="1"/>
        <w:ind w:left="705" w:right="168" w:hanging="541"/>
        <w:jc w:val="both"/>
        <w:rPr>
          <w:sz w:val="20"/>
        </w:rPr>
      </w:pPr>
      <w:bookmarkStart w:name="_bookmark259" w:id="261"/>
      <w:bookmarkEnd w:id="261"/>
      <w:r>
        <w:rPr/>
      </w:r>
      <w:hyperlink w:history="true" w:anchor="_bookmark251">
        <w:r>
          <w:rPr>
            <w:color w:val="005DA1"/>
            <w:position w:val="5"/>
            <w:sz w:val="14"/>
            <w:u w:val="single" w:color="005DA1"/>
          </w:rPr>
          <w:t>134</w:t>
        </w:r>
      </w:hyperlink>
      <w:r>
        <w:rPr>
          <w:position w:val="5"/>
          <w:sz w:val="14"/>
        </w:rPr>
        <w:t>.</w:t>
      </w:r>
      <w:r>
        <w:rPr>
          <w:spacing w:val="40"/>
          <w:position w:val="5"/>
          <w:sz w:val="14"/>
        </w:rPr>
        <w:t>  </w:t>
      </w:r>
      <w:r>
        <w:rPr>
          <w:sz w:val="20"/>
        </w:rPr>
        <w:t>This is often the effect of so-called Himalaya Clause in bills of lading: see </w:t>
      </w:r>
      <w:r>
        <w:rPr>
          <w:rFonts w:ascii="Arial"/>
          <w:i/>
          <w:sz w:val="20"/>
        </w:rPr>
        <w:t>The Eurymedon</w:t>
      </w:r>
      <w:r>
        <w:rPr>
          <w:sz w:val="20"/>
        </w:rPr>
        <w:t>, above, n.131; </w:t>
      </w:r>
      <w:r>
        <w:rPr>
          <w:rFonts w:ascii="Arial"/>
          <w:i/>
          <w:sz w:val="20"/>
        </w:rPr>
        <w:t>The New York Star</w:t>
      </w:r>
      <w:r>
        <w:rPr>
          <w:sz w:val="20"/>
        </w:rPr>
        <w:t>, above, n.131; contrast </w:t>
      </w:r>
      <w:r>
        <w:rPr>
          <w:rFonts w:ascii="Arial"/>
          <w:i/>
          <w:sz w:val="20"/>
        </w:rPr>
        <w:t>The Mahkutai</w:t>
      </w:r>
      <w:r>
        <w:rPr>
          <w:sz w:val="20"/>
        </w:rPr>
        <w:t>, above, n.131 where such a clause failed to protect C for the reason given in that note; and </w:t>
      </w:r>
      <w:r>
        <w:rPr>
          <w:rFonts w:ascii="Arial"/>
          <w:i/>
          <w:sz w:val="20"/>
        </w:rPr>
        <w:t>Homburg Houtimport BV v Agrosin Private Ltd (The Starsin) [2003] UKHL 12; [2004] 1 A.C. 715</w:t>
      </w:r>
      <w:r>
        <w:rPr>
          <w:sz w:val="20"/>
        </w:rPr>
        <w:t>, at [34], [93], [147], [196] where</w:t>
      </w:r>
      <w:r>
        <w:rPr>
          <w:spacing w:val="11"/>
          <w:sz w:val="20"/>
        </w:rPr>
        <w:t> </w:t>
      </w:r>
      <w:r>
        <w:rPr>
          <w:sz w:val="20"/>
        </w:rPr>
        <w:t>the</w:t>
      </w:r>
      <w:r>
        <w:rPr>
          <w:spacing w:val="11"/>
          <w:sz w:val="20"/>
        </w:rPr>
        <w:t> </w:t>
      </w:r>
      <w:r>
        <w:rPr>
          <w:sz w:val="20"/>
        </w:rPr>
        <w:t>relevant</w:t>
      </w:r>
      <w:r>
        <w:rPr>
          <w:spacing w:val="11"/>
          <w:sz w:val="20"/>
        </w:rPr>
        <w:t> </w:t>
      </w:r>
      <w:r>
        <w:rPr>
          <w:sz w:val="20"/>
        </w:rPr>
        <w:t>term</w:t>
      </w:r>
      <w:r>
        <w:rPr>
          <w:spacing w:val="11"/>
          <w:sz w:val="20"/>
        </w:rPr>
        <w:t> </w:t>
      </w:r>
      <w:r>
        <w:rPr>
          <w:sz w:val="20"/>
        </w:rPr>
        <w:t>was</w:t>
      </w:r>
      <w:r>
        <w:rPr>
          <w:spacing w:val="11"/>
          <w:sz w:val="20"/>
        </w:rPr>
        <w:t> </w:t>
      </w:r>
      <w:r>
        <w:rPr>
          <w:sz w:val="20"/>
        </w:rPr>
        <w:t>invalid</w:t>
      </w:r>
      <w:r>
        <w:rPr>
          <w:spacing w:val="11"/>
          <w:sz w:val="20"/>
        </w:rPr>
        <w:t> </w:t>
      </w:r>
      <w:r>
        <w:rPr>
          <w:sz w:val="20"/>
        </w:rPr>
        <w:t>under</w:t>
      </w:r>
      <w:r>
        <w:rPr>
          <w:spacing w:val="11"/>
          <w:sz w:val="20"/>
        </w:rPr>
        <w:t> </w:t>
      </w:r>
      <w:r>
        <w:rPr>
          <w:sz w:val="20"/>
        </w:rPr>
        <w:t>Art.III.8</w:t>
      </w:r>
      <w:r>
        <w:rPr>
          <w:spacing w:val="11"/>
          <w:sz w:val="20"/>
        </w:rPr>
        <w:t> </w:t>
      </w:r>
      <w:r>
        <w:rPr>
          <w:sz w:val="20"/>
        </w:rPr>
        <w:t>of</w:t>
      </w:r>
      <w:r>
        <w:rPr>
          <w:spacing w:val="11"/>
          <w:sz w:val="20"/>
        </w:rPr>
        <w:t> </w:t>
      </w:r>
      <w:r>
        <w:rPr>
          <w:sz w:val="20"/>
        </w:rPr>
        <w:t>the</w:t>
      </w:r>
      <w:r>
        <w:rPr>
          <w:spacing w:val="11"/>
          <w:sz w:val="20"/>
        </w:rPr>
        <w:t> </w:t>
      </w:r>
      <w:r>
        <w:rPr>
          <w:sz w:val="20"/>
        </w:rPr>
        <w:t>Hague</w:t>
      </w:r>
      <w:r>
        <w:rPr>
          <w:spacing w:val="11"/>
          <w:sz w:val="20"/>
        </w:rPr>
        <w:t> </w:t>
      </w:r>
      <w:r>
        <w:rPr>
          <w:sz w:val="20"/>
        </w:rPr>
        <w:t>Rules;</w:t>
      </w:r>
      <w:r>
        <w:rPr>
          <w:spacing w:val="11"/>
          <w:sz w:val="20"/>
        </w:rPr>
        <w:t> </w:t>
      </w:r>
      <w:r>
        <w:rPr>
          <w:sz w:val="20"/>
        </w:rPr>
        <w:t>and</w:t>
      </w:r>
      <w:r>
        <w:rPr>
          <w:spacing w:val="11"/>
          <w:sz w:val="20"/>
        </w:rPr>
        <w:t> </w:t>
      </w:r>
      <w:r>
        <w:rPr>
          <w:sz w:val="20"/>
        </w:rPr>
        <w:t>see</w:t>
      </w:r>
      <w:r>
        <w:rPr>
          <w:spacing w:val="10"/>
          <w:sz w:val="20"/>
        </w:rPr>
        <w:t> </w:t>
      </w:r>
      <w:r>
        <w:rPr>
          <w:rFonts w:ascii="Arial"/>
          <w:i/>
          <w:sz w:val="20"/>
        </w:rPr>
        <w:t>The</w:t>
      </w:r>
      <w:r>
        <w:rPr>
          <w:rFonts w:ascii="Arial"/>
          <w:i/>
          <w:spacing w:val="11"/>
          <w:sz w:val="20"/>
        </w:rPr>
        <w:t> </w:t>
      </w:r>
      <w:r>
        <w:rPr>
          <w:rFonts w:ascii="Arial"/>
          <w:i/>
          <w:sz w:val="20"/>
        </w:rPr>
        <w:t>Starsin</w:t>
      </w:r>
      <w:r>
        <w:rPr>
          <w:rFonts w:ascii="Arial"/>
          <w:i/>
          <w:spacing w:val="11"/>
          <w:sz w:val="20"/>
        </w:rPr>
        <w:t> </w:t>
      </w:r>
      <w:r>
        <w:rPr>
          <w:spacing w:val="-5"/>
          <w:sz w:val="20"/>
        </w:rPr>
        <w:t>at</w:t>
      </w:r>
    </w:p>
    <w:p>
      <w:pPr>
        <w:spacing w:line="235" w:lineRule="auto" w:before="0"/>
        <w:ind w:left="705" w:right="167" w:firstLine="0"/>
        <w:jc w:val="both"/>
        <w:rPr>
          <w:sz w:val="20"/>
        </w:rPr>
      </w:pPr>
      <w:r>
        <w:rPr>
          <w:sz w:val="20"/>
        </w:rPr>
        <w:t>[155] for criticism of the expression “collateral contract” in this context. Cf. </w:t>
      </w:r>
      <w:r>
        <w:rPr>
          <w:rFonts w:ascii="Arial" w:hAnsi="Arial"/>
          <w:i/>
          <w:sz w:val="20"/>
        </w:rPr>
        <w:t>Whitsea Shipping</w:t>
      </w:r>
      <w:r>
        <w:rPr>
          <w:rFonts w:ascii="Arial" w:hAnsi="Arial"/>
          <w:i/>
          <w:spacing w:val="40"/>
          <w:sz w:val="20"/>
        </w:rPr>
        <w:t> </w:t>
      </w:r>
      <w:r>
        <w:rPr>
          <w:rFonts w:ascii="Arial" w:hAnsi="Arial"/>
          <w:i/>
          <w:sz w:val="20"/>
        </w:rPr>
        <w:t>and Trading Corp v El Paso Rio Clara Ltd (The Marielle Bolten) [2009] EWHC 2552 </w:t>
      </w:r>
      <w:r>
        <w:rPr>
          <w:rFonts w:ascii="Arial" w:hAnsi="Arial"/>
          <w:i/>
          <w:sz w:val="20"/>
        </w:rPr>
        <w:t>(Comm), [2010] 1 Lloyd’s Rep. 648</w:t>
      </w:r>
      <w:r>
        <w:rPr>
          <w:rFonts w:ascii="Arial" w:hAnsi="Arial"/>
          <w:i/>
          <w:spacing w:val="-1"/>
          <w:sz w:val="20"/>
        </w:rPr>
        <w:t> </w:t>
      </w:r>
      <w:r>
        <w:rPr>
          <w:sz w:val="20"/>
        </w:rPr>
        <w:t>where the contract was referred to at [34] as “The Himalaya </w:t>
      </w:r>
      <w:r>
        <w:rPr>
          <w:sz w:val="20"/>
        </w:rPr>
        <w:t>contract” and was not invalid under Art.III.8 as (unlike the relevant contract in </w:t>
      </w:r>
      <w:r>
        <w:rPr>
          <w:rFonts w:ascii="Arial" w:hAnsi="Arial"/>
          <w:i/>
          <w:sz w:val="20"/>
        </w:rPr>
        <w:t>The Starsin</w:t>
      </w:r>
      <w:r>
        <w:rPr>
          <w:sz w:val="20"/>
        </w:rPr>
        <w:t>) it was not a “contract of carriage” within that provision (above, para.15-134); and see generally </w:t>
      </w:r>
      <w:r>
        <w:rPr>
          <w:sz w:val="20"/>
        </w:rPr>
        <w:t>the discussion of Himalaya Clauses in paras 15-051 to 15-052 above and in Carver on Bills of Lading, 3rd ed. (2011), paras 7-046—7-066.</w:t>
      </w:r>
    </w:p>
    <w:p>
      <w:pPr>
        <w:pStyle w:val="BodyText"/>
        <w:spacing w:before="5"/>
      </w:pPr>
    </w:p>
    <w:p>
      <w:pPr>
        <w:tabs>
          <w:tab w:pos="705" w:val="left" w:leader="none"/>
        </w:tabs>
        <w:spacing w:line="235" w:lineRule="auto" w:before="0"/>
        <w:ind w:left="705" w:right="167" w:hanging="541"/>
        <w:jc w:val="left"/>
        <w:rPr>
          <w:sz w:val="20"/>
        </w:rPr>
      </w:pPr>
      <w:bookmarkStart w:name="_bookmark260" w:id="262"/>
      <w:bookmarkEnd w:id="262"/>
      <w:r>
        <w:rPr/>
      </w:r>
      <w:hyperlink w:history="true" w:anchor="_bookmark252">
        <w:r>
          <w:rPr>
            <w:color w:val="005DA1"/>
            <w:spacing w:val="-4"/>
            <w:position w:val="5"/>
            <w:sz w:val="14"/>
            <w:u w:val="single" w:color="005DA1"/>
          </w:rPr>
          <w:t>135</w:t>
        </w:r>
      </w:hyperlink>
      <w:r>
        <w:rPr>
          <w:spacing w:val="-4"/>
          <w:position w:val="5"/>
          <w:sz w:val="14"/>
        </w:rPr>
        <w:t>.</w:t>
      </w:r>
      <w:r>
        <w:rPr>
          <w:position w:val="5"/>
          <w:sz w:val="14"/>
        </w:rPr>
        <w:tab/>
      </w:r>
      <w:r>
        <w:rPr>
          <w:sz w:val="20"/>
        </w:rPr>
        <w:t>e.g. </w:t>
      </w:r>
      <w:r>
        <w:rPr>
          <w:rFonts w:ascii="Arial"/>
          <w:i/>
          <w:sz w:val="20"/>
        </w:rPr>
        <w:t>Elder Dempster &amp; Co v Paterson Zochonis &amp; Co [1924] A.C. 522</w:t>
      </w:r>
      <w:r>
        <w:rPr>
          <w:sz w:val="20"/>
        </w:rPr>
        <w:t>; </w:t>
      </w:r>
      <w:r>
        <w:rPr>
          <w:rFonts w:ascii="Arial"/>
          <w:i/>
          <w:sz w:val="20"/>
        </w:rPr>
        <w:t>Morris v C.W. Martin &amp;</w:t>
      </w:r>
      <w:r>
        <w:rPr>
          <w:rFonts w:ascii="Arial"/>
          <w:i/>
          <w:spacing w:val="40"/>
          <w:sz w:val="20"/>
        </w:rPr>
        <w:t> </w:t>
      </w:r>
      <w:r>
        <w:rPr>
          <w:rFonts w:ascii="Arial"/>
          <w:i/>
          <w:sz w:val="20"/>
        </w:rPr>
        <w:t>Co</w:t>
      </w:r>
      <w:r>
        <w:rPr>
          <w:rFonts w:ascii="Arial"/>
          <w:i/>
          <w:spacing w:val="4"/>
          <w:sz w:val="20"/>
        </w:rPr>
        <w:t> </w:t>
      </w:r>
      <w:r>
        <w:rPr>
          <w:rFonts w:ascii="Arial"/>
          <w:i/>
          <w:sz w:val="20"/>
        </w:rPr>
        <w:t>[1966]</w:t>
      </w:r>
      <w:r>
        <w:rPr>
          <w:rFonts w:ascii="Arial"/>
          <w:i/>
          <w:spacing w:val="5"/>
          <w:sz w:val="20"/>
        </w:rPr>
        <w:t> </w:t>
      </w:r>
      <w:r>
        <w:rPr>
          <w:rFonts w:ascii="Arial"/>
          <w:i/>
          <w:sz w:val="20"/>
        </w:rPr>
        <w:t>1</w:t>
      </w:r>
      <w:r>
        <w:rPr>
          <w:rFonts w:ascii="Arial"/>
          <w:i/>
          <w:spacing w:val="5"/>
          <w:sz w:val="20"/>
        </w:rPr>
        <w:t> </w:t>
      </w:r>
      <w:r>
        <w:rPr>
          <w:rFonts w:ascii="Arial"/>
          <w:i/>
          <w:sz w:val="20"/>
        </w:rPr>
        <w:t>Q.B.</w:t>
      </w:r>
      <w:r>
        <w:rPr>
          <w:rFonts w:ascii="Arial"/>
          <w:i/>
          <w:spacing w:val="5"/>
          <w:sz w:val="20"/>
        </w:rPr>
        <w:t> </w:t>
      </w:r>
      <w:r>
        <w:rPr>
          <w:rFonts w:ascii="Arial"/>
          <w:i/>
          <w:sz w:val="20"/>
        </w:rPr>
        <w:t>716,</w:t>
      </w:r>
      <w:r>
        <w:rPr>
          <w:rFonts w:ascii="Arial"/>
          <w:i/>
          <w:spacing w:val="5"/>
          <w:sz w:val="20"/>
        </w:rPr>
        <w:t> </w:t>
      </w:r>
      <w:r>
        <w:rPr>
          <w:rFonts w:ascii="Arial"/>
          <w:i/>
          <w:sz w:val="20"/>
        </w:rPr>
        <w:t>729</w:t>
      </w:r>
      <w:r>
        <w:rPr>
          <w:sz w:val="20"/>
        </w:rPr>
        <w:t>;</w:t>
      </w:r>
      <w:r>
        <w:rPr>
          <w:spacing w:val="5"/>
          <w:sz w:val="20"/>
        </w:rPr>
        <w:t> </w:t>
      </w:r>
      <w:r>
        <w:rPr>
          <w:sz w:val="20"/>
        </w:rPr>
        <w:t>above,</w:t>
      </w:r>
      <w:r>
        <w:rPr>
          <w:spacing w:val="5"/>
          <w:sz w:val="20"/>
        </w:rPr>
        <w:t> </w:t>
      </w:r>
      <w:r>
        <w:rPr>
          <w:sz w:val="20"/>
        </w:rPr>
        <w:t>para.15-057;</w:t>
      </w:r>
      <w:r>
        <w:rPr>
          <w:spacing w:val="5"/>
          <w:sz w:val="20"/>
        </w:rPr>
        <w:t> </w:t>
      </w:r>
      <w:r>
        <w:rPr>
          <w:sz w:val="20"/>
        </w:rPr>
        <w:t>Vol.II,</w:t>
      </w:r>
      <w:r>
        <w:rPr>
          <w:spacing w:val="5"/>
          <w:sz w:val="20"/>
        </w:rPr>
        <w:t> </w:t>
      </w:r>
      <w:r>
        <w:rPr>
          <w:sz w:val="20"/>
        </w:rPr>
        <w:t>paras</w:t>
      </w:r>
      <w:r>
        <w:rPr>
          <w:spacing w:val="5"/>
          <w:sz w:val="20"/>
        </w:rPr>
        <w:t> </w:t>
      </w:r>
      <w:r>
        <w:rPr>
          <w:sz w:val="20"/>
        </w:rPr>
        <w:t>33-026,</w:t>
      </w:r>
      <w:r>
        <w:rPr>
          <w:spacing w:val="5"/>
          <w:sz w:val="20"/>
        </w:rPr>
        <w:t> </w:t>
      </w:r>
      <w:r>
        <w:rPr>
          <w:sz w:val="20"/>
        </w:rPr>
        <w:t>33-027;</w:t>
      </w:r>
      <w:r>
        <w:rPr>
          <w:spacing w:val="5"/>
          <w:sz w:val="20"/>
        </w:rPr>
        <w:t> </w:t>
      </w:r>
      <w:r>
        <w:rPr>
          <w:sz w:val="20"/>
        </w:rPr>
        <w:t>Carver</w:t>
      </w:r>
      <w:r>
        <w:rPr>
          <w:spacing w:val="5"/>
          <w:sz w:val="20"/>
        </w:rPr>
        <w:t> </w:t>
      </w:r>
      <w:r>
        <w:rPr>
          <w:sz w:val="20"/>
        </w:rPr>
        <w:t>on</w:t>
      </w:r>
      <w:r>
        <w:rPr>
          <w:spacing w:val="5"/>
          <w:sz w:val="20"/>
        </w:rPr>
        <w:t> </w:t>
      </w:r>
      <w:r>
        <w:rPr>
          <w:sz w:val="20"/>
        </w:rPr>
        <w:t>Bills</w:t>
      </w:r>
      <w:r>
        <w:rPr>
          <w:spacing w:val="5"/>
          <w:sz w:val="20"/>
        </w:rPr>
        <w:t> </w:t>
      </w:r>
      <w:r>
        <w:rPr>
          <w:spacing w:val="-5"/>
          <w:sz w:val="20"/>
        </w:rPr>
        <w:t>of</w:t>
      </w:r>
    </w:p>
    <w:p>
      <w:pPr>
        <w:pStyle w:val="BodyText"/>
        <w:spacing w:line="225" w:lineRule="exact"/>
        <w:ind w:left="705"/>
      </w:pPr>
      <w:r>
        <w:rPr/>
        <w:t>Lading, 3rd ed. (2011) paras 7-027 to 7-045; 7-093 to 7-</w:t>
      </w:r>
      <w:r>
        <w:rPr>
          <w:spacing w:val="-4"/>
        </w:rPr>
        <w:t>110.</w:t>
      </w:r>
    </w:p>
    <w:p>
      <w:pPr>
        <w:pStyle w:val="BodyText"/>
        <w:spacing w:before="9"/>
      </w:pPr>
    </w:p>
    <w:p>
      <w:pPr>
        <w:spacing w:line="235" w:lineRule="auto" w:before="0"/>
        <w:ind w:left="705" w:right="167" w:hanging="541"/>
        <w:jc w:val="both"/>
        <w:rPr>
          <w:sz w:val="20"/>
        </w:rPr>
      </w:pPr>
      <w:bookmarkStart w:name="_bookmark261" w:id="263"/>
      <w:bookmarkEnd w:id="263"/>
      <w:r>
        <w:rPr/>
      </w:r>
      <w:hyperlink w:history="true" w:anchor="_bookmark253">
        <w:r>
          <w:rPr>
            <w:color w:val="005DA1"/>
            <w:position w:val="5"/>
            <w:sz w:val="14"/>
            <w:u w:val="single" w:color="005DA1"/>
          </w:rPr>
          <w:t>136</w:t>
        </w:r>
      </w:hyperlink>
      <w:r>
        <w:rPr>
          <w:position w:val="5"/>
          <w:sz w:val="14"/>
        </w:rPr>
        <w:t>.</w:t>
      </w:r>
      <w:r>
        <w:rPr>
          <w:spacing w:val="80"/>
          <w:position w:val="5"/>
          <w:sz w:val="14"/>
        </w:rPr>
        <w:t>  </w:t>
      </w:r>
      <w:r>
        <w:rPr>
          <w:rFonts w:ascii="Arial" w:hAnsi="Arial"/>
          <w:i/>
          <w:sz w:val="20"/>
        </w:rPr>
        <w:t>Hirachand Punamchand v Temple [1911] 2 K.B. 330</w:t>
      </w:r>
      <w:r>
        <w:rPr>
          <w:sz w:val="20"/>
        </w:rPr>
        <w:t>; above, para.4-128 (where the effect on such facts of the Contracts (Rights of Third Parties) Act 1999 is also discussed); cf. </w:t>
      </w:r>
      <w:r>
        <w:rPr>
          <w:rFonts w:ascii="Arial" w:hAnsi="Arial"/>
          <w:i/>
          <w:sz w:val="20"/>
        </w:rPr>
        <w:t>Johnson v Davies [1999] Ch. 117 </w:t>
      </w:r>
      <w:r>
        <w:rPr>
          <w:sz w:val="20"/>
        </w:rPr>
        <w:t>at 130, and </w:t>
      </w:r>
      <w:r>
        <w:rPr>
          <w:rFonts w:ascii="Arial" w:hAnsi="Arial"/>
          <w:i/>
          <w:sz w:val="20"/>
        </w:rPr>
        <w:t>Chelsea Building Society v Nash [2010] EWCA Civ 1247</w:t>
      </w:r>
      <w:r>
        <w:rPr>
          <w:sz w:val="20"/>
        </w:rPr>
        <w:t>, discussed above, para.4-128 n.750. As a general rule, payment of a debt by a third party discharges the debt only if the payment is made with the intention of discharging the debt </w:t>
      </w:r>
      <w:r>
        <w:rPr>
          <w:sz w:val="20"/>
        </w:rPr>
        <w:t>and with</w:t>
      </w:r>
      <w:r>
        <w:rPr>
          <w:spacing w:val="-2"/>
          <w:sz w:val="20"/>
        </w:rPr>
        <w:t> </w:t>
      </w:r>
      <w:r>
        <w:rPr>
          <w:sz w:val="20"/>
        </w:rPr>
        <w:t>the</w:t>
      </w:r>
      <w:r>
        <w:rPr>
          <w:spacing w:val="-2"/>
          <w:sz w:val="20"/>
        </w:rPr>
        <w:t> </w:t>
      </w:r>
      <w:r>
        <w:rPr>
          <w:sz w:val="20"/>
        </w:rPr>
        <w:t>debtor’s</w:t>
      </w:r>
      <w:r>
        <w:rPr>
          <w:spacing w:val="-2"/>
          <w:sz w:val="20"/>
        </w:rPr>
        <w:t> </w:t>
      </w:r>
      <w:r>
        <w:rPr>
          <w:sz w:val="20"/>
        </w:rPr>
        <w:t>authority:</w:t>
      </w:r>
      <w:r>
        <w:rPr>
          <w:spacing w:val="-2"/>
          <w:sz w:val="20"/>
        </w:rPr>
        <w:t> </w:t>
      </w:r>
      <w:r>
        <w:rPr>
          <w:sz w:val="20"/>
        </w:rPr>
        <w:t>see</w:t>
      </w:r>
      <w:r>
        <w:rPr>
          <w:spacing w:val="-2"/>
          <w:sz w:val="20"/>
        </w:rPr>
        <w:t> </w:t>
      </w:r>
      <w:r>
        <w:rPr>
          <w:rFonts w:ascii="Arial" w:hAnsi="Arial"/>
          <w:i/>
          <w:sz w:val="20"/>
        </w:rPr>
        <w:t>Crantrave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[2000]</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917</w:t>
      </w:r>
      <w:r>
        <w:rPr>
          <w:sz w:val="20"/>
        </w:rPr>
        <w:t>,</w:t>
      </w:r>
      <w:r>
        <w:rPr>
          <w:spacing w:val="-2"/>
          <w:sz w:val="20"/>
        </w:rPr>
        <w:t> </w:t>
      </w:r>
      <w:r>
        <w:rPr>
          <w:sz w:val="20"/>
        </w:rPr>
        <w:t>where</w:t>
      </w:r>
      <w:r>
        <w:rPr>
          <w:spacing w:val="-2"/>
          <w:sz w:val="20"/>
        </w:rPr>
        <w:t> </w:t>
      </w:r>
      <w:r>
        <w:rPr>
          <w:sz w:val="20"/>
        </w:rPr>
        <w:t>the</w:t>
      </w:r>
      <w:r>
        <w:rPr>
          <w:spacing w:val="-2"/>
          <w:sz w:val="20"/>
        </w:rPr>
        <w:t> </w:t>
      </w:r>
      <w:r>
        <w:rPr>
          <w:sz w:val="20"/>
        </w:rPr>
        <w:t>first of these requirements was not satisfied. The inference that C authorised B to pay C’s debt to A, or that C had ratified such a payment, so that the payment discharged the debt, may be drawn from the existence of a family relationship (such as that of a father and his children): see </w:t>
      </w:r>
      <w:r>
        <w:rPr>
          <w:rFonts w:ascii="Arial" w:hAnsi="Arial"/>
          <w:i/>
          <w:sz w:val="20"/>
        </w:rPr>
        <w:t>Treasure &amp; Son Ltd v Dawes [2008] EWHC 2181 (TCC)</w:t>
      </w:r>
      <w:r>
        <w:rPr>
          <w:sz w:val="20"/>
        </w:rPr>
        <w:t>. The rule that payment of a debt by a person other than the debtor will discharge a debt only if the payment is made with the debtor’s authority does not apply where the payment is made under legal compulsion: see </w:t>
      </w:r>
      <w:r>
        <w:rPr>
          <w:rFonts w:ascii="Arial" w:hAnsi="Arial"/>
          <w:i/>
          <w:sz w:val="20"/>
        </w:rPr>
        <w:t>Electricity Supply Nominees Ltd v Thorn EMI Retailers Ltd (1992) 63 P. &amp; C.R. 143 </w:t>
      </w:r>
      <w:r>
        <w:rPr>
          <w:sz w:val="20"/>
        </w:rPr>
        <w:t>at 148–149, per Fox L.J., applied in </w:t>
      </w:r>
      <w:r>
        <w:rPr>
          <w:rFonts w:ascii="Arial" w:hAnsi="Arial"/>
          <w:i/>
          <w:sz w:val="20"/>
        </w:rPr>
        <w:t>Ibrahim v Barclays Bank plc [2012] EWCA Civ 640, [2012] 2 Lloyd’s Rep. 13 </w:t>
      </w:r>
      <w:r>
        <w:rPr>
          <w:sz w:val="20"/>
        </w:rPr>
        <w:t>at [46], [49]; this result follows even though the “compulsion” has arisen out of “a contractual obligation voluntarily assumed by the third party”: ibid., at [49], in this case by a bank honouring its undertaking, given in a letter of credit, to pay the beneficiary the amount owed by the debtor; and see below para.29-105.</w:t>
      </w:r>
    </w:p>
    <w:p>
      <w:pPr>
        <w:tabs>
          <w:tab w:pos="705" w:val="left" w:leader="none"/>
        </w:tabs>
        <w:spacing w:before="229"/>
        <w:ind w:left="165" w:right="0" w:firstLine="0"/>
        <w:jc w:val="left"/>
        <w:rPr>
          <w:sz w:val="20"/>
        </w:rPr>
      </w:pPr>
      <w:bookmarkStart w:name="_bookmark262" w:id="264"/>
      <w:bookmarkEnd w:id="264"/>
      <w:r>
        <w:rPr/>
      </w:r>
      <w:hyperlink w:history="true" w:anchor="_bookmark254">
        <w:r>
          <w:rPr>
            <w:color w:val="005DA1"/>
            <w:spacing w:val="-4"/>
            <w:position w:val="5"/>
            <w:sz w:val="14"/>
            <w:u w:val="single" w:color="005DA1"/>
          </w:rPr>
          <w:t>137</w:t>
        </w:r>
      </w:hyperlink>
      <w:r>
        <w:rPr>
          <w:spacing w:val="-4"/>
          <w:position w:val="5"/>
          <w:sz w:val="14"/>
        </w:rPr>
        <w:t>.</w:t>
      </w:r>
      <w:r>
        <w:rPr>
          <w:position w:val="5"/>
          <w:sz w:val="14"/>
        </w:rPr>
        <w:tab/>
      </w:r>
      <w:r>
        <w:rPr>
          <w:rFonts w:ascii="Arial"/>
          <w:i/>
          <w:sz w:val="20"/>
        </w:rPr>
        <w:t>Co-operative Wholesale Society Ltd v Birse Construction Ltd (1997) 84 B.L.R. </w:t>
      </w:r>
      <w:r>
        <w:rPr>
          <w:rFonts w:ascii="Arial"/>
          <w:i/>
          <w:spacing w:val="-5"/>
          <w:sz w:val="20"/>
        </w:rPr>
        <w:t>58</w:t>
      </w:r>
      <w:r>
        <w:rPr>
          <w:spacing w:val="-5"/>
          <w:sz w:val="20"/>
        </w:rPr>
        <w:t>.</w:t>
      </w:r>
    </w:p>
    <w:p>
      <w:pPr>
        <w:pStyle w:val="BodyText"/>
        <w:spacing w:before="9"/>
      </w:pPr>
    </w:p>
    <w:p>
      <w:pPr>
        <w:spacing w:line="235" w:lineRule="auto" w:before="0"/>
        <w:ind w:left="705" w:right="167" w:hanging="541"/>
        <w:jc w:val="both"/>
        <w:rPr>
          <w:sz w:val="20"/>
        </w:rPr>
      </w:pPr>
      <w:bookmarkStart w:name="_bookmark263" w:id="265"/>
      <w:bookmarkEnd w:id="265"/>
      <w:r>
        <w:rPr/>
      </w:r>
      <w:hyperlink w:history="true" w:anchor="_bookmark255">
        <w:r>
          <w:rPr>
            <w:color w:val="005DA1"/>
            <w:position w:val="5"/>
            <w:sz w:val="14"/>
            <w:u w:val="single" w:color="005DA1"/>
          </w:rPr>
          <w:t>138</w:t>
        </w:r>
      </w:hyperlink>
      <w:r>
        <w:rPr>
          <w:position w:val="5"/>
          <w:sz w:val="14"/>
        </w:rPr>
        <w:t>.</w:t>
      </w:r>
      <w:r>
        <w:rPr>
          <w:spacing w:val="80"/>
          <w:position w:val="5"/>
          <w:sz w:val="14"/>
        </w:rPr>
        <w:t>  </w:t>
      </w:r>
      <w:r>
        <w:rPr>
          <w:sz w:val="20"/>
        </w:rPr>
        <w:t>e.g.</w:t>
      </w:r>
      <w:r>
        <w:rPr>
          <w:spacing w:val="36"/>
          <w:sz w:val="20"/>
        </w:rPr>
        <w:t> </w:t>
      </w:r>
      <w:r>
        <w:rPr>
          <w:rFonts w:ascii="Arial" w:hAnsi="Arial"/>
          <w:i/>
          <w:sz w:val="20"/>
        </w:rPr>
        <w:t>West</w:t>
      </w:r>
      <w:r>
        <w:rPr>
          <w:rFonts w:ascii="Arial" w:hAnsi="Arial"/>
          <w:i/>
          <w:spacing w:val="36"/>
          <w:sz w:val="20"/>
        </w:rPr>
        <w:t> </w:t>
      </w:r>
      <w:r>
        <w:rPr>
          <w:rFonts w:ascii="Arial" w:hAnsi="Arial"/>
          <w:i/>
          <w:sz w:val="20"/>
        </w:rPr>
        <w:t>of</w:t>
      </w:r>
      <w:r>
        <w:rPr>
          <w:rFonts w:ascii="Arial" w:hAnsi="Arial"/>
          <w:i/>
          <w:spacing w:val="36"/>
          <w:sz w:val="20"/>
        </w:rPr>
        <w:t> </w:t>
      </w:r>
      <w:r>
        <w:rPr>
          <w:rFonts w:ascii="Arial" w:hAnsi="Arial"/>
          <w:i/>
          <w:sz w:val="20"/>
        </w:rPr>
        <w:t>England</w:t>
      </w:r>
      <w:r>
        <w:rPr>
          <w:rFonts w:ascii="Arial" w:hAnsi="Arial"/>
          <w:i/>
          <w:spacing w:val="36"/>
          <w:sz w:val="20"/>
        </w:rPr>
        <w:t> </w:t>
      </w:r>
      <w:r>
        <w:rPr>
          <w:rFonts w:ascii="Arial" w:hAnsi="Arial"/>
          <w:i/>
          <w:sz w:val="20"/>
        </w:rPr>
        <w:t>Shipowners</w:t>
      </w:r>
      <w:r>
        <w:rPr>
          <w:rFonts w:ascii="Arial" w:hAnsi="Arial"/>
          <w:i/>
          <w:spacing w:val="36"/>
          <w:sz w:val="20"/>
        </w:rPr>
        <w:t> </w:t>
      </w:r>
      <w:r>
        <w:rPr>
          <w:rFonts w:ascii="Arial" w:hAnsi="Arial"/>
          <w:i/>
          <w:sz w:val="20"/>
        </w:rPr>
        <w:t>Mutual</w:t>
      </w:r>
      <w:r>
        <w:rPr>
          <w:rFonts w:ascii="Arial" w:hAnsi="Arial"/>
          <w:i/>
          <w:spacing w:val="36"/>
          <w:sz w:val="20"/>
        </w:rPr>
        <w:t> </w:t>
      </w:r>
      <w:r>
        <w:rPr>
          <w:rFonts w:ascii="Arial" w:hAnsi="Arial"/>
          <w:i/>
          <w:sz w:val="20"/>
        </w:rPr>
        <w:t>Insurance</w:t>
      </w:r>
      <w:r>
        <w:rPr>
          <w:rFonts w:ascii="Arial" w:hAnsi="Arial"/>
          <w:i/>
          <w:spacing w:val="36"/>
          <w:sz w:val="20"/>
        </w:rPr>
        <w:t> </w:t>
      </w:r>
      <w:r>
        <w:rPr>
          <w:rFonts w:ascii="Arial" w:hAnsi="Arial"/>
          <w:i/>
          <w:sz w:val="20"/>
        </w:rPr>
        <w:t>Association</w:t>
      </w:r>
      <w:r>
        <w:rPr>
          <w:rFonts w:ascii="Arial" w:hAnsi="Arial"/>
          <w:i/>
          <w:spacing w:val="36"/>
          <w:sz w:val="20"/>
        </w:rPr>
        <w:t> </w:t>
      </w:r>
      <w:r>
        <w:rPr>
          <w:rFonts w:ascii="Arial" w:hAnsi="Arial"/>
          <w:i/>
          <w:sz w:val="20"/>
        </w:rPr>
        <w:t>(Luxembourg)</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Cristal</w:t>
      </w:r>
      <w:r>
        <w:rPr>
          <w:rFonts w:ascii="Arial" w:hAnsi="Arial"/>
          <w:i/>
          <w:spacing w:val="36"/>
          <w:sz w:val="20"/>
        </w:rPr>
        <w:t> </w:t>
      </w:r>
      <w:r>
        <w:rPr>
          <w:rFonts w:ascii="Arial" w:hAnsi="Arial"/>
          <w:i/>
          <w:sz w:val="20"/>
        </w:rPr>
        <w:t>Ltd (The Glacier Bay) [1996] 1 Lloyd’s Rep. 370</w:t>
      </w:r>
      <w:r>
        <w:rPr>
          <w:sz w:val="20"/>
        </w:rPr>
        <w:t>; </w:t>
      </w:r>
      <w:r>
        <w:rPr>
          <w:rFonts w:ascii="Arial" w:hAnsi="Arial"/>
          <w:i/>
          <w:sz w:val="20"/>
        </w:rPr>
        <w:t>Banque Financière de la Cité v Parc (Battersea) Ltd [1999] 1 A.C. 221</w:t>
      </w:r>
      <w:r>
        <w:rPr>
          <w:sz w:val="20"/>
        </w:rPr>
        <w:t>.</w:t>
      </w:r>
    </w:p>
    <w:p>
      <w:pPr>
        <w:pStyle w:val="BodyText"/>
        <w:spacing w:before="5"/>
      </w:pPr>
    </w:p>
    <w:p>
      <w:pPr>
        <w:tabs>
          <w:tab w:pos="705" w:val="left" w:leader="none"/>
        </w:tabs>
        <w:spacing w:before="0"/>
        <w:ind w:left="165" w:right="0" w:firstLine="0"/>
        <w:jc w:val="left"/>
        <w:rPr>
          <w:sz w:val="20"/>
        </w:rPr>
      </w:pPr>
      <w:bookmarkStart w:name="_bookmark264" w:id="266"/>
      <w:bookmarkEnd w:id="266"/>
      <w:r>
        <w:rPr/>
      </w:r>
      <w:hyperlink w:history="true" w:anchor="_bookmark255">
        <w:r>
          <w:rPr>
            <w:color w:val="005DA1"/>
            <w:spacing w:val="-4"/>
            <w:position w:val="5"/>
            <w:sz w:val="14"/>
            <w:u w:val="single" w:color="005DA1"/>
          </w:rPr>
          <w:t>139</w:t>
        </w:r>
      </w:hyperlink>
      <w:r>
        <w:rPr>
          <w:spacing w:val="-4"/>
          <w:position w:val="5"/>
          <w:sz w:val="14"/>
        </w:rPr>
        <w:t>.</w:t>
      </w:r>
      <w:r>
        <w:rPr>
          <w:position w:val="5"/>
          <w:sz w:val="14"/>
        </w:rPr>
        <w:tab/>
      </w:r>
      <w:r>
        <w:rPr>
          <w:sz w:val="20"/>
        </w:rPr>
        <w:t>See above at </w:t>
      </w:r>
      <w:r>
        <w:rPr>
          <w:spacing w:val="-2"/>
          <w:sz w:val="20"/>
        </w:rPr>
        <w:t>n.133.</w:t>
      </w:r>
    </w:p>
    <w:p>
      <w:pPr>
        <w:pStyle w:val="BodyText"/>
        <w:spacing w:before="5"/>
      </w:pPr>
    </w:p>
    <w:p>
      <w:pPr>
        <w:pStyle w:val="BodyText"/>
        <w:tabs>
          <w:tab w:pos="705" w:val="left" w:leader="none"/>
        </w:tabs>
        <w:ind w:left="165"/>
      </w:pPr>
      <w:bookmarkStart w:name="_bookmark265" w:id="267"/>
      <w:bookmarkEnd w:id="267"/>
      <w:r>
        <w:rPr/>
      </w:r>
      <w:hyperlink w:history="true" w:anchor="_bookmark256">
        <w:r>
          <w:rPr>
            <w:color w:val="005DA1"/>
            <w:spacing w:val="-4"/>
            <w:position w:val="5"/>
            <w:sz w:val="14"/>
            <w:u w:val="single" w:color="005DA1"/>
          </w:rPr>
          <w:t>140</w:t>
        </w:r>
      </w:hyperlink>
      <w:r>
        <w:rPr>
          <w:spacing w:val="-4"/>
          <w:position w:val="5"/>
          <w:sz w:val="14"/>
        </w:rPr>
        <w:t>.</w:t>
      </w:r>
      <w:r>
        <w:rPr>
          <w:position w:val="5"/>
          <w:sz w:val="14"/>
        </w:rPr>
        <w:tab/>
      </w:r>
      <w:r>
        <w:rPr/>
        <w:t>Below</w:t>
      </w:r>
      <w:r>
        <w:rPr>
          <w:spacing w:val="-2"/>
        </w:rPr>
        <w:t> </w:t>
      </w:r>
      <w:r>
        <w:rPr/>
        <w:t>paras 18-140-18-</w:t>
      </w:r>
      <w:r>
        <w:rPr>
          <w:spacing w:val="-4"/>
        </w:rPr>
        <w:t>153.</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50944">
                <wp:simplePos x="0" y="0"/>
                <wp:positionH relativeFrom="page">
                  <wp:posOffset>4703826</wp:posOffset>
                </wp:positionH>
                <wp:positionV relativeFrom="paragraph">
                  <wp:posOffset>377436</wp:posOffset>
                </wp:positionV>
                <wp:extent cx="4254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5536"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3. - </w:t>
      </w:r>
      <w:r>
        <w:rPr>
          <w:rFonts w:ascii="Arial"/>
          <w:b/>
          <w:spacing w:val="-2"/>
          <w:sz w:val="24"/>
        </w:rPr>
        <w:t>Scope</w:t>
      </w:r>
    </w:p>
    <w:p>
      <w:pPr>
        <w:pStyle w:val="ListParagraph"/>
        <w:numPr>
          <w:ilvl w:val="0"/>
          <w:numId w:val="2"/>
        </w:numPr>
        <w:tabs>
          <w:tab w:pos="2598" w:val="left" w:leader="none"/>
        </w:tabs>
        <w:spacing w:line="240" w:lineRule="auto" w:before="194" w:after="0"/>
        <w:ind w:left="2598" w:right="0" w:hanging="360"/>
        <w:jc w:val="left"/>
        <w:rPr>
          <w:b/>
          <w:sz w:val="24"/>
        </w:rPr>
      </w:pPr>
      <w:r>
        <w:rPr>
          <w:b/>
          <w:sz w:val="24"/>
        </w:rPr>
        <w:t>- Liability in Negligence to Third </w:t>
      </w:r>
      <w:r>
        <w:rPr>
          <w:b/>
          <w:spacing w:val="-2"/>
          <w:sz w:val="24"/>
        </w:rPr>
        <w:t>Parties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Duty of care may be owed to third </w:t>
      </w:r>
      <w:r>
        <w:rPr>
          <w:rFonts w:ascii="Arial"/>
          <w:b/>
          <w:spacing w:val="-2"/>
          <w:sz w:val="18"/>
        </w:rPr>
        <w:t>party</w:t>
      </w:r>
    </w:p>
    <w:p>
      <w:pPr>
        <w:pStyle w:val="BodyText"/>
        <w:spacing w:before="41"/>
        <w:rPr>
          <w:rFonts w:ascii="Arial"/>
          <w:b/>
          <w:sz w:val="18"/>
        </w:rPr>
      </w:pPr>
    </w:p>
    <w:p>
      <w:pPr>
        <w:pStyle w:val="Heading2"/>
        <w:ind w:left="164"/>
      </w:pPr>
      <w:r>
        <w:rPr/>
        <w:t>18-</w:t>
      </w:r>
      <w:r>
        <w:rPr>
          <w:spacing w:val="-5"/>
        </w:rPr>
        <w:t>024</w:t>
      </w:r>
    </w:p>
    <w:p>
      <w:pPr>
        <w:pStyle w:val="BodyText"/>
        <w:spacing w:line="235" w:lineRule="auto" w:before="203"/>
        <w:ind w:left="164" w:right="167"/>
        <w:jc w:val="both"/>
      </w:pPr>
      <w:r>
        <w:rPr/>
        <w:t>While the primary effect of a contract between A and B is to oblige the parties to perform </w:t>
      </w:r>
      <w:r>
        <w:rPr/>
        <w:t>their promises to each other, the contract may also impose on A a duty of care to C, the breach of which </w:t>
      </w:r>
      <w:bookmarkStart w:name="_bookmark266" w:id="268"/>
      <w:bookmarkEnd w:id="268"/>
      <w:r>
        <w:rPr/>
        <w:t>will</w:t>
      </w:r>
      <w:r>
        <w:rPr/>
        <w:t> enable C to sue A in tort for negligence. The contract may, for example, have this effect because</w:t>
      </w:r>
      <w:r>
        <w:rPr>
          <w:spacing w:val="40"/>
        </w:rPr>
        <w:t> </w:t>
      </w:r>
      <w:bookmarkStart w:name="_bookmark267" w:id="269"/>
      <w:bookmarkEnd w:id="269"/>
      <w:r>
        <w:rPr/>
        <w:t>it</w:t>
      </w:r>
      <w:r>
        <w:rPr/>
        <w:t> gives rise between A and C to the relationship of passenger (or cargo-owner) and carrier, </w:t>
      </w:r>
      <w:r>
        <w:rPr>
          <w:color w:val="005DA1"/>
          <w:u w:val="single" w:color="005DA1"/>
          <w:vertAlign w:val="superscript"/>
        </w:rPr>
        <w:t>141</w:t>
      </w:r>
      <w:r>
        <w:rPr>
          <w:color w:val="005DA1"/>
          <w:vertAlign w:val="baseline"/>
        </w:rPr>
        <w:t> </w:t>
      </w:r>
      <w:r>
        <w:rPr>
          <w:vertAlign w:val="baseline"/>
        </w:rPr>
        <w:t>bailor and sub-bailee, </w:t>
      </w:r>
      <w:r>
        <w:rPr>
          <w:color w:val="005DA1"/>
          <w:u w:val="single" w:color="005DA1"/>
          <w:vertAlign w:val="superscript"/>
        </w:rPr>
        <w:t>142</w:t>
      </w:r>
      <w:r>
        <w:rPr>
          <w:color w:val="005DA1"/>
          <w:vertAlign w:val="baseline"/>
        </w:rPr>
        <w:t> </w:t>
      </w:r>
      <w:r>
        <w:rPr>
          <w:vertAlign w:val="baseline"/>
        </w:rPr>
        <w:t>or of building owner and subcontractor. </w:t>
      </w:r>
      <w:r>
        <w:rPr>
          <w:color w:val="005DA1"/>
          <w:u w:val="single" w:color="005DA1"/>
          <w:vertAlign w:val="superscript"/>
        </w:rPr>
        <w:t>143</w:t>
      </w:r>
      <w:r>
        <w:rPr>
          <w:color w:val="005DA1"/>
          <w:vertAlign w:val="baseline"/>
        </w:rPr>
        <w:t> </w:t>
      </w:r>
      <w:r>
        <w:rPr>
          <w:vertAlign w:val="baseline"/>
        </w:rPr>
        <w:t>On a similar principle a company (A) </w:t>
      </w:r>
      <w:bookmarkStart w:name="_bookmark268" w:id="270"/>
      <w:bookmarkEnd w:id="270"/>
      <w:r>
        <w:rPr>
          <w:vertAlign w:val="baseline"/>
        </w:rPr>
        <w:t>has</w:t>
      </w:r>
      <w:r>
        <w:rPr>
          <w:vertAlign w:val="baseline"/>
        </w:rPr>
        <w:t> been held liable in tort to an employee (C) of one of its subsidiaries (B) for asbestosis contracted </w:t>
      </w:r>
      <w:bookmarkStart w:name="_bookmark269" w:id="271"/>
      <w:bookmarkEnd w:id="271"/>
      <w:r>
        <w:rPr>
          <w:vertAlign w:val="baseline"/>
        </w:rPr>
        <w:t>by</w:t>
      </w:r>
      <w:r>
        <w:rPr>
          <w:spacing w:val="-1"/>
          <w:vertAlign w:val="baseline"/>
        </w:rPr>
        <w:t> </w:t>
      </w:r>
      <w:r>
        <w:rPr>
          <w:vertAlign w:val="baseline"/>
        </w:rPr>
        <w:t>C</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course</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employment</w:t>
      </w:r>
      <w:r>
        <w:rPr>
          <w:spacing w:val="-1"/>
          <w:vertAlign w:val="baseline"/>
        </w:rPr>
        <w:t> </w:t>
      </w:r>
      <w:r>
        <w:rPr>
          <w:vertAlign w:val="baseline"/>
        </w:rPr>
        <w:t>with</w:t>
      </w:r>
      <w:r>
        <w:rPr>
          <w:spacing w:val="-1"/>
          <w:vertAlign w:val="baseline"/>
        </w:rPr>
        <w:t> </w:t>
      </w:r>
      <w:r>
        <w:rPr>
          <w:vertAlign w:val="baseline"/>
        </w:rPr>
        <w:t>B,</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no</w:t>
      </w:r>
      <w:r>
        <w:rPr>
          <w:spacing w:val="-1"/>
          <w:vertAlign w:val="baseline"/>
        </w:rPr>
        <w:t> </w:t>
      </w:r>
      <w:r>
        <w:rPr>
          <w:vertAlign w:val="baseline"/>
        </w:rPr>
        <w:t>contract</w:t>
      </w:r>
      <w:r>
        <w:rPr>
          <w:spacing w:val="-1"/>
          <w:vertAlign w:val="baseline"/>
        </w:rPr>
        <w:t> </w:t>
      </w:r>
      <w:r>
        <w:rPr>
          <w:vertAlign w:val="baseline"/>
        </w:rPr>
        <w:t>between</w:t>
      </w:r>
      <w:r>
        <w:rPr>
          <w:spacing w:val="-1"/>
          <w:vertAlign w:val="baseline"/>
        </w:rPr>
        <w:t> </w:t>
      </w:r>
      <w:r>
        <w:rPr>
          <w:vertAlign w:val="baseline"/>
        </w:rPr>
        <w:t>A</w:t>
      </w:r>
      <w:r>
        <w:rPr>
          <w:spacing w:val="-1"/>
          <w:vertAlign w:val="baseline"/>
        </w:rPr>
        <w:t> </w:t>
      </w:r>
      <w:r>
        <w:rPr>
          <w:vertAlign w:val="baseline"/>
        </w:rPr>
        <w:t>and</w:t>
      </w:r>
      <w:r>
        <w:rPr>
          <w:spacing w:val="-1"/>
          <w:vertAlign w:val="baseline"/>
        </w:rPr>
        <w:t> </w:t>
      </w:r>
      <w:r>
        <w:rPr>
          <w:vertAlign w:val="baseline"/>
        </w:rPr>
        <w:t>C.</w:t>
      </w:r>
      <w:r>
        <w:rPr>
          <w:spacing w:val="-2"/>
          <w:vertAlign w:val="baseline"/>
        </w:rPr>
        <w:t> </w:t>
      </w:r>
      <w:r>
        <w:rPr>
          <w:color w:val="005DA1"/>
          <w:u w:val="single" w:color="005DA1"/>
          <w:vertAlign w:val="superscript"/>
        </w:rPr>
        <w:t>144</w:t>
      </w:r>
      <w:r>
        <w:rPr>
          <w:color w:val="005DA1"/>
          <w:vertAlign w:val="baseline"/>
        </w:rPr>
        <w:t> </w:t>
      </w:r>
      <w:bookmarkStart w:name="_bookmark270" w:id="272"/>
      <w:bookmarkEnd w:id="272"/>
      <w:r>
        <w:rPr>
          <w:color w:val="005DA1"/>
          <w:w w:val="92"/>
          <w:vertAlign w:val="baseline"/>
        </w:rPr>
      </w:r>
      <w:r>
        <w:rPr>
          <w:vertAlign w:val="baseline"/>
        </w:rPr>
        <w:t>In a number of cases persons providing professional services, such as solicitors, </w:t>
      </w:r>
      <w:r>
        <w:rPr>
          <w:color w:val="005DA1"/>
          <w:u w:val="single" w:color="005DA1"/>
          <w:vertAlign w:val="superscript"/>
        </w:rPr>
        <w:t>145</w:t>
      </w:r>
      <w:r>
        <w:rPr>
          <w:color w:val="005DA1"/>
          <w:vertAlign w:val="baseline"/>
        </w:rPr>
        <w:t> </w:t>
      </w:r>
      <w:r>
        <w:rPr>
          <w:vertAlign w:val="baseline"/>
        </w:rPr>
        <w:t>insurance </w:t>
      </w:r>
      <w:bookmarkStart w:name="_bookmark271" w:id="273"/>
      <w:bookmarkEnd w:id="273"/>
      <w:r>
        <w:rPr>
          <w:vertAlign w:val="baseline"/>
        </w:rPr>
        <w:t>brokers,</w:t>
      </w:r>
      <w:r>
        <w:rPr>
          <w:vertAlign w:val="baseline"/>
        </w:rPr>
        <w:t> </w:t>
      </w:r>
      <w:r>
        <w:rPr>
          <w:color w:val="005DA1"/>
          <w:u w:val="single" w:color="005DA1"/>
          <w:vertAlign w:val="superscript"/>
        </w:rPr>
        <w:t>146</w:t>
      </w:r>
      <w:r>
        <w:rPr>
          <w:color w:val="005DA1"/>
          <w:vertAlign w:val="baseline"/>
        </w:rPr>
        <w:t> </w:t>
      </w:r>
      <w:r>
        <w:rPr>
          <w:vertAlign w:val="baseline"/>
        </w:rPr>
        <w:t>safety consultants </w:t>
      </w:r>
      <w:r>
        <w:rPr>
          <w:color w:val="005DA1"/>
          <w:u w:val="single" w:color="005DA1"/>
          <w:vertAlign w:val="superscript"/>
        </w:rPr>
        <w:t>147</w:t>
      </w:r>
      <w:r>
        <w:rPr>
          <w:color w:val="005DA1"/>
          <w:vertAlign w:val="baseline"/>
        </w:rPr>
        <w:t> </w:t>
      </w:r>
      <w:r>
        <w:rPr>
          <w:vertAlign w:val="baseline"/>
        </w:rPr>
        <w:t>valuers and surveyors </w:t>
      </w:r>
      <w:r>
        <w:rPr>
          <w:color w:val="005DA1"/>
          <w:u w:val="single" w:color="005DA1"/>
          <w:vertAlign w:val="superscript"/>
        </w:rPr>
        <w:t>148</w:t>
      </w:r>
      <w:r>
        <w:rPr>
          <w:color w:val="005DA1"/>
          <w:vertAlign w:val="baseline"/>
        </w:rPr>
        <w:t> </w:t>
      </w:r>
      <w:r>
        <w:rPr>
          <w:vertAlign w:val="baseline"/>
        </w:rPr>
        <w:t>have been held liable in tort to persons other than their immediate clients </w:t>
      </w:r>
      <w:r>
        <w:rPr>
          <w:color w:val="005DA1"/>
          <w:u w:val="single" w:color="005DA1"/>
          <w:vertAlign w:val="superscript"/>
        </w:rPr>
        <w:t>149</w:t>
      </w:r>
      <w:r>
        <w:rPr>
          <w:color w:val="005DA1"/>
          <w:vertAlign w:val="baseline"/>
        </w:rPr>
        <w:t> </w:t>
      </w:r>
      <w:r>
        <w:rPr>
          <w:vertAlign w:val="baseline"/>
        </w:rPr>
        <w:t>for negligence in the performance of their contracts with these clients. Sometimes the provider of the services is liable in tort because his negligence in performing the contract with his client of itself causes loss to a third party: e.g. where a solicitor’s negligence in </w:t>
      </w:r>
      <w:bookmarkStart w:name="_bookmark272" w:id="274"/>
      <w:bookmarkEnd w:id="274"/>
      <w:r>
        <w:rPr>
          <w:vertAlign w:val="baseline"/>
        </w:rPr>
        <w:t>failing</w:t>
      </w:r>
      <w:r>
        <w:rPr>
          <w:vertAlign w:val="baseline"/>
        </w:rPr>
        <w:t> duly to carry out his client’s testamentary instructions causes an intended gift to a prospective beneficiary</w:t>
      </w:r>
      <w:r>
        <w:rPr>
          <w:spacing w:val="-3"/>
          <w:vertAlign w:val="baseline"/>
        </w:rPr>
        <w:t> </w:t>
      </w:r>
      <w:r>
        <w:rPr>
          <w:vertAlign w:val="baseline"/>
        </w:rPr>
        <w:t>to</w:t>
      </w:r>
      <w:r>
        <w:rPr>
          <w:spacing w:val="-3"/>
          <w:vertAlign w:val="baseline"/>
        </w:rPr>
        <w:t> </w:t>
      </w:r>
      <w:r>
        <w:rPr>
          <w:vertAlign w:val="baseline"/>
        </w:rPr>
        <w:t>fail.</w:t>
      </w:r>
      <w:r>
        <w:rPr>
          <w:spacing w:val="-3"/>
          <w:vertAlign w:val="baseline"/>
        </w:rPr>
        <w:t> </w:t>
      </w:r>
      <w:r>
        <w:rPr>
          <w:color w:val="005DA1"/>
          <w:u w:val="single" w:color="005DA1"/>
          <w:vertAlign w:val="superscript"/>
        </w:rPr>
        <w:t>150</w:t>
      </w:r>
      <w:r>
        <w:rPr>
          <w:color w:val="005DA1"/>
          <w:spacing w:val="-3"/>
          <w:vertAlign w:val="baseline"/>
        </w:rPr>
        <w:t> </w:t>
      </w:r>
      <w:r>
        <w:rPr>
          <w:vertAlign w:val="baseline"/>
        </w:rPr>
        <w:t>Sometimes</w:t>
      </w:r>
      <w:r>
        <w:rPr>
          <w:spacing w:val="-3"/>
          <w:vertAlign w:val="baseline"/>
        </w:rPr>
        <w:t> </w:t>
      </w:r>
      <w:r>
        <w:rPr>
          <w:vertAlign w:val="baseline"/>
        </w:rPr>
        <w:t>the</w:t>
      </w:r>
      <w:r>
        <w:rPr>
          <w:spacing w:val="-3"/>
          <w:vertAlign w:val="baseline"/>
        </w:rPr>
        <w:t> </w:t>
      </w:r>
      <w:r>
        <w:rPr>
          <w:vertAlign w:val="baseline"/>
        </w:rPr>
        <w:t>defendant’s</w:t>
      </w:r>
      <w:r>
        <w:rPr>
          <w:spacing w:val="-3"/>
          <w:vertAlign w:val="baseline"/>
        </w:rPr>
        <w:t> </w:t>
      </w:r>
      <w:r>
        <w:rPr>
          <w:vertAlign w:val="baseline"/>
        </w:rPr>
        <w:t>negligence</w:t>
      </w:r>
      <w:r>
        <w:rPr>
          <w:spacing w:val="-3"/>
          <w:vertAlign w:val="baseline"/>
        </w:rPr>
        <w:t> </w:t>
      </w:r>
      <w:r>
        <w:rPr>
          <w:vertAlign w:val="baseline"/>
        </w:rPr>
        <w:t>results</w:t>
      </w:r>
      <w:r>
        <w:rPr>
          <w:spacing w:val="-3"/>
          <w:vertAlign w:val="baseline"/>
        </w:rPr>
        <w:t> </w:t>
      </w:r>
      <w:r>
        <w:rPr>
          <w:vertAlign w:val="baseline"/>
        </w:rPr>
        <w:t>in</w:t>
      </w:r>
      <w:r>
        <w:rPr>
          <w:spacing w:val="-3"/>
          <w:vertAlign w:val="baseline"/>
        </w:rPr>
        <w:t> </w:t>
      </w:r>
      <w:r>
        <w:rPr>
          <w:vertAlign w:val="baseline"/>
        </w:rPr>
        <w:t>his</w:t>
      </w:r>
      <w:r>
        <w:rPr>
          <w:spacing w:val="-3"/>
          <w:vertAlign w:val="baseline"/>
        </w:rPr>
        <w:t> </w:t>
      </w:r>
      <w:r>
        <w:rPr>
          <w:vertAlign w:val="baseline"/>
        </w:rPr>
        <w:t>making</w:t>
      </w:r>
      <w:r>
        <w:rPr>
          <w:spacing w:val="-3"/>
          <w:vertAlign w:val="baseline"/>
        </w:rPr>
        <w:t> </w:t>
      </w:r>
      <w:r>
        <w:rPr>
          <w:vertAlign w:val="baseline"/>
        </w:rPr>
        <w:t>a</w:t>
      </w:r>
      <w:r>
        <w:rPr>
          <w:spacing w:val="-3"/>
          <w:vertAlign w:val="baseline"/>
        </w:rPr>
        <w:t> </w:t>
      </w:r>
      <w:r>
        <w:rPr>
          <w:vertAlign w:val="baseline"/>
        </w:rPr>
        <w:t>misrepresentation to the third party and the loss is suffered by the latter in consequence of his acting in reliance on that representation: e.g. where a valuer employed by A negligently makes a report on the structure of a </w:t>
      </w:r>
      <w:bookmarkStart w:name="_bookmark273" w:id="275"/>
      <w:bookmarkEnd w:id="275"/>
      <w:r>
        <w:rPr>
          <w:vertAlign w:val="baseline"/>
        </w:rPr>
        <w:t>house</w:t>
      </w:r>
      <w:r>
        <w:rPr>
          <w:vertAlign w:val="baseline"/>
        </w:rPr>
        <w:t> and the report is communicated to B and induces him to buy the house for more than its true value </w:t>
      </w:r>
      <w:r>
        <w:rPr>
          <w:color w:val="005DA1"/>
          <w:u w:val="single" w:color="005DA1"/>
          <w:vertAlign w:val="superscript"/>
        </w:rPr>
        <w:t>151</w:t>
      </w:r>
      <w:r>
        <w:rPr>
          <w:vertAlign w:val="baseline"/>
        </w:rPr>
        <w:t>; or where an accountant employed by X negligently makes a report on the affairs of a </w:t>
      </w:r>
      <w:bookmarkStart w:name="_bookmark274" w:id="276"/>
      <w:bookmarkEnd w:id="276"/>
      <w:r>
        <w:rPr>
          <w:vertAlign w:val="baseline"/>
        </w:rPr>
        <w:t>company</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report</w:t>
      </w:r>
      <w:r>
        <w:rPr>
          <w:spacing w:val="-1"/>
          <w:vertAlign w:val="baseline"/>
        </w:rPr>
        <w:t> </w:t>
      </w:r>
      <w:r>
        <w:rPr>
          <w:vertAlign w:val="baseline"/>
        </w:rPr>
        <w:t>induces</w:t>
      </w:r>
      <w:r>
        <w:rPr>
          <w:spacing w:val="-1"/>
          <w:vertAlign w:val="baseline"/>
        </w:rPr>
        <w:t> </w:t>
      </w:r>
      <w:r>
        <w:rPr>
          <w:vertAlign w:val="baseline"/>
        </w:rPr>
        <w:t>Y</w:t>
      </w:r>
      <w:r>
        <w:rPr>
          <w:spacing w:val="-1"/>
          <w:vertAlign w:val="baseline"/>
        </w:rPr>
        <w:t> </w:t>
      </w:r>
      <w:r>
        <w:rPr>
          <w:vertAlign w:val="baseline"/>
        </w:rPr>
        <w:t>to</w:t>
      </w:r>
      <w:r>
        <w:rPr>
          <w:spacing w:val="-1"/>
          <w:vertAlign w:val="baseline"/>
        </w:rPr>
        <w:t> </w:t>
      </w:r>
      <w:r>
        <w:rPr>
          <w:vertAlign w:val="baseline"/>
        </w:rPr>
        <w:t>invest</w:t>
      </w:r>
      <w:r>
        <w:rPr>
          <w:spacing w:val="-1"/>
          <w:vertAlign w:val="baseline"/>
        </w:rPr>
        <w:t> </w:t>
      </w:r>
      <w:r>
        <w:rPr>
          <w:vertAlign w:val="baseline"/>
        </w:rPr>
        <w:t>money</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company</w:t>
      </w:r>
      <w:r>
        <w:rPr>
          <w:spacing w:val="-1"/>
          <w:vertAlign w:val="baseline"/>
        </w:rPr>
        <w:t> </w:t>
      </w:r>
      <w:r>
        <w:rPr>
          <w:vertAlign w:val="baseline"/>
        </w:rPr>
        <w:t>and</w:t>
      </w:r>
      <w:r>
        <w:rPr>
          <w:spacing w:val="-1"/>
          <w:vertAlign w:val="baseline"/>
        </w:rPr>
        <w:t> </w:t>
      </w:r>
      <w:r>
        <w:rPr>
          <w:vertAlign w:val="baseline"/>
        </w:rPr>
        <w:t>to</w:t>
      </w:r>
      <w:r>
        <w:rPr>
          <w:spacing w:val="-1"/>
          <w:vertAlign w:val="baseline"/>
        </w:rPr>
        <w:t> </w:t>
      </w:r>
      <w:r>
        <w:rPr>
          <w:vertAlign w:val="baseline"/>
        </w:rPr>
        <w:t>suffer</w:t>
      </w:r>
      <w:r>
        <w:rPr>
          <w:spacing w:val="-1"/>
          <w:vertAlign w:val="baseline"/>
        </w:rPr>
        <w:t> </w:t>
      </w:r>
      <w:r>
        <w:rPr>
          <w:vertAlign w:val="baseline"/>
        </w:rPr>
        <w:t>loss</w:t>
      </w:r>
      <w:r>
        <w:rPr>
          <w:spacing w:val="-1"/>
          <w:vertAlign w:val="baseline"/>
        </w:rPr>
        <w:t> </w:t>
      </w:r>
      <w:r>
        <w:rPr>
          <w:vertAlign w:val="baseline"/>
        </w:rPr>
        <w:t>by</w:t>
      </w:r>
      <w:r>
        <w:rPr>
          <w:spacing w:val="-1"/>
          <w:vertAlign w:val="baseline"/>
        </w:rPr>
        <w:t> </w:t>
      </w:r>
      <w:r>
        <w:rPr>
          <w:vertAlign w:val="baseline"/>
        </w:rPr>
        <w:t>reason</w:t>
      </w:r>
      <w:r>
        <w:rPr>
          <w:spacing w:val="-1"/>
          <w:vertAlign w:val="baseline"/>
        </w:rPr>
        <w:t> </w:t>
      </w:r>
      <w:r>
        <w:rPr>
          <w:vertAlign w:val="baseline"/>
        </w:rPr>
        <w:t>of</w:t>
      </w:r>
      <w:r>
        <w:rPr>
          <w:spacing w:val="-1"/>
          <w:vertAlign w:val="baseline"/>
        </w:rPr>
        <w:t> </w:t>
      </w:r>
      <w:r>
        <w:rPr>
          <w:vertAlign w:val="baseline"/>
        </w:rPr>
        <w:t>the </w:t>
      </w:r>
      <w:bookmarkStart w:name="_bookmark275" w:id="277"/>
      <w:bookmarkEnd w:id="277"/>
      <w:r>
        <w:rPr>
          <w:vertAlign w:val="baseline"/>
        </w:rPr>
        <w:t>falsity</w:t>
      </w:r>
      <w:r>
        <w:rPr>
          <w:vertAlign w:val="baseline"/>
        </w:rPr>
        <w:t> of the report. </w:t>
      </w:r>
      <w:r>
        <w:rPr>
          <w:color w:val="005DA1"/>
          <w:u w:val="single" w:color="005DA1"/>
          <w:vertAlign w:val="superscript"/>
        </w:rPr>
        <w:t>152</w:t>
      </w:r>
      <w:r>
        <w:rPr>
          <w:color w:val="005DA1"/>
          <w:vertAlign w:val="baseline"/>
        </w:rPr>
        <w:t> </w:t>
      </w:r>
      <w:r>
        <w:rPr>
          <w:vertAlign w:val="baseline"/>
        </w:rPr>
        <w:t>The types of relationships out of which such liability in tort for</w:t>
      </w:r>
      <w:r>
        <w:rPr>
          <w:spacing w:val="40"/>
          <w:vertAlign w:val="baseline"/>
        </w:rPr>
        <w:t> </w:t>
      </w:r>
      <w:r>
        <w:rPr>
          <w:vertAlign w:val="baseline"/>
        </w:rPr>
        <w:t>misrepresentation can arise are more fully discussed in Chapter 7.</w:t>
      </w:r>
      <w:r>
        <w:rPr>
          <w:spacing w:val="-1"/>
          <w:vertAlign w:val="baseline"/>
        </w:rPr>
        <w:t> </w:t>
      </w:r>
      <w:r>
        <w:rPr>
          <w:color w:val="005DA1"/>
          <w:u w:val="single" w:color="005DA1"/>
          <w:vertAlign w:val="superscript"/>
        </w:rPr>
        <w:t>153</w:t>
      </w:r>
      <w:r>
        <w:rPr>
          <w:color w:val="005DA1"/>
          <w:vertAlign w:val="baseline"/>
        </w:rPr>
        <w:t> </w:t>
      </w:r>
      <w:r>
        <w:rPr>
          <w:vertAlign w:val="baseline"/>
        </w:rPr>
        <w:t>The only point to be made here is that such liability can be incurred to the claimant even though the misrepresentation giving rise to it is made in the performance of a contract to which he is not a party.</w:t>
      </w:r>
    </w:p>
    <w:p>
      <w:pPr>
        <w:pStyle w:val="BodyText"/>
      </w:pPr>
    </w:p>
    <w:p>
      <w:pPr>
        <w:pStyle w:val="BodyText"/>
        <w:spacing w:before="29"/>
      </w:pPr>
    </w:p>
    <w:p>
      <w:pPr>
        <w:spacing w:before="1"/>
        <w:ind w:left="165" w:right="0" w:firstLine="0"/>
        <w:jc w:val="both"/>
        <w:rPr>
          <w:rFonts w:ascii="Arial"/>
          <w:b/>
          <w:sz w:val="18"/>
        </w:rPr>
      </w:pPr>
      <w:r>
        <w:rPr>
          <w:rFonts w:ascii="Arial"/>
          <w:b/>
          <w:sz w:val="18"/>
        </w:rPr>
        <w:t>The Junior Books </w:t>
      </w:r>
      <w:r>
        <w:rPr>
          <w:rFonts w:ascii="Arial"/>
          <w:b/>
          <w:spacing w:val="-4"/>
          <w:sz w:val="18"/>
        </w:rPr>
        <w:t>case</w:t>
      </w:r>
    </w:p>
    <w:p>
      <w:pPr>
        <w:pStyle w:val="BodyText"/>
        <w:spacing w:before="41"/>
        <w:rPr>
          <w:rFonts w:ascii="Arial"/>
          <w:b/>
          <w:sz w:val="18"/>
        </w:rPr>
      </w:pPr>
    </w:p>
    <w:p>
      <w:pPr>
        <w:pStyle w:val="Heading2"/>
      </w:pPr>
      <w:r>
        <w:rPr/>
        <w:t>18-</w:t>
      </w:r>
      <w:r>
        <w:rPr>
          <w:spacing w:val="-5"/>
        </w:rPr>
        <w:t>025</w:t>
      </w:r>
    </w:p>
    <w:p>
      <w:pPr>
        <w:spacing w:line="227" w:lineRule="exact" w:before="199"/>
        <w:ind w:left="165" w:right="0" w:firstLine="0"/>
        <w:jc w:val="both"/>
        <w:rPr>
          <w:rFonts w:ascii="Arial"/>
          <w:i/>
          <w:sz w:val="20"/>
        </w:rPr>
      </w:pPr>
      <w:bookmarkStart w:name="_bookmark276" w:id="278"/>
      <w:bookmarkEnd w:id="278"/>
      <w:r>
        <w:rPr/>
      </w:r>
      <w:r>
        <w:rPr>
          <w:sz w:val="20"/>
        </w:rPr>
        <w:t>A</w:t>
      </w:r>
      <w:r>
        <w:rPr>
          <w:spacing w:val="2"/>
          <w:sz w:val="20"/>
        </w:rPr>
        <w:t> </w:t>
      </w:r>
      <w:r>
        <w:rPr>
          <w:sz w:val="20"/>
        </w:rPr>
        <w:t>controversial</w:t>
      </w:r>
      <w:r>
        <w:rPr>
          <w:spacing w:val="2"/>
          <w:sz w:val="20"/>
        </w:rPr>
        <w:t> </w:t>
      </w:r>
      <w:r>
        <w:rPr>
          <w:sz w:val="20"/>
        </w:rPr>
        <w:t>extension</w:t>
      </w:r>
      <w:r>
        <w:rPr>
          <w:spacing w:val="2"/>
          <w:sz w:val="20"/>
        </w:rPr>
        <w:t> </w:t>
      </w:r>
      <w:r>
        <w:rPr>
          <w:sz w:val="20"/>
        </w:rPr>
        <w:t>of</w:t>
      </w:r>
      <w:r>
        <w:rPr>
          <w:spacing w:val="2"/>
          <w:sz w:val="20"/>
        </w:rPr>
        <w:t> </w:t>
      </w:r>
      <w:r>
        <w:rPr>
          <w:sz w:val="20"/>
        </w:rPr>
        <w:t>tort</w:t>
      </w:r>
      <w:r>
        <w:rPr>
          <w:spacing w:val="2"/>
          <w:sz w:val="20"/>
        </w:rPr>
        <w:t> </w:t>
      </w:r>
      <w:r>
        <w:rPr>
          <w:sz w:val="20"/>
        </w:rPr>
        <w:t>liability</w:t>
      </w:r>
      <w:r>
        <w:rPr>
          <w:spacing w:val="2"/>
          <w:sz w:val="20"/>
        </w:rPr>
        <w:t> </w:t>
      </w:r>
      <w:r>
        <w:rPr>
          <w:sz w:val="20"/>
        </w:rPr>
        <w:t>to</w:t>
      </w:r>
      <w:r>
        <w:rPr>
          <w:spacing w:val="2"/>
          <w:sz w:val="20"/>
        </w:rPr>
        <w:t> </w:t>
      </w:r>
      <w:r>
        <w:rPr>
          <w:sz w:val="20"/>
        </w:rPr>
        <w:t>a</w:t>
      </w:r>
      <w:r>
        <w:rPr>
          <w:spacing w:val="2"/>
          <w:sz w:val="20"/>
        </w:rPr>
        <w:t> </w:t>
      </w:r>
      <w:r>
        <w:rPr>
          <w:sz w:val="20"/>
        </w:rPr>
        <w:t>third</w:t>
      </w:r>
      <w:r>
        <w:rPr>
          <w:spacing w:val="2"/>
          <w:sz w:val="20"/>
        </w:rPr>
        <w:t> </w:t>
      </w:r>
      <w:r>
        <w:rPr>
          <w:sz w:val="20"/>
        </w:rPr>
        <w:t>party</w:t>
      </w:r>
      <w:r>
        <w:rPr>
          <w:spacing w:val="2"/>
          <w:sz w:val="20"/>
        </w:rPr>
        <w:t> </w:t>
      </w:r>
      <w:r>
        <w:rPr>
          <w:sz w:val="20"/>
        </w:rPr>
        <w:t>was</w:t>
      </w:r>
      <w:r>
        <w:rPr>
          <w:spacing w:val="2"/>
          <w:sz w:val="20"/>
        </w:rPr>
        <w:t> </w:t>
      </w:r>
      <w:r>
        <w:rPr>
          <w:sz w:val="20"/>
        </w:rPr>
        <w:t>made</w:t>
      </w:r>
      <w:r>
        <w:rPr>
          <w:spacing w:val="2"/>
          <w:sz w:val="20"/>
        </w:rPr>
        <w:t> </w:t>
      </w:r>
      <w:r>
        <w:rPr>
          <w:sz w:val="20"/>
        </w:rPr>
        <w:t>in</w:t>
      </w:r>
      <w:r>
        <w:rPr>
          <w:spacing w:val="1"/>
          <w:sz w:val="20"/>
        </w:rPr>
        <w:t> </w:t>
      </w:r>
      <w:r>
        <w:rPr>
          <w:rFonts w:ascii="Arial"/>
          <w:i/>
          <w:sz w:val="20"/>
        </w:rPr>
        <w:t>Junior</w:t>
      </w:r>
      <w:r>
        <w:rPr>
          <w:rFonts w:ascii="Arial"/>
          <w:i/>
          <w:spacing w:val="2"/>
          <w:sz w:val="20"/>
        </w:rPr>
        <w:t> </w:t>
      </w:r>
      <w:r>
        <w:rPr>
          <w:rFonts w:ascii="Arial"/>
          <w:i/>
          <w:sz w:val="20"/>
        </w:rPr>
        <w:t>Books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Veitchi</w:t>
      </w:r>
      <w:r>
        <w:rPr>
          <w:rFonts w:ascii="Arial"/>
          <w:i/>
          <w:spacing w:val="2"/>
          <w:sz w:val="20"/>
        </w:rPr>
        <w:t> </w:t>
      </w:r>
      <w:r>
        <w:rPr>
          <w:rFonts w:ascii="Arial"/>
          <w:i/>
          <w:sz w:val="20"/>
        </w:rPr>
        <w:t>Co</w:t>
      </w:r>
      <w:r>
        <w:rPr>
          <w:rFonts w:ascii="Arial"/>
          <w:i/>
          <w:spacing w:val="2"/>
          <w:sz w:val="20"/>
        </w:rPr>
        <w:t> </w:t>
      </w:r>
      <w:r>
        <w:rPr>
          <w:rFonts w:ascii="Arial"/>
          <w:i/>
          <w:spacing w:val="-5"/>
          <w:sz w:val="20"/>
        </w:rPr>
        <w:t>Ltd</w:t>
      </w:r>
    </w:p>
    <w:p>
      <w:pPr>
        <w:pStyle w:val="BodyText"/>
        <w:spacing w:line="235" w:lineRule="auto" w:before="1"/>
        <w:ind w:left="165" w:right="167"/>
        <w:jc w:val="both"/>
      </w:pPr>
      <w:r>
        <w:rPr/>
        <w:t>, </w:t>
      </w:r>
      <w:r>
        <w:rPr>
          <w:color w:val="005DA1"/>
          <w:u w:val="single" w:color="005DA1"/>
          <w:vertAlign w:val="superscript"/>
        </w:rPr>
        <w:t>154</w:t>
      </w:r>
      <w:r>
        <w:rPr>
          <w:color w:val="005DA1"/>
          <w:vertAlign w:val="baseline"/>
        </w:rPr>
        <w:t> </w:t>
      </w:r>
      <w:r>
        <w:rPr>
          <w:vertAlign w:val="baseline"/>
        </w:rPr>
        <w:t>where B had undertaken to build a factory for C by a contract which entitled C to nominate </w:t>
      </w:r>
      <w:bookmarkStart w:name="_bookmark277" w:id="279"/>
      <w:bookmarkEnd w:id="279"/>
      <w:r>
        <w:rPr>
          <w:vertAlign w:val="baseline"/>
        </w:rPr>
        <w:t>subcontractors.</w:t>
      </w:r>
      <w:r>
        <w:rPr>
          <w:vertAlign w:val="baseline"/>
        </w:rPr>
        <w:t> C nominated A as flooring sub-contractor; A in consequence entered into a </w:t>
      </w:r>
      <w:r>
        <w:rPr>
          <w:vertAlign w:val="baseline"/>
        </w:rPr>
        <w:t>contract with B; but no contract came into existence between A and C. </w:t>
      </w:r>
      <w:r>
        <w:rPr>
          <w:color w:val="005DA1"/>
          <w:u w:val="single" w:color="005DA1"/>
          <w:vertAlign w:val="superscript"/>
        </w:rPr>
        <w:t>155</w:t>
      </w:r>
      <w:r>
        <w:rPr>
          <w:color w:val="005DA1"/>
          <w:vertAlign w:val="baseline"/>
        </w:rPr>
        <w:t> </w:t>
      </w:r>
      <w:r>
        <w:rPr>
          <w:vertAlign w:val="baseline"/>
        </w:rPr>
        <w:t>The floor later cracked and, on the assumption</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was</w:t>
      </w:r>
      <w:r>
        <w:rPr>
          <w:spacing w:val="-2"/>
          <w:vertAlign w:val="baseline"/>
        </w:rPr>
        <w:t> </w:t>
      </w:r>
      <w:r>
        <w:rPr>
          <w:vertAlign w:val="baseline"/>
        </w:rPr>
        <w:t>due</w:t>
      </w:r>
      <w:r>
        <w:rPr>
          <w:spacing w:val="-2"/>
          <w:vertAlign w:val="baseline"/>
        </w:rPr>
        <w:t> </w:t>
      </w:r>
      <w:r>
        <w:rPr>
          <w:vertAlign w:val="baseline"/>
        </w:rPr>
        <w:t>to</w:t>
      </w:r>
      <w:r>
        <w:rPr>
          <w:spacing w:val="-2"/>
          <w:vertAlign w:val="baseline"/>
        </w:rPr>
        <w:t> </w:t>
      </w:r>
      <w:r>
        <w:rPr>
          <w:vertAlign w:val="baseline"/>
        </w:rPr>
        <w:t>A’s</w:t>
      </w:r>
      <w:r>
        <w:rPr>
          <w:spacing w:val="-2"/>
          <w:vertAlign w:val="baseline"/>
        </w:rPr>
        <w:t> </w:t>
      </w:r>
      <w:r>
        <w:rPr>
          <w:vertAlign w:val="baseline"/>
        </w:rPr>
        <w:t>negligence</w:t>
      </w:r>
      <w:r>
        <w:rPr>
          <w:spacing w:val="-2"/>
          <w:vertAlign w:val="baseline"/>
        </w:rPr>
        <w:t> </w:t>
      </w:r>
      <w:r>
        <w:rPr>
          <w:vertAlign w:val="baseline"/>
        </w:rPr>
        <w:t>in</w:t>
      </w:r>
      <w:r>
        <w:rPr>
          <w:spacing w:val="-2"/>
          <w:vertAlign w:val="baseline"/>
        </w:rPr>
        <w:t> </w:t>
      </w:r>
      <w:r>
        <w:rPr>
          <w:vertAlign w:val="baseline"/>
        </w:rPr>
        <w:t>doing</w:t>
      </w:r>
      <w:r>
        <w:rPr>
          <w:spacing w:val="-2"/>
          <w:vertAlign w:val="baseline"/>
        </w:rPr>
        <w:t> </w:t>
      </w:r>
      <w:r>
        <w:rPr>
          <w:vertAlign w:val="baseline"/>
        </w:rPr>
        <w:t>the</w:t>
      </w:r>
      <w:r>
        <w:rPr>
          <w:spacing w:val="-2"/>
          <w:vertAlign w:val="baseline"/>
        </w:rPr>
        <w:t> </w:t>
      </w:r>
      <w:r>
        <w:rPr>
          <w:vertAlign w:val="baseline"/>
        </w:rPr>
        <w:t>work,</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was</w:t>
      </w:r>
      <w:r>
        <w:rPr>
          <w:spacing w:val="-2"/>
          <w:vertAlign w:val="baseline"/>
        </w:rPr>
        <w:t> </w:t>
      </w:r>
      <w:r>
        <w:rPr>
          <w:vertAlign w:val="baseline"/>
        </w:rPr>
        <w:t>liable</w:t>
      </w:r>
      <w:r>
        <w:rPr>
          <w:spacing w:val="-2"/>
          <w:vertAlign w:val="baseline"/>
        </w:rPr>
        <w:t> </w:t>
      </w:r>
      <w:r>
        <w:rPr>
          <w:vertAlign w:val="baseline"/>
        </w:rPr>
        <w:t>to</w:t>
      </w:r>
      <w:r>
        <w:rPr>
          <w:spacing w:val="-2"/>
          <w:vertAlign w:val="baseline"/>
        </w:rPr>
        <w:t> </w:t>
      </w:r>
      <w:r>
        <w:rPr>
          <w:vertAlign w:val="baseline"/>
        </w:rPr>
        <w:t>C</w:t>
      </w:r>
      <w:r>
        <w:rPr>
          <w:spacing w:val="-2"/>
          <w:vertAlign w:val="baseline"/>
        </w:rPr>
        <w:t> </w:t>
      </w:r>
      <w:r>
        <w:rPr>
          <w:vertAlign w:val="baseline"/>
        </w:rPr>
        <w:t>for the loss suffered by C in consequence of the fact that the work had to be done again. At first sight,</w:t>
      </w:r>
      <w:r>
        <w:rPr>
          <w:spacing w:val="40"/>
          <w:vertAlign w:val="baseline"/>
        </w:rPr>
        <w:t> </w:t>
      </w:r>
      <w:r>
        <w:rPr>
          <w:vertAlign w:val="baseline"/>
        </w:rPr>
        <w:t>this represented a considerable encroachment on the common law doctrine of privity; but the</w:t>
      </w:r>
      <w:r>
        <w:rPr>
          <w:spacing w:val="40"/>
          <w:vertAlign w:val="baseline"/>
        </w:rPr>
        <w:t> </w:t>
      </w:r>
      <w:r>
        <w:rPr>
          <w:vertAlign w:val="baseline"/>
        </w:rPr>
        <w:t>following discussion will show that later decisions have taken a highly restrictive view of the scope of the </w:t>
      </w:r>
      <w:r>
        <w:rPr>
          <w:rFonts w:ascii="Arial" w:hAnsi="Arial"/>
          <w:i/>
          <w:vertAlign w:val="baseline"/>
        </w:rPr>
        <w:t>Junior Books </w:t>
      </w:r>
      <w:r>
        <w:rPr>
          <w:vertAlign w:val="baseline"/>
        </w:rPr>
        <w:t>case.</w:t>
      </w:r>
    </w:p>
    <w:p>
      <w:pPr>
        <w:pStyle w:val="BodyText"/>
        <w:spacing w:after="0" w:line="235" w:lineRule="auto"/>
        <w:jc w:val="both"/>
        <w:sectPr>
          <w:headerReference w:type="default" r:id="rId12"/>
          <w:pgSz w:w="11900" w:h="16840"/>
          <w:pgMar w:header="971" w:footer="0" w:top="1160" w:bottom="280" w:left="1275" w:right="1275"/>
          <w:pgNumType w:start="1"/>
        </w:sectPr>
      </w:pPr>
    </w:p>
    <w:p>
      <w:pPr>
        <w:pStyle w:val="BodyText"/>
        <w:rPr>
          <w:sz w:val="18"/>
        </w:rPr>
      </w:pPr>
    </w:p>
    <w:p>
      <w:pPr>
        <w:pStyle w:val="BodyText"/>
        <w:spacing w:before="119"/>
        <w:rPr>
          <w:sz w:val="18"/>
        </w:rPr>
      </w:pPr>
    </w:p>
    <w:p>
      <w:pPr>
        <w:spacing w:before="0"/>
        <w:ind w:left="165" w:right="0" w:firstLine="0"/>
        <w:jc w:val="left"/>
        <w:rPr>
          <w:rFonts w:ascii="Arial"/>
          <w:b/>
          <w:sz w:val="18"/>
        </w:rPr>
      </w:pPr>
      <w:r>
        <w:rPr>
          <w:rFonts w:ascii="Arial"/>
          <w:b/>
          <w:sz w:val="18"/>
        </w:rPr>
        <w:t>Tort and contract liability </w:t>
      </w:r>
      <w:r>
        <w:rPr>
          <w:rFonts w:ascii="Arial"/>
          <w:b/>
          <w:spacing w:val="-2"/>
          <w:sz w:val="18"/>
        </w:rPr>
        <w:t>distinguished</w:t>
      </w:r>
    </w:p>
    <w:p>
      <w:pPr>
        <w:pStyle w:val="BodyText"/>
        <w:spacing w:before="41"/>
        <w:rPr>
          <w:rFonts w:ascii="Arial"/>
          <w:b/>
          <w:sz w:val="18"/>
        </w:rPr>
      </w:pPr>
    </w:p>
    <w:p>
      <w:pPr>
        <w:pStyle w:val="Heading2"/>
        <w:spacing w:before="1"/>
      </w:pPr>
      <w:r>
        <w:rPr/>
        <w:t>18-</w:t>
      </w:r>
      <w:r>
        <w:rPr>
          <w:spacing w:val="-5"/>
        </w:rPr>
        <w:t>026</w:t>
      </w:r>
    </w:p>
    <w:p>
      <w:pPr>
        <w:pStyle w:val="BodyText"/>
        <w:spacing w:line="235" w:lineRule="auto" w:before="202"/>
        <w:ind w:left="165" w:right="167"/>
        <w:jc w:val="both"/>
      </w:pPr>
      <w:r>
        <w:rPr/>
        <w:t>In the situations described in paragraphs 18-024 and 18-025 above, A’s liability to C is in tort and not on the contract between A and B as such: both the basis and the standard of liability may </w:t>
      </w:r>
      <w:r>
        <w:rPr/>
        <w:t>differ according to whether A is being sued on the contract by B or in tort by C. Thus in the </w:t>
      </w:r>
      <w:r>
        <w:rPr>
          <w:rFonts w:ascii="Arial" w:hAnsi="Arial"/>
          <w:i/>
        </w:rPr>
        <w:t>Junior Books </w:t>
      </w:r>
      <w:r>
        <w:rPr/>
        <w:t>case it does not seem that A would have been liable in tort to C if A had wrongfully repudiated his </w:t>
      </w:r>
      <w:bookmarkStart w:name="_bookmark278" w:id="280"/>
      <w:bookmarkEnd w:id="280"/>
      <w:r>
        <w:rPr/>
        <w:t>contract</w:t>
      </w:r>
      <w:r>
        <w:rPr/>
        <w:t> with B and done no work under it at all, with the result that completion of the building was delayed and C suffered loss. </w:t>
      </w:r>
      <w:r>
        <w:rPr>
          <w:color w:val="005DA1"/>
          <w:u w:val="single" w:color="005DA1"/>
          <w:vertAlign w:val="superscript"/>
        </w:rPr>
        <w:t>156</w:t>
      </w:r>
    </w:p>
    <w:p>
      <w:pPr>
        <w:pStyle w:val="BodyText"/>
      </w:pPr>
    </w:p>
    <w:p>
      <w:pPr>
        <w:pStyle w:val="BodyText"/>
        <w:spacing w:before="36"/>
      </w:pPr>
    </w:p>
    <w:p>
      <w:pPr>
        <w:spacing w:before="1"/>
        <w:ind w:left="165" w:right="0" w:firstLine="0"/>
        <w:jc w:val="left"/>
        <w:rPr>
          <w:rFonts w:ascii="Arial"/>
          <w:b/>
          <w:sz w:val="18"/>
        </w:rPr>
      </w:pPr>
      <w:r>
        <w:rPr>
          <w:rFonts w:ascii="Arial"/>
          <w:b/>
          <w:spacing w:val="-2"/>
          <w:sz w:val="18"/>
        </w:rPr>
        <w:t>Omissions</w:t>
      </w:r>
    </w:p>
    <w:p>
      <w:pPr>
        <w:pStyle w:val="BodyText"/>
        <w:spacing w:before="41"/>
        <w:rPr>
          <w:rFonts w:ascii="Arial"/>
          <w:b/>
          <w:sz w:val="18"/>
        </w:rPr>
      </w:pPr>
    </w:p>
    <w:p>
      <w:pPr>
        <w:pStyle w:val="Heading2"/>
      </w:pPr>
      <w:r>
        <w:rPr/>
        <w:t>18-</w:t>
      </w:r>
      <w:r>
        <w:rPr>
          <w:spacing w:val="-5"/>
        </w:rPr>
        <w:t>027</w:t>
      </w:r>
    </w:p>
    <w:p>
      <w:pPr>
        <w:pStyle w:val="BodyText"/>
        <w:spacing w:line="235" w:lineRule="auto" w:before="203"/>
        <w:ind w:left="164" w:right="167"/>
        <w:jc w:val="both"/>
      </w:pPr>
      <w:bookmarkStart w:name="_bookmark279" w:id="281"/>
      <w:bookmarkEnd w:id="281"/>
      <w:r>
        <w:rPr/>
      </w:r>
      <w:r>
        <w:rPr/>
        <w:t>In one group of cases, A has indeed been held liable in tort to C for simple failure to take steps in the performance of his (A’s) contract with B. These are cases, such as </w:t>
      </w:r>
      <w:r>
        <w:rPr>
          <w:rFonts w:ascii="Arial" w:hAnsi="Arial"/>
          <w:i/>
        </w:rPr>
        <w:t>White v Jones</w:t>
      </w:r>
      <w:r>
        <w:rPr/>
        <w:t>, </w:t>
      </w:r>
      <w:r>
        <w:rPr>
          <w:color w:val="005DA1"/>
          <w:u w:val="single" w:color="005DA1"/>
          <w:vertAlign w:val="superscript"/>
        </w:rPr>
        <w:t>157</w:t>
      </w:r>
      <w:r>
        <w:rPr>
          <w:color w:val="005DA1"/>
          <w:vertAlign w:val="baseline"/>
        </w:rPr>
        <w:t> </w:t>
      </w:r>
      <w:r>
        <w:rPr>
          <w:vertAlign w:val="baseline"/>
        </w:rPr>
        <w:t>which hold that where a solicitor (A) negligently fails to carry out his client’s (B’s) instructions to make a will in </w:t>
      </w:r>
      <w:r>
        <w:rPr>
          <w:vertAlign w:val="baseline"/>
        </w:rPr>
        <w:t>favour of C, then A can, after B’s death, be held liable in tort to C for the value of the benefit lost by C as a </w:t>
      </w:r>
      <w:bookmarkStart w:name="_bookmark280" w:id="282"/>
      <w:bookmarkEnd w:id="282"/>
      <w:r>
        <w:rPr>
          <w:vertAlign w:val="baseline"/>
        </w:rPr>
        <w:t>result</w:t>
      </w:r>
      <w:r>
        <w:rPr>
          <w:vertAlign w:val="baseline"/>
        </w:rPr>
        <w:t> of A’s failure to act. But one reason for this conclusion was that A’s omission made him liable in </w:t>
      </w:r>
      <w:bookmarkStart w:name="_bookmark281" w:id="283"/>
      <w:bookmarkEnd w:id="283"/>
      <w:r>
        <w:rPr>
          <w:vertAlign w:val="baseline"/>
        </w:rPr>
        <w:t>tort,</w:t>
      </w:r>
      <w:r>
        <w:rPr>
          <w:vertAlign w:val="baseline"/>
        </w:rPr>
        <w:t> as well as for breach of contract, </w:t>
      </w:r>
      <w:r>
        <w:rPr>
          <w:rFonts w:ascii="Arial" w:hAnsi="Arial"/>
          <w:i/>
          <w:vertAlign w:val="baseline"/>
        </w:rPr>
        <w:t>even to his own client </w:t>
      </w:r>
      <w:r>
        <w:rPr>
          <w:vertAlign w:val="baseline"/>
        </w:rPr>
        <w:t>B. </w:t>
      </w:r>
      <w:r>
        <w:rPr>
          <w:color w:val="005DA1"/>
          <w:u w:val="single" w:color="005DA1"/>
          <w:vertAlign w:val="superscript"/>
        </w:rPr>
        <w:t>158</w:t>
      </w:r>
      <w:r>
        <w:rPr>
          <w:color w:val="005DA1"/>
          <w:vertAlign w:val="baseline"/>
        </w:rPr>
        <w:t> </w:t>
      </w:r>
      <w:r>
        <w:rPr>
          <w:vertAlign w:val="baseline"/>
        </w:rPr>
        <w:t>This would not have been the position if, in the </w:t>
      </w:r>
      <w:r>
        <w:rPr>
          <w:rFonts w:ascii="Arial" w:hAnsi="Arial"/>
          <w:i/>
          <w:vertAlign w:val="baseline"/>
        </w:rPr>
        <w:t>Junior Books </w:t>
      </w:r>
      <w:r>
        <w:rPr>
          <w:vertAlign w:val="baseline"/>
        </w:rPr>
        <w:t>case, </w:t>
      </w:r>
      <w:r>
        <w:rPr>
          <w:color w:val="005DA1"/>
          <w:u w:val="single" w:color="005DA1"/>
          <w:vertAlign w:val="superscript"/>
        </w:rPr>
        <w:t>159</w:t>
      </w:r>
      <w:r>
        <w:rPr>
          <w:color w:val="005DA1"/>
          <w:vertAlign w:val="baseline"/>
        </w:rPr>
        <w:t> </w:t>
      </w:r>
      <w:r>
        <w:rPr>
          <w:vertAlign w:val="baseline"/>
        </w:rPr>
        <w:t>A had wrongfully repudiated his contract with B or had simply failed to do any work under it: such a repudiation or omission would have made A liable to B only for breach</w:t>
      </w:r>
      <w:r>
        <w:rPr>
          <w:spacing w:val="-2"/>
          <w:vertAlign w:val="baseline"/>
        </w:rPr>
        <w:t> </w:t>
      </w:r>
      <w:r>
        <w:rPr>
          <w:vertAlign w:val="baseline"/>
        </w:rPr>
        <w:t>of</w:t>
      </w:r>
      <w:r>
        <w:rPr>
          <w:spacing w:val="-2"/>
          <w:vertAlign w:val="baseline"/>
        </w:rPr>
        <w:t> </w:t>
      </w:r>
      <w:r>
        <w:rPr>
          <w:vertAlign w:val="baseline"/>
        </w:rPr>
        <w:t>contract</w:t>
      </w:r>
      <w:r>
        <w:rPr>
          <w:spacing w:val="-2"/>
          <w:vertAlign w:val="baseline"/>
        </w:rPr>
        <w:t> </w:t>
      </w:r>
      <w:r>
        <w:rPr>
          <w:vertAlign w:val="baseline"/>
        </w:rPr>
        <w:t>(and</w:t>
      </w:r>
      <w:r>
        <w:rPr>
          <w:spacing w:val="-2"/>
          <w:vertAlign w:val="baseline"/>
        </w:rPr>
        <w:t> </w:t>
      </w:r>
      <w:r>
        <w:rPr>
          <w:vertAlign w:val="baseline"/>
        </w:rPr>
        <w:t>not</w:t>
      </w:r>
      <w:r>
        <w:rPr>
          <w:spacing w:val="-2"/>
          <w:vertAlign w:val="baseline"/>
        </w:rPr>
        <w:t> </w:t>
      </w:r>
      <w:r>
        <w:rPr>
          <w:vertAlign w:val="baseline"/>
        </w:rPr>
        <w:t>in</w:t>
      </w:r>
      <w:r>
        <w:rPr>
          <w:spacing w:val="-2"/>
          <w:vertAlign w:val="baseline"/>
        </w:rPr>
        <w:t> </w:t>
      </w:r>
      <w:r>
        <w:rPr>
          <w:vertAlign w:val="baseline"/>
        </w:rPr>
        <w:t>tort).</w:t>
      </w:r>
      <w:r>
        <w:rPr>
          <w:spacing w:val="-2"/>
          <w:vertAlign w:val="baseline"/>
        </w:rPr>
        <w:t> </w:t>
      </w:r>
      <w:r>
        <w:rPr>
          <w:vertAlign w:val="baseline"/>
        </w:rPr>
        <w:t>The</w:t>
      </w:r>
      <w:r>
        <w:rPr>
          <w:spacing w:val="-2"/>
          <w:vertAlign w:val="baseline"/>
        </w:rPr>
        <w:t> </w:t>
      </w:r>
      <w:r>
        <w:rPr>
          <w:vertAlign w:val="baseline"/>
        </w:rPr>
        <w:t>“disappointed</w:t>
      </w:r>
      <w:r>
        <w:rPr>
          <w:spacing w:val="-2"/>
          <w:vertAlign w:val="baseline"/>
        </w:rPr>
        <w:t> </w:t>
      </w:r>
      <w:r>
        <w:rPr>
          <w:vertAlign w:val="baseline"/>
        </w:rPr>
        <w:t>beneficiary”</w:t>
      </w:r>
      <w:r>
        <w:rPr>
          <w:spacing w:val="-2"/>
          <w:vertAlign w:val="baseline"/>
        </w:rPr>
        <w:t> </w:t>
      </w:r>
      <w:r>
        <w:rPr>
          <w:vertAlign w:val="baseline"/>
        </w:rPr>
        <w:t>cases</w:t>
      </w:r>
      <w:r>
        <w:rPr>
          <w:spacing w:val="-2"/>
          <w:vertAlign w:val="baseline"/>
        </w:rPr>
        <w:t> </w:t>
      </w:r>
      <w:r>
        <w:rPr>
          <w:vertAlign w:val="baseline"/>
        </w:rPr>
        <w:t>are</w:t>
      </w:r>
      <w:r>
        <w:rPr>
          <w:spacing w:val="-2"/>
          <w:vertAlign w:val="baseline"/>
        </w:rPr>
        <w:t> </w:t>
      </w:r>
      <w:r>
        <w:rPr>
          <w:vertAlign w:val="baseline"/>
        </w:rPr>
        <w:t>also</w:t>
      </w:r>
      <w:r>
        <w:rPr>
          <w:spacing w:val="-2"/>
          <w:vertAlign w:val="baseline"/>
        </w:rPr>
        <w:t> </w:t>
      </w:r>
      <w:r>
        <w:rPr>
          <w:vertAlign w:val="baseline"/>
        </w:rPr>
        <w:t>distinguishable</w:t>
      </w:r>
      <w:r>
        <w:rPr>
          <w:spacing w:val="-2"/>
          <w:vertAlign w:val="baseline"/>
        </w:rPr>
        <w:t> </w:t>
      </w:r>
      <w:r>
        <w:rPr>
          <w:vertAlign w:val="baseline"/>
        </w:rPr>
        <w:t>from the building contract cases for other reasons to be discussed in para.18-039 below; and they</w:t>
      </w:r>
      <w:r>
        <w:rPr>
          <w:spacing w:val="40"/>
          <w:vertAlign w:val="baseline"/>
        </w:rPr>
        <w:t> </w:t>
      </w:r>
      <w:r>
        <w:rPr>
          <w:vertAlign w:val="baseline"/>
        </w:rPr>
        <w:t>therefore do not support any general proposition that A’s omission to perform his contract with B can </w:t>
      </w:r>
      <w:bookmarkStart w:name="_bookmark282" w:id="284"/>
      <w:bookmarkEnd w:id="284"/>
      <w:r>
        <w:rPr>
          <w:vertAlign w:val="baseline"/>
        </w:rPr>
        <w:t>give</w:t>
      </w:r>
      <w:r>
        <w:rPr>
          <w:vertAlign w:val="baseline"/>
        </w:rPr>
        <w:t> a cause of action in tort to C merely because, as a result of the omission, C suffers loss. Indeed, </w:t>
      </w:r>
      <w:bookmarkStart w:name="_bookmark283" w:id="285"/>
      <w:bookmarkEnd w:id="285"/>
      <w:r>
        <w:rPr>
          <w:vertAlign w:val="baseline"/>
        </w:rPr>
        <w:t>in</w:t>
      </w:r>
      <w:r>
        <w:rPr>
          <w:vertAlign w:val="baseline"/>
        </w:rPr>
        <w:t> </w:t>
      </w:r>
      <w:r>
        <w:rPr>
          <w:rFonts w:ascii="Arial" w:hAnsi="Arial"/>
          <w:i/>
          <w:vertAlign w:val="baseline"/>
        </w:rPr>
        <w:t>White v Jones </w:t>
      </w:r>
      <w:r>
        <w:rPr>
          <w:vertAlign w:val="baseline"/>
        </w:rPr>
        <w:t>itself Lord Goff </w:t>
      </w:r>
      <w:r>
        <w:rPr>
          <w:color w:val="005DA1"/>
          <w:u w:val="single" w:color="005DA1"/>
          <w:vertAlign w:val="superscript"/>
        </w:rPr>
        <w:t>160</w:t>
      </w:r>
      <w:r>
        <w:rPr>
          <w:color w:val="005DA1"/>
          <w:vertAlign w:val="baseline"/>
        </w:rPr>
        <w:t> </w:t>
      </w:r>
      <w:r>
        <w:rPr>
          <w:vertAlign w:val="baseline"/>
        </w:rPr>
        <w:t>recognised the general principle that in tort there was no liability </w:t>
      </w:r>
      <w:bookmarkStart w:name="_bookmark284" w:id="286"/>
      <w:bookmarkEnd w:id="286"/>
      <w:r>
        <w:rPr>
          <w:vertAlign w:val="baseline"/>
        </w:rPr>
        <w:t>for</w:t>
      </w:r>
      <w:r>
        <w:rPr>
          <w:vertAlign w:val="baseline"/>
        </w:rPr>
        <w:t> pure omissions; but he subjected </w:t>
      </w:r>
      <w:r>
        <w:rPr>
          <w:color w:val="005DA1"/>
          <w:u w:val="single" w:color="005DA1"/>
          <w:vertAlign w:val="superscript"/>
        </w:rPr>
        <w:t>161</w:t>
      </w:r>
      <w:r>
        <w:rPr>
          <w:color w:val="005DA1"/>
          <w:vertAlign w:val="baseline"/>
        </w:rPr>
        <w:t> </w:t>
      </w:r>
      <w:r>
        <w:rPr>
          <w:vertAlign w:val="baseline"/>
        </w:rPr>
        <w:t>it to an exception where, as in that case, there had been an “assumption of responsibility” </w:t>
      </w:r>
      <w:r>
        <w:rPr>
          <w:color w:val="005DA1"/>
          <w:u w:val="single" w:color="005DA1"/>
          <w:vertAlign w:val="superscript"/>
        </w:rPr>
        <w:t>162</w:t>
      </w:r>
      <w:r>
        <w:rPr>
          <w:color w:val="005DA1"/>
          <w:vertAlign w:val="baseline"/>
        </w:rPr>
        <w:t> </w:t>
      </w:r>
      <w:r>
        <w:rPr>
          <w:vertAlign w:val="baseline"/>
        </w:rPr>
        <w:t>by A towards C. The basis of that assumption seems to have been that A undertook a duty of care in relation to the provision of professional services, making him liable even to B in tort (as well as for breach of contract) for failure to act with due diligence and care. This reasoning would not apply to cases of A’s simple failure to take any steps in the performance of his building contract with B, causing loss to C.</w:t>
      </w:r>
    </w:p>
    <w:p>
      <w:pPr>
        <w:pStyle w:val="BodyText"/>
      </w:pPr>
    </w:p>
    <w:p>
      <w:pPr>
        <w:pStyle w:val="BodyText"/>
        <w:spacing w:before="31"/>
      </w:pPr>
    </w:p>
    <w:p>
      <w:pPr>
        <w:spacing w:before="0"/>
        <w:ind w:left="165" w:right="0" w:firstLine="0"/>
        <w:jc w:val="left"/>
        <w:rPr>
          <w:rFonts w:ascii="Arial"/>
          <w:b/>
          <w:sz w:val="18"/>
        </w:rPr>
      </w:pPr>
      <w:r>
        <w:rPr>
          <w:rFonts w:ascii="Arial"/>
          <w:b/>
          <w:sz w:val="18"/>
        </w:rPr>
        <w:t>Further differences between tort and contract </w:t>
      </w:r>
      <w:r>
        <w:rPr>
          <w:rFonts w:ascii="Arial"/>
          <w:b/>
          <w:spacing w:val="-2"/>
          <w:sz w:val="18"/>
        </w:rPr>
        <w:t>liability</w:t>
      </w:r>
    </w:p>
    <w:p>
      <w:pPr>
        <w:pStyle w:val="BodyText"/>
        <w:spacing w:before="41"/>
        <w:rPr>
          <w:rFonts w:ascii="Arial"/>
          <w:b/>
          <w:sz w:val="18"/>
        </w:rPr>
      </w:pPr>
    </w:p>
    <w:p>
      <w:pPr>
        <w:pStyle w:val="Heading2"/>
      </w:pPr>
      <w:r>
        <w:rPr/>
        <w:t>18-</w:t>
      </w:r>
      <w:r>
        <w:rPr>
          <w:spacing w:val="-5"/>
        </w:rPr>
        <w:t>028</w:t>
      </w:r>
    </w:p>
    <w:p>
      <w:pPr>
        <w:pStyle w:val="BodyText"/>
        <w:spacing w:line="235" w:lineRule="auto" w:before="203"/>
        <w:ind w:left="164" w:right="167"/>
        <w:jc w:val="both"/>
      </w:pPr>
      <w:bookmarkStart w:name="_bookmark285" w:id="287"/>
      <w:bookmarkEnd w:id="287"/>
      <w:r>
        <w:rPr/>
      </w:r>
      <w:r>
        <w:rPr/>
        <w:t>Further differences between contract and tort liability in cases involving three parties are that the contract between A and B might have made A strictly liable to B, </w:t>
      </w:r>
      <w:r>
        <w:rPr>
          <w:color w:val="005DA1"/>
          <w:u w:val="single" w:color="005DA1"/>
          <w:vertAlign w:val="superscript"/>
        </w:rPr>
        <w:t>163</w:t>
      </w:r>
      <w:r>
        <w:rPr>
          <w:color w:val="005DA1"/>
          <w:vertAlign w:val="baseline"/>
        </w:rPr>
        <w:t> </w:t>
      </w:r>
      <w:r>
        <w:rPr>
          <w:vertAlign w:val="baseline"/>
        </w:rPr>
        <w:t>without proof of negligence, while negligence was an essential element of C’s cause of action in tort against A; that in contract, B would </w:t>
      </w:r>
      <w:bookmarkStart w:name="_bookmark286" w:id="288"/>
      <w:bookmarkEnd w:id="288"/>
      <w:r>
        <w:rPr>
          <w:vertAlign w:val="baseline"/>
        </w:rPr>
        <w:t>have</w:t>
      </w:r>
      <w:r>
        <w:rPr>
          <w:vertAlign w:val="baseline"/>
        </w:rPr>
        <w:t> a cause of action against A as soon as the defective work was done, while in tort C’s cause </w:t>
      </w:r>
      <w:r>
        <w:rPr>
          <w:vertAlign w:val="baseline"/>
        </w:rPr>
        <w:t>of action would only accrue when the resulting loss was suffered </w:t>
      </w:r>
      <w:r>
        <w:rPr>
          <w:color w:val="005DA1"/>
          <w:u w:val="single" w:color="005DA1"/>
          <w:vertAlign w:val="superscript"/>
        </w:rPr>
        <w:t>164</w:t>
      </w:r>
      <w:r>
        <w:rPr>
          <w:vertAlign w:val="baseline"/>
        </w:rPr>
        <w:t>; and that in B’s action on the contract it is only necessary to show that the contract has been made and broken, while in C’s action </w:t>
      </w:r>
      <w:bookmarkStart w:name="_bookmark287" w:id="289"/>
      <w:bookmarkEnd w:id="289"/>
      <w:r>
        <w:rPr>
          <w:vertAlign w:val="baseline"/>
        </w:rPr>
        <w:t>in</w:t>
      </w:r>
      <w:r>
        <w:rPr>
          <w:vertAlign w:val="baseline"/>
        </w:rPr>
        <w:t> tort, C must establish that there was a relationship between himself and A by virtue of which A</w:t>
      </w:r>
      <w:r>
        <w:rPr>
          <w:spacing w:val="40"/>
          <w:vertAlign w:val="baseline"/>
        </w:rPr>
        <w:t> </w:t>
      </w:r>
      <w:r>
        <w:rPr>
          <w:vertAlign w:val="baseline"/>
        </w:rPr>
        <w:t>owed him a duty of care and that C has suffered loss as a result of A’s breach of that duty </w:t>
      </w:r>
      <w:r>
        <w:rPr>
          <w:color w:val="005DA1"/>
          <w:u w:val="single" w:color="005DA1"/>
          <w:vertAlign w:val="superscript"/>
        </w:rPr>
        <w:t>165</w:t>
      </w:r>
      <w:r>
        <w:rPr>
          <w:vertAlign w:val="baseline"/>
        </w:rPr>
        <w:t>; and that, while in contract liability for economic loss is imposed as a matter of course, in tort such liability </w:t>
      </w:r>
      <w:bookmarkStart w:name="_bookmark288" w:id="290"/>
      <w:bookmarkEnd w:id="290"/>
      <w:r>
        <w:rPr>
          <w:vertAlign w:val="baseline"/>
        </w:rPr>
        <w:t>arises</w:t>
      </w:r>
      <w:r>
        <w:rPr>
          <w:spacing w:val="-2"/>
          <w:vertAlign w:val="baseline"/>
        </w:rPr>
        <w:t> </w:t>
      </w:r>
      <w:r>
        <w:rPr>
          <w:vertAlign w:val="baseline"/>
        </w:rPr>
        <w:t>only</w:t>
      </w:r>
      <w:r>
        <w:rPr>
          <w:spacing w:val="-2"/>
          <w:vertAlign w:val="baseline"/>
        </w:rPr>
        <w:t> </w:t>
      </w:r>
      <w:r>
        <w:rPr>
          <w:vertAlign w:val="baseline"/>
        </w:rPr>
        <w:t>where</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“assumption</w:t>
      </w:r>
      <w:r>
        <w:rPr>
          <w:spacing w:val="-2"/>
          <w:vertAlign w:val="baseline"/>
        </w:rPr>
        <w:t> </w:t>
      </w:r>
      <w:r>
        <w:rPr>
          <w:vertAlign w:val="baseline"/>
        </w:rPr>
        <w:t>of</w:t>
      </w:r>
      <w:r>
        <w:rPr>
          <w:spacing w:val="-2"/>
          <w:vertAlign w:val="baseline"/>
        </w:rPr>
        <w:t> </w:t>
      </w:r>
      <w:r>
        <w:rPr>
          <w:vertAlign w:val="baseline"/>
        </w:rPr>
        <w:t>responsibility”</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party</w:t>
      </w:r>
      <w:r>
        <w:rPr>
          <w:spacing w:val="-2"/>
          <w:vertAlign w:val="baseline"/>
        </w:rPr>
        <w:t> </w:t>
      </w:r>
      <w:r>
        <w:rPr>
          <w:vertAlign w:val="baseline"/>
        </w:rPr>
        <w:t>in</w:t>
      </w:r>
      <w:r>
        <w:rPr>
          <w:spacing w:val="-2"/>
          <w:vertAlign w:val="baseline"/>
        </w:rPr>
        <w:t> </w:t>
      </w:r>
      <w:r>
        <w:rPr>
          <w:vertAlign w:val="baseline"/>
        </w:rPr>
        <w:t>breach</w:t>
      </w:r>
      <w:r>
        <w:rPr>
          <w:spacing w:val="-2"/>
          <w:vertAlign w:val="baseline"/>
        </w:rPr>
        <w:t> </w:t>
      </w:r>
      <w:r>
        <w:rPr>
          <w:vertAlign w:val="baseline"/>
        </w:rPr>
        <w:t>giving</w:t>
      </w:r>
      <w:r>
        <w:rPr>
          <w:spacing w:val="-2"/>
          <w:vertAlign w:val="baseline"/>
        </w:rPr>
        <w:t> </w:t>
      </w:r>
      <w:r>
        <w:rPr>
          <w:vertAlign w:val="baseline"/>
        </w:rPr>
        <w:t>rise</w:t>
      </w:r>
      <w:r>
        <w:rPr>
          <w:spacing w:val="-2"/>
          <w:vertAlign w:val="baseline"/>
        </w:rPr>
        <w:t> </w:t>
      </w:r>
      <w:r>
        <w:rPr>
          <w:vertAlign w:val="baseline"/>
        </w:rPr>
        <w:t>to</w:t>
      </w:r>
      <w:r>
        <w:rPr>
          <w:spacing w:val="-2"/>
          <w:vertAlign w:val="baseline"/>
        </w:rPr>
        <w:t> </w:t>
      </w:r>
      <w:r>
        <w:rPr>
          <w:vertAlign w:val="baseline"/>
        </w:rPr>
        <w:t>“duties of care co-extensive with [that party’s] contractual obligations.” </w:t>
      </w:r>
      <w:r>
        <w:rPr>
          <w:color w:val="005DA1"/>
          <w:u w:val="single" w:color="005DA1"/>
          <w:vertAlign w:val="superscript"/>
        </w:rPr>
        <w:t>166</w:t>
      </w:r>
      <w:r>
        <w:rPr>
          <w:color w:val="005DA1"/>
          <w:vertAlign w:val="baseline"/>
        </w:rPr>
        <w:t> </w:t>
      </w:r>
      <w:r>
        <w:rPr>
          <w:vertAlign w:val="baseline"/>
        </w:rPr>
        <w:t>Whether the party in breach has assumed</w:t>
      </w:r>
      <w:r>
        <w:rPr>
          <w:spacing w:val="-2"/>
          <w:vertAlign w:val="baseline"/>
        </w:rPr>
        <w:t> </w:t>
      </w:r>
      <w:r>
        <w:rPr>
          <w:vertAlign w:val="baseline"/>
        </w:rPr>
        <w:t>such</w:t>
      </w:r>
      <w:r>
        <w:rPr>
          <w:spacing w:val="-2"/>
          <w:vertAlign w:val="baseline"/>
        </w:rPr>
        <w:t> </w:t>
      </w:r>
      <w:r>
        <w:rPr>
          <w:vertAlign w:val="baseline"/>
        </w:rPr>
        <w:t>responsibility</w:t>
      </w:r>
      <w:r>
        <w:rPr>
          <w:spacing w:val="-2"/>
          <w:vertAlign w:val="baseline"/>
        </w:rPr>
        <w:t> </w:t>
      </w:r>
      <w:r>
        <w:rPr>
          <w:vertAlign w:val="baseline"/>
        </w:rPr>
        <w:t>depends</w:t>
      </w:r>
      <w:r>
        <w:rPr>
          <w:spacing w:val="-2"/>
          <w:vertAlign w:val="baseline"/>
        </w:rPr>
        <w:t> </w:t>
      </w:r>
      <w:r>
        <w:rPr>
          <w:vertAlign w:val="baseline"/>
        </w:rPr>
        <w:t>partly</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nature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and</w:t>
      </w:r>
      <w:r>
        <w:rPr>
          <w:spacing w:val="-2"/>
          <w:vertAlign w:val="baseline"/>
        </w:rPr>
        <w:t> </w:t>
      </w:r>
      <w:r>
        <w:rPr>
          <w:vertAlign w:val="baseline"/>
        </w:rPr>
        <w:t>partly</w:t>
      </w:r>
      <w:r>
        <w:rPr>
          <w:spacing w:val="-2"/>
          <w:vertAlign w:val="baseline"/>
        </w:rPr>
        <w:t> </w:t>
      </w:r>
      <w:r>
        <w:rPr>
          <w:vertAlign w:val="baseline"/>
        </w:rPr>
        <w:t>on</w:t>
      </w:r>
      <w:r>
        <w:rPr>
          <w:spacing w:val="-2"/>
          <w:vertAlign w:val="baseline"/>
        </w:rPr>
        <w:t> </w:t>
      </w:r>
      <w:r>
        <w:rPr>
          <w:vertAlign w:val="baseline"/>
        </w:rPr>
        <w:t>its</w:t>
      </w:r>
      <w:r>
        <w:rPr>
          <w:spacing w:val="-2"/>
          <w:vertAlign w:val="baseline"/>
        </w:rPr>
        <w:t> </w:t>
      </w:r>
      <w:r>
        <w:rPr>
          <w:vertAlign w:val="baseline"/>
        </w:rPr>
        <w:t>terms.</w:t>
      </w:r>
      <w:r>
        <w:rPr>
          <w:spacing w:val="-2"/>
          <w:vertAlign w:val="baseline"/>
        </w:rPr>
        <w:t> </w:t>
      </w:r>
      <w:r>
        <w:rPr>
          <w:vertAlign w:val="baseline"/>
        </w:rPr>
        <w:t>Thus </w:t>
      </w:r>
      <w:bookmarkStart w:name="_bookmark289" w:id="291"/>
      <w:bookmarkEnd w:id="291"/>
      <w:r>
        <w:rPr>
          <w:vertAlign w:val="baseline"/>
        </w:rPr>
        <w:t>such</w:t>
      </w:r>
      <w:r>
        <w:rPr>
          <w:vertAlign w:val="baseline"/>
        </w:rPr>
        <w:t> an assumption is readily inferred where the breach is committed by a person who has</w:t>
      </w:r>
      <w:r>
        <w:rPr>
          <w:spacing w:val="40"/>
          <w:vertAlign w:val="baseline"/>
        </w:rPr>
        <w:t> </w:t>
      </w:r>
      <w:r>
        <w:rPr>
          <w:vertAlign w:val="baseline"/>
        </w:rPr>
        <w:t>contracted to render professional services to a client </w:t>
      </w:r>
      <w:r>
        <w:rPr>
          <w:color w:val="005DA1"/>
          <w:u w:val="single" w:color="005DA1"/>
          <w:vertAlign w:val="superscript"/>
        </w:rPr>
        <w:t>167</w:t>
      </w:r>
      <w:r>
        <w:rPr>
          <w:vertAlign w:val="baseline"/>
        </w:rPr>
        <w:t>; but is unlikely to be inferred where the</w:t>
      </w:r>
      <w:r>
        <w:rPr>
          <w:spacing w:val="40"/>
          <w:vertAlign w:val="baseline"/>
        </w:rPr>
        <w:t> </w:t>
      </w:r>
      <w:r>
        <w:rPr>
          <w:vertAlign w:val="baseline"/>
        </w:rPr>
        <w:t>breach in question is one by a builder of a building contract, especially where such a contract </w:t>
      </w:r>
      <w:bookmarkStart w:name="_bookmark290" w:id="292"/>
      <w:bookmarkEnd w:id="292"/>
      <w:r>
        <w:rPr>
          <w:vertAlign w:val="baseline"/>
        </w:rPr>
        <w:t>expressly</w:t>
      </w:r>
      <w:r>
        <w:rPr>
          <w:vertAlign w:val="baseline"/>
        </w:rPr>
        <w:t> sets out the builder’s warranties of quality and the client’s remedies in the event of their breach and where it further contains an exclusion clause </w:t>
      </w:r>
      <w:r>
        <w:rPr>
          <w:color w:val="005DA1"/>
          <w:u w:val="single" w:color="005DA1"/>
          <w:vertAlign w:val="superscript"/>
        </w:rPr>
        <w:t>168</w:t>
      </w:r>
      <w:r>
        <w:rPr>
          <w:color w:val="005DA1"/>
          <w:vertAlign w:val="baseline"/>
        </w:rPr>
        <w:t> </w:t>
      </w:r>
      <w:r>
        <w:rPr>
          <w:vertAlign w:val="baseline"/>
        </w:rPr>
        <w:t>which is inconsistent with the builder’s alleged</w:t>
      </w:r>
      <w:r>
        <w:rPr>
          <w:spacing w:val="23"/>
          <w:vertAlign w:val="baseline"/>
        </w:rPr>
        <w:t> </w:t>
      </w:r>
      <w:r>
        <w:rPr>
          <w:vertAlign w:val="baseline"/>
        </w:rPr>
        <w:t>assumption</w:t>
      </w:r>
      <w:r>
        <w:rPr>
          <w:spacing w:val="23"/>
          <w:vertAlign w:val="baseline"/>
        </w:rPr>
        <w:t> </w:t>
      </w:r>
      <w:r>
        <w:rPr>
          <w:vertAlign w:val="baseline"/>
        </w:rPr>
        <w:t>of</w:t>
      </w:r>
      <w:r>
        <w:rPr>
          <w:spacing w:val="23"/>
          <w:vertAlign w:val="baseline"/>
        </w:rPr>
        <w:t> </w:t>
      </w:r>
      <w:r>
        <w:rPr>
          <w:vertAlign w:val="baseline"/>
        </w:rPr>
        <w:t>responsibility</w:t>
      </w:r>
      <w:r>
        <w:rPr>
          <w:spacing w:val="23"/>
          <w:vertAlign w:val="baseline"/>
        </w:rPr>
        <w:t> </w:t>
      </w:r>
      <w:r>
        <w:rPr>
          <w:vertAlign w:val="baseline"/>
        </w:rPr>
        <w:t>for</w:t>
      </w:r>
      <w:r>
        <w:rPr>
          <w:spacing w:val="23"/>
          <w:vertAlign w:val="baseline"/>
        </w:rPr>
        <w:t> </w:t>
      </w:r>
      <w:r>
        <w:rPr>
          <w:vertAlign w:val="baseline"/>
        </w:rPr>
        <w:t>economic</w:t>
      </w:r>
      <w:r>
        <w:rPr>
          <w:spacing w:val="23"/>
          <w:vertAlign w:val="baseline"/>
        </w:rPr>
        <w:t> </w:t>
      </w:r>
      <w:r>
        <w:rPr>
          <w:vertAlign w:val="baseline"/>
        </w:rPr>
        <w:t>loss</w:t>
      </w:r>
      <w:r>
        <w:rPr>
          <w:spacing w:val="23"/>
          <w:vertAlign w:val="baseline"/>
        </w:rPr>
        <w:t> </w:t>
      </w:r>
      <w:r>
        <w:rPr>
          <w:vertAlign w:val="baseline"/>
        </w:rPr>
        <w:t>suffered</w:t>
      </w:r>
      <w:r>
        <w:rPr>
          <w:spacing w:val="23"/>
          <w:vertAlign w:val="baseline"/>
        </w:rPr>
        <w:t> </w:t>
      </w:r>
      <w:r>
        <w:rPr>
          <w:vertAlign w:val="baseline"/>
        </w:rPr>
        <w:t>by</w:t>
      </w:r>
      <w:r>
        <w:rPr>
          <w:spacing w:val="23"/>
          <w:vertAlign w:val="baseline"/>
        </w:rPr>
        <w:t> </w:t>
      </w:r>
      <w:r>
        <w:rPr>
          <w:vertAlign w:val="baseline"/>
        </w:rPr>
        <w:t>the</w:t>
      </w:r>
      <w:r>
        <w:rPr>
          <w:spacing w:val="23"/>
          <w:vertAlign w:val="baseline"/>
        </w:rPr>
        <w:t> </w:t>
      </w:r>
      <w:r>
        <w:rPr>
          <w:vertAlign w:val="baseline"/>
        </w:rPr>
        <w:t>employer</w:t>
      </w:r>
      <w:r>
        <w:rPr>
          <w:spacing w:val="23"/>
          <w:vertAlign w:val="baseline"/>
        </w:rPr>
        <w:t> </w:t>
      </w:r>
      <w:r>
        <w:rPr>
          <w:vertAlign w:val="baseline"/>
        </w:rPr>
        <w:t>in</w:t>
      </w:r>
      <w:r>
        <w:rPr>
          <w:spacing w:val="23"/>
          <w:vertAlign w:val="baseline"/>
        </w:rPr>
        <w:t> </w:t>
      </w:r>
      <w:r>
        <w:rPr>
          <w:vertAlign w:val="baseline"/>
        </w:rPr>
        <w:t>consequence</w:t>
      </w:r>
      <w:r>
        <w:rPr>
          <w:spacing w:val="23"/>
          <w:vertAlign w:val="baseline"/>
        </w:rPr>
        <w:t> </w:t>
      </w:r>
      <w:r>
        <w:rPr>
          <w:spacing w:val="-5"/>
          <w:vertAlign w:val="baseline"/>
        </w:rPr>
        <w:t>of</w:t>
      </w:r>
    </w:p>
    <w:p>
      <w:pPr>
        <w:pStyle w:val="BodyText"/>
        <w:spacing w:after="0" w:line="235" w:lineRule="auto"/>
        <w:jc w:val="both"/>
        <w:sectPr>
          <w:pgSz w:w="11900" w:h="16840"/>
          <w:pgMar w:header="971" w:footer="0" w:top="1160" w:bottom="280" w:left="1275" w:right="1275"/>
        </w:sectPr>
      </w:pPr>
    </w:p>
    <w:p>
      <w:pPr>
        <w:pStyle w:val="BodyText"/>
        <w:spacing w:before="21"/>
      </w:pPr>
    </w:p>
    <w:p>
      <w:pPr>
        <w:pStyle w:val="BodyText"/>
        <w:ind w:left="165"/>
        <w:jc w:val="both"/>
      </w:pPr>
      <w:r>
        <w:rPr/>
        <w:t>the </w:t>
      </w:r>
      <w:r>
        <w:rPr>
          <w:spacing w:val="-2"/>
        </w:rPr>
        <w:t>breach.</w:t>
      </w:r>
    </w:p>
    <w:p>
      <w:pPr>
        <w:pStyle w:val="BodyText"/>
      </w:pPr>
    </w:p>
    <w:p>
      <w:pPr>
        <w:pStyle w:val="BodyText"/>
        <w:spacing w:before="37"/>
      </w:pPr>
    </w:p>
    <w:p>
      <w:pPr>
        <w:spacing w:before="0"/>
        <w:ind w:left="165" w:right="0" w:firstLine="0"/>
        <w:jc w:val="left"/>
        <w:rPr>
          <w:rFonts w:ascii="Arial"/>
          <w:b/>
          <w:sz w:val="18"/>
        </w:rPr>
      </w:pPr>
      <w:r>
        <w:rPr>
          <w:rFonts w:ascii="Arial"/>
          <w:b/>
          <w:sz w:val="18"/>
        </w:rPr>
        <w:t>Restrictions on scope of the duty of </w:t>
      </w:r>
      <w:r>
        <w:rPr>
          <w:rFonts w:ascii="Arial"/>
          <w:b/>
          <w:spacing w:val="-4"/>
          <w:sz w:val="18"/>
        </w:rPr>
        <w:t>care</w:t>
      </w:r>
    </w:p>
    <w:p>
      <w:pPr>
        <w:pStyle w:val="BodyText"/>
        <w:spacing w:before="42"/>
        <w:rPr>
          <w:rFonts w:ascii="Arial"/>
          <w:b/>
          <w:sz w:val="18"/>
        </w:rPr>
      </w:pPr>
    </w:p>
    <w:p>
      <w:pPr>
        <w:pStyle w:val="Heading2"/>
      </w:pPr>
      <w:r>
        <w:rPr/>
        <w:t>18-</w:t>
      </w:r>
      <w:r>
        <w:rPr>
          <w:spacing w:val="-5"/>
        </w:rPr>
        <w:t>029</w:t>
      </w:r>
    </w:p>
    <w:p>
      <w:pPr>
        <w:pStyle w:val="BodyText"/>
        <w:spacing w:line="235" w:lineRule="auto" w:before="202"/>
        <w:ind w:left="164" w:right="167"/>
        <w:jc w:val="both"/>
      </w:pPr>
      <w:bookmarkStart w:name="_bookmark291" w:id="293"/>
      <w:bookmarkEnd w:id="293"/>
      <w:r>
        <w:rPr/>
      </w:r>
      <w:r>
        <w:rPr/>
        <w:t>A</w:t>
      </w:r>
      <w:r>
        <w:rPr>
          <w:spacing w:val="-1"/>
        </w:rPr>
        <w:t> </w:t>
      </w:r>
      <w:r>
        <w:rPr/>
        <w:t>relationship</w:t>
      </w:r>
      <w:r>
        <w:rPr>
          <w:spacing w:val="-1"/>
        </w:rPr>
        <w:t> </w:t>
      </w:r>
      <w:r>
        <w:rPr/>
        <w:t>giving</w:t>
      </w:r>
      <w:r>
        <w:rPr>
          <w:spacing w:val="-1"/>
        </w:rPr>
        <w:t> </w:t>
      </w:r>
      <w:r>
        <w:rPr/>
        <w:t>rise</w:t>
      </w:r>
      <w:r>
        <w:rPr>
          <w:spacing w:val="-1"/>
        </w:rPr>
        <w:t> </w:t>
      </w:r>
      <w:r>
        <w:rPr/>
        <w:t>to</w:t>
      </w:r>
      <w:r>
        <w:rPr>
          <w:spacing w:val="-1"/>
        </w:rPr>
        <w:t> </w:t>
      </w:r>
      <w:r>
        <w:rPr/>
        <w:t>a</w:t>
      </w:r>
      <w:r>
        <w:rPr>
          <w:spacing w:val="-1"/>
        </w:rPr>
        <w:t> </w:t>
      </w:r>
      <w:r>
        <w:rPr/>
        <w:t>duty</w:t>
      </w:r>
      <w:r>
        <w:rPr>
          <w:spacing w:val="-1"/>
        </w:rPr>
        <w:t> </w:t>
      </w:r>
      <w:r>
        <w:rPr/>
        <w:t>of</w:t>
      </w:r>
      <w:r>
        <w:rPr>
          <w:spacing w:val="-1"/>
        </w:rPr>
        <w:t> </w:t>
      </w:r>
      <w:r>
        <w:rPr/>
        <w:t>care</w:t>
      </w:r>
      <w:r>
        <w:rPr>
          <w:spacing w:val="-2"/>
        </w:rPr>
        <w:t> </w:t>
      </w:r>
      <w:r>
        <w:rPr>
          <w:color w:val="005DA1"/>
          <w:u w:val="single" w:color="005DA1"/>
          <w:vertAlign w:val="superscript"/>
        </w:rPr>
        <w:t>169</w:t>
      </w:r>
      <w:r>
        <w:rPr>
          <w:color w:val="005DA1"/>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established</w:t>
      </w:r>
      <w:r>
        <w:rPr>
          <w:spacing w:val="-1"/>
          <w:vertAlign w:val="baseline"/>
        </w:rPr>
        <w:t> </w:t>
      </w:r>
      <w:r>
        <w:rPr>
          <w:vertAlign w:val="baseline"/>
        </w:rPr>
        <w:t>merely</w:t>
      </w:r>
      <w:r>
        <w:rPr>
          <w:spacing w:val="-1"/>
          <w:vertAlign w:val="baseline"/>
        </w:rPr>
        <w:t> </w:t>
      </w:r>
      <w:r>
        <w:rPr>
          <w:vertAlign w:val="baseline"/>
        </w:rPr>
        <w:t>by</w:t>
      </w:r>
      <w:r>
        <w:rPr>
          <w:spacing w:val="-1"/>
          <w:vertAlign w:val="baseline"/>
        </w:rPr>
        <w:t> </w:t>
      </w:r>
      <w:r>
        <w:rPr>
          <w:vertAlign w:val="baseline"/>
        </w:rPr>
        <w:t>showing</w:t>
      </w:r>
      <w:r>
        <w:rPr>
          <w:spacing w:val="-1"/>
          <w:vertAlign w:val="baseline"/>
        </w:rPr>
        <w:t> </w:t>
      </w:r>
      <w:r>
        <w:rPr>
          <w:vertAlign w:val="baseline"/>
        </w:rPr>
        <w:t>that</w:t>
      </w:r>
      <w:r>
        <w:rPr>
          <w:spacing w:val="-1"/>
          <w:vertAlign w:val="baseline"/>
        </w:rPr>
        <w:t> </w:t>
      </w:r>
      <w:r>
        <w:rPr>
          <w:vertAlign w:val="baseline"/>
        </w:rPr>
        <w:t>C</w:t>
      </w:r>
      <w:r>
        <w:rPr>
          <w:spacing w:val="-1"/>
          <w:vertAlign w:val="baseline"/>
        </w:rPr>
        <w:t> </w:t>
      </w:r>
      <w:r>
        <w:rPr>
          <w:vertAlign w:val="baseline"/>
        </w:rPr>
        <w:t>has</w:t>
      </w:r>
      <w:r>
        <w:rPr>
          <w:spacing w:val="-1"/>
          <w:vertAlign w:val="baseline"/>
        </w:rPr>
        <w:t> </w:t>
      </w:r>
      <w:r>
        <w:rPr>
          <w:vertAlign w:val="baseline"/>
        </w:rPr>
        <w:t>suffered foreseeable loss as a result of A’s defective performance of his contract with B. In the </w:t>
      </w:r>
      <w:r>
        <w:rPr>
          <w:rFonts w:ascii="Arial" w:hAnsi="Arial"/>
          <w:i/>
          <w:vertAlign w:val="baseline"/>
        </w:rPr>
        <w:t>Junior Books </w:t>
      </w:r>
      <w:r>
        <w:rPr>
          <w:vertAlign w:val="baseline"/>
        </w:rPr>
        <w:t>case,</w:t>
      </w:r>
      <w:r>
        <w:rPr>
          <w:spacing w:val="40"/>
          <w:vertAlign w:val="baseline"/>
        </w:rPr>
        <w:t> </w:t>
      </w:r>
      <w:r>
        <w:rPr>
          <w:vertAlign w:val="baseline"/>
        </w:rPr>
        <w:t>there</w:t>
      </w:r>
      <w:r>
        <w:rPr>
          <w:spacing w:val="40"/>
          <w:vertAlign w:val="baseline"/>
        </w:rPr>
        <w:t> </w:t>
      </w:r>
      <w:r>
        <w:rPr>
          <w:vertAlign w:val="baseline"/>
        </w:rPr>
        <w:t>were</w:t>
      </w:r>
      <w:r>
        <w:rPr>
          <w:spacing w:val="40"/>
          <w:vertAlign w:val="baseline"/>
        </w:rPr>
        <w:t> </w:t>
      </w:r>
      <w:r>
        <w:rPr>
          <w:vertAlign w:val="baseline"/>
        </w:rPr>
        <w:t>many</w:t>
      </w:r>
      <w:r>
        <w:rPr>
          <w:spacing w:val="40"/>
          <w:vertAlign w:val="baseline"/>
        </w:rPr>
        <w:t> </w:t>
      </w:r>
      <w:r>
        <w:rPr>
          <w:vertAlign w:val="baseline"/>
        </w:rPr>
        <w:t>special</w:t>
      </w:r>
      <w:r>
        <w:rPr>
          <w:spacing w:val="40"/>
          <w:vertAlign w:val="baseline"/>
        </w:rPr>
        <w:t> </w:t>
      </w:r>
      <w:r>
        <w:rPr>
          <w:vertAlign w:val="baseline"/>
        </w:rPr>
        <w:t>factors</w:t>
      </w:r>
      <w:r>
        <w:rPr>
          <w:spacing w:val="40"/>
          <w:vertAlign w:val="baseline"/>
        </w:rPr>
        <w:t> </w:t>
      </w:r>
      <w:r>
        <w:rPr>
          <w:vertAlign w:val="baseline"/>
        </w:rPr>
        <w:t>giving</w:t>
      </w:r>
      <w:r>
        <w:rPr>
          <w:spacing w:val="40"/>
          <w:vertAlign w:val="baseline"/>
        </w:rPr>
        <w:t> </w:t>
      </w:r>
      <w:r>
        <w:rPr>
          <w:vertAlign w:val="baseline"/>
        </w:rPr>
        <w:t>rise</w:t>
      </w:r>
      <w:r>
        <w:rPr>
          <w:spacing w:val="40"/>
          <w:vertAlign w:val="baseline"/>
        </w:rPr>
        <w:t> </w:t>
      </w:r>
      <w:r>
        <w:rPr>
          <w:vertAlign w:val="baseline"/>
        </w:rPr>
        <w:t>to</w:t>
      </w:r>
      <w:r>
        <w:rPr>
          <w:spacing w:val="40"/>
          <w:vertAlign w:val="baseline"/>
        </w:rPr>
        <w:t> </w:t>
      </w:r>
      <w:r>
        <w:rPr>
          <w:vertAlign w:val="baseline"/>
        </w:rPr>
        <w:t>such</w:t>
      </w:r>
      <w:r>
        <w:rPr>
          <w:spacing w:val="40"/>
          <w:vertAlign w:val="baseline"/>
        </w:rPr>
        <w:t> </w:t>
      </w:r>
      <w:r>
        <w:rPr>
          <w:vertAlign w:val="baseline"/>
        </w:rPr>
        <w:t>a</w:t>
      </w:r>
      <w:r>
        <w:rPr>
          <w:spacing w:val="40"/>
          <w:vertAlign w:val="baseline"/>
        </w:rPr>
        <w:t> </w:t>
      </w:r>
      <w:r>
        <w:rPr>
          <w:vertAlign w:val="baseline"/>
        </w:rPr>
        <w:t>relationship:</w:t>
      </w:r>
      <w:r>
        <w:rPr>
          <w:spacing w:val="40"/>
          <w:vertAlign w:val="baseline"/>
        </w:rPr>
        <w:t> </w:t>
      </w:r>
      <w:r>
        <w:rPr>
          <w:vertAlign w:val="baseline"/>
        </w:rPr>
        <w:t>A</w:t>
      </w:r>
      <w:r>
        <w:rPr>
          <w:spacing w:val="40"/>
          <w:vertAlign w:val="baseline"/>
        </w:rPr>
        <w:t> </w:t>
      </w:r>
      <w:r>
        <w:rPr>
          <w:vertAlign w:val="baseline"/>
        </w:rPr>
        <w:t>were</w:t>
      </w:r>
      <w:r>
        <w:rPr>
          <w:spacing w:val="40"/>
          <w:vertAlign w:val="baseline"/>
        </w:rPr>
        <w:t> </w:t>
      </w:r>
      <w:r>
        <w:rPr>
          <w:vertAlign w:val="baseline"/>
        </w:rPr>
        <w:t>nominated</w:t>
      </w:r>
      <w:r>
        <w:rPr>
          <w:spacing w:val="40"/>
          <w:vertAlign w:val="baseline"/>
        </w:rPr>
        <w:t> </w:t>
      </w:r>
      <w:r>
        <w:rPr>
          <w:vertAlign w:val="baseline"/>
        </w:rPr>
        <w:t>as sub-contractors by C; A were specialists in flooring and knew of C’s requirements; C relied on A’s </w:t>
      </w:r>
      <w:bookmarkStart w:name="_bookmark292" w:id="294"/>
      <w:bookmarkEnd w:id="294"/>
      <w:r>
        <w:rPr>
          <w:vertAlign w:val="baseline"/>
        </w:rPr>
        <w:t>special</w:t>
      </w:r>
      <w:r>
        <w:rPr>
          <w:vertAlign w:val="baseline"/>
        </w:rPr>
        <w:t> skills in laying floors; and A must have known that defects in the work could necessitate repairs and lead to C’s suffering economic loss. </w:t>
      </w:r>
      <w:r>
        <w:rPr>
          <w:color w:val="005DA1"/>
          <w:u w:val="single" w:color="005DA1"/>
          <w:vertAlign w:val="superscript"/>
        </w:rPr>
        <w:t>170</w:t>
      </w:r>
      <w:r>
        <w:rPr>
          <w:color w:val="005DA1"/>
          <w:vertAlign w:val="baseline"/>
        </w:rPr>
        <w:t> </w:t>
      </w:r>
      <w:r>
        <w:rPr>
          <w:vertAlign w:val="baseline"/>
        </w:rPr>
        <w:t>These factors (and in particular the extent of C’s </w:t>
      </w:r>
      <w:bookmarkStart w:name="_bookmark293" w:id="295"/>
      <w:bookmarkEnd w:id="295"/>
      <w:r>
        <w:rPr>
          <w:vertAlign w:val="baseline"/>
        </w:rPr>
        <w:t>reliance</w:t>
      </w:r>
      <w:r>
        <w:rPr>
          <w:vertAlign w:val="baseline"/>
        </w:rPr>
        <w:t> on A’s special skills) may have given rise to a “special relationship” and hence to a duty of </w:t>
      </w:r>
      <w:bookmarkStart w:name="_bookmark294" w:id="296"/>
      <w:bookmarkEnd w:id="296"/>
      <w:r>
        <w:rPr>
          <w:vertAlign w:val="baseline"/>
        </w:rPr>
        <w:t>care.</w:t>
      </w:r>
      <w:r>
        <w:rPr>
          <w:vertAlign w:val="baseline"/>
        </w:rPr>
        <w:t> </w:t>
      </w:r>
      <w:r>
        <w:rPr>
          <w:color w:val="005DA1"/>
          <w:u w:val="single" w:color="005DA1"/>
          <w:vertAlign w:val="superscript"/>
        </w:rPr>
        <w:t>171</w:t>
      </w:r>
      <w:r>
        <w:rPr>
          <w:color w:val="005DA1"/>
          <w:vertAlign w:val="baseline"/>
        </w:rPr>
        <w:t> </w:t>
      </w:r>
      <w:r>
        <w:rPr>
          <w:vertAlign w:val="baseline"/>
        </w:rPr>
        <w:t>But such factors are unlikely to arise in the ordinary case where C suffers loss as a result of the defective performance by A of his contract with B. Accordingly, later authorities </w:t>
      </w:r>
      <w:r>
        <w:rPr>
          <w:color w:val="005DA1"/>
          <w:u w:val="single" w:color="005DA1"/>
          <w:vertAlign w:val="superscript"/>
        </w:rPr>
        <w:t>172</w:t>
      </w:r>
      <w:r>
        <w:rPr>
          <w:color w:val="005DA1"/>
          <w:vertAlign w:val="baseline"/>
        </w:rPr>
        <w:t> </w:t>
      </w:r>
      <w:r>
        <w:rPr>
          <w:vertAlign w:val="baseline"/>
        </w:rPr>
        <w:t>have </w:t>
      </w:r>
      <w:bookmarkStart w:name="_bookmark295" w:id="297"/>
      <w:bookmarkEnd w:id="297"/>
      <w:r>
        <w:rPr>
          <w:vertAlign w:val="baseline"/>
        </w:rPr>
        <w:t>emphasised</w:t>
      </w:r>
      <w:r>
        <w:rPr>
          <w:vertAlign w:val="baseline"/>
        </w:rPr>
        <w:t> the exceptional nature of the circumstances in the </w:t>
      </w:r>
      <w:r>
        <w:rPr>
          <w:rFonts w:ascii="Arial" w:hAnsi="Arial"/>
          <w:i/>
          <w:vertAlign w:val="baseline"/>
        </w:rPr>
        <w:t>Junior Books </w:t>
      </w:r>
      <w:r>
        <w:rPr>
          <w:vertAlign w:val="baseline"/>
        </w:rPr>
        <w:t>case. It has been said </w:t>
      </w:r>
      <w:bookmarkStart w:name="_bookmark296" w:id="298"/>
      <w:bookmarkEnd w:id="298"/>
      <w:r>
        <w:rPr>
          <w:vertAlign w:val="baseline"/>
        </w:rPr>
        <w:t>that</w:t>
      </w:r>
      <w:r>
        <w:rPr>
          <w:spacing w:val="-1"/>
          <w:vertAlign w:val="baseline"/>
        </w:rPr>
        <w:t> </w:t>
      </w:r>
      <w:r>
        <w:rPr>
          <w:vertAlign w:val="baseline"/>
        </w:rPr>
        <w:t>those</w:t>
      </w:r>
      <w:r>
        <w:rPr>
          <w:spacing w:val="-1"/>
          <w:vertAlign w:val="baseline"/>
        </w:rPr>
        <w:t> </w:t>
      </w:r>
      <w:r>
        <w:rPr>
          <w:vertAlign w:val="baseline"/>
        </w:rPr>
        <w:t>circumstances</w:t>
      </w:r>
      <w:r>
        <w:rPr>
          <w:spacing w:val="-1"/>
          <w:vertAlign w:val="baseline"/>
        </w:rPr>
        <w:t> </w:t>
      </w:r>
      <w:r>
        <w:rPr>
          <w:vertAlign w:val="baseline"/>
        </w:rPr>
        <w:t>were</w:t>
      </w:r>
      <w:r>
        <w:rPr>
          <w:spacing w:val="-1"/>
          <w:vertAlign w:val="baseline"/>
        </w:rPr>
        <w:t> </w:t>
      </w:r>
      <w:r>
        <w:rPr>
          <w:vertAlign w:val="baseline"/>
        </w:rPr>
        <w:t>“unique”</w:t>
      </w:r>
      <w:r>
        <w:rPr>
          <w:spacing w:val="-1"/>
          <w:vertAlign w:val="baseline"/>
        </w:rPr>
        <w:t> </w:t>
      </w:r>
      <w:r>
        <w:rPr>
          <w:color w:val="005DA1"/>
          <w:u w:val="single" w:color="005DA1"/>
          <w:vertAlign w:val="superscript"/>
        </w:rPr>
        <w:t>173</w:t>
      </w:r>
      <w:r>
        <w:rPr>
          <w:vertAlign w:val="baseline"/>
        </w:rPr>
        <w: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“cannot</w:t>
      </w:r>
      <w:r>
        <w:rPr>
          <w:spacing w:val="-1"/>
          <w:vertAlign w:val="baseline"/>
        </w:rPr>
        <w:t> </w:t>
      </w:r>
      <w:r>
        <w:rPr>
          <w:vertAlign w:val="baseline"/>
        </w:rPr>
        <w:t>now</w:t>
      </w:r>
      <w:r>
        <w:rPr>
          <w:spacing w:val="-1"/>
          <w:vertAlign w:val="baseline"/>
        </w:rPr>
        <w:t> </w:t>
      </w:r>
      <w:r>
        <w:rPr>
          <w:vertAlign w:val="baseline"/>
        </w:rPr>
        <w:t>be</w:t>
      </w:r>
      <w:r>
        <w:rPr>
          <w:spacing w:val="-1"/>
          <w:vertAlign w:val="baseline"/>
        </w:rPr>
        <w:t> </w:t>
      </w:r>
      <w:r>
        <w:rPr>
          <w:vertAlign w:val="baseline"/>
        </w:rPr>
        <w:t>regarded</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useful</w:t>
      </w:r>
      <w:r>
        <w:rPr>
          <w:spacing w:val="-1"/>
          <w:vertAlign w:val="baseline"/>
        </w:rPr>
        <w:t> </w:t>
      </w:r>
      <w:r>
        <w:rPr>
          <w:vertAlign w:val="baseline"/>
        </w:rPr>
        <w:t>pointer </w:t>
      </w:r>
      <w:bookmarkStart w:name="_bookmark297" w:id="299"/>
      <w:bookmarkEnd w:id="299"/>
      <w:r>
        <w:rPr>
          <w:vertAlign w:val="baseline"/>
        </w:rPr>
        <w:t>to</w:t>
      </w:r>
      <w:r>
        <w:rPr>
          <w:vertAlign w:val="baseline"/>
        </w:rPr>
        <w:t> the development of the law” </w:t>
      </w:r>
      <w:r>
        <w:rPr>
          <w:color w:val="005DA1"/>
          <w:u w:val="single" w:color="005DA1"/>
          <w:vertAlign w:val="superscript"/>
        </w:rPr>
        <w:t>174</w:t>
      </w:r>
      <w:r>
        <w:rPr>
          <w:vertAlign w:val="baseline"/>
        </w:rPr>
        <w:t>; or as “laying down any principle of general application in the law of tort” </w:t>
      </w:r>
      <w:r>
        <w:rPr>
          <w:color w:val="005DA1"/>
          <w:u w:val="single" w:color="005DA1"/>
          <w:vertAlign w:val="superscript"/>
        </w:rPr>
        <w:t>175</w:t>
      </w:r>
      <w:r>
        <w:rPr>
          <w:vertAlign w:val="baseline"/>
        </w:rPr>
        <w:t>; that “it is really of no use as an authority on the general duty of care” </w:t>
      </w:r>
      <w:r>
        <w:rPr>
          <w:color w:val="005DA1"/>
          <w:u w:val="single" w:color="005DA1"/>
          <w:vertAlign w:val="superscript"/>
        </w:rPr>
        <w:t>176</w:t>
      </w:r>
      <w:r>
        <w:rPr>
          <w:vertAlign w:val="baseline"/>
        </w:rPr>
        <w:t>; and that the </w:t>
      </w:r>
      <w:bookmarkStart w:name="_bookmark298" w:id="300"/>
      <w:bookmarkEnd w:id="300"/>
      <w:r>
        <w:rPr>
          <w:vertAlign w:val="baseline"/>
        </w:rPr>
        <w:t>statement</w:t>
      </w:r>
      <w:r>
        <w:rPr>
          <w:vertAlign w:val="baseline"/>
        </w:rPr>
        <w:t> of principle in Lord Brandon’s dissenting speech is to be preferred to the views of the </w:t>
      </w:r>
      <w:bookmarkStart w:name="_bookmark299" w:id="301"/>
      <w:bookmarkEnd w:id="301"/>
      <w:r>
        <w:rPr>
          <w:vertAlign w:val="baseline"/>
        </w:rPr>
        <w:t>majority.</w:t>
      </w:r>
      <w:r>
        <w:rPr>
          <w:vertAlign w:val="baseline"/>
        </w:rPr>
        <w:t> </w:t>
      </w:r>
      <w:r>
        <w:rPr>
          <w:color w:val="005DA1"/>
          <w:u w:val="single" w:color="005DA1"/>
          <w:vertAlign w:val="superscript"/>
        </w:rPr>
        <w:t>177</w:t>
      </w:r>
      <w:r>
        <w:rPr>
          <w:color w:val="005DA1"/>
          <w:vertAlign w:val="baseline"/>
        </w:rPr>
        <w:t> </w:t>
      </w:r>
      <w:r>
        <w:rPr>
          <w:vertAlign w:val="baseline"/>
        </w:rPr>
        <w:t>The authority of the case is further undermined by the fact that the reasoning of the </w:t>
      </w:r>
      <w:bookmarkStart w:name="_bookmark300" w:id="302"/>
      <w:bookmarkEnd w:id="302"/>
      <w:r>
        <w:rPr>
          <w:vertAlign w:val="baseline"/>
        </w:rPr>
        <w:t>majority</w:t>
      </w:r>
      <w:r>
        <w:rPr>
          <w:vertAlign w:val="baseline"/>
        </w:rPr>
        <w:t> is to a considerable extent based on earlier decisions </w:t>
      </w:r>
      <w:r>
        <w:rPr>
          <w:color w:val="005DA1"/>
          <w:u w:val="single" w:color="005DA1"/>
          <w:vertAlign w:val="superscript"/>
        </w:rPr>
        <w:t>178</w:t>
      </w:r>
      <w:r>
        <w:rPr>
          <w:color w:val="005DA1"/>
          <w:vertAlign w:val="baseline"/>
        </w:rPr>
        <w:t> </w:t>
      </w:r>
      <w:r>
        <w:rPr>
          <w:vertAlign w:val="baseline"/>
        </w:rPr>
        <w:t>which (so far as they hold defendants liable for economic loss) </w:t>
      </w:r>
      <w:r>
        <w:rPr>
          <w:color w:val="005DA1"/>
          <w:u w:val="single" w:color="005DA1"/>
          <w:vertAlign w:val="superscript"/>
        </w:rPr>
        <w:t>179</w:t>
      </w:r>
      <w:r>
        <w:rPr>
          <w:color w:val="005DA1"/>
          <w:vertAlign w:val="baseline"/>
        </w:rPr>
        <w:t> </w:t>
      </w:r>
      <w:r>
        <w:rPr>
          <w:vertAlign w:val="baseline"/>
        </w:rPr>
        <w:t>have since been overruled by the House of Lords. </w:t>
      </w:r>
      <w:r>
        <w:rPr>
          <w:color w:val="005DA1"/>
          <w:u w:val="single" w:color="005DA1"/>
          <w:vertAlign w:val="superscript"/>
        </w:rPr>
        <w:t>180</w:t>
      </w:r>
      <w:r>
        <w:rPr>
          <w:color w:val="005DA1"/>
          <w:vertAlign w:val="baseline"/>
        </w:rPr>
        <w:t> </w:t>
      </w:r>
      <w:r>
        <w:rPr>
          <w:vertAlign w:val="baseline"/>
        </w:rPr>
        <w:t>In </w:t>
      </w:r>
      <w:bookmarkStart w:name="_bookmark301" w:id="303"/>
      <w:bookmarkEnd w:id="303"/>
      <w:r>
        <w:rPr>
          <w:vertAlign w:val="baseline"/>
        </w:rPr>
        <w:t>consequence</w:t>
      </w:r>
      <w:r>
        <w:rPr>
          <w:vertAlign w:val="baseline"/>
        </w:rPr>
        <w:t> of these developments, the decision in the </w:t>
      </w:r>
      <w:r>
        <w:rPr>
          <w:rFonts w:ascii="Arial" w:hAnsi="Arial"/>
          <w:i/>
          <w:vertAlign w:val="baseline"/>
        </w:rPr>
        <w:t>Junior Books </w:t>
      </w:r>
      <w:r>
        <w:rPr>
          <w:vertAlign w:val="baseline"/>
        </w:rPr>
        <w:t>case has been described as “discredited”, </w:t>
      </w:r>
      <w:r>
        <w:rPr>
          <w:color w:val="005DA1"/>
          <w:u w:val="single" w:color="005DA1"/>
          <w:vertAlign w:val="superscript"/>
        </w:rPr>
        <w:t>181</w:t>
      </w:r>
      <w:r>
        <w:rPr>
          <w:color w:val="005DA1"/>
          <w:vertAlign w:val="baseline"/>
        </w:rPr>
        <w:t> </w:t>
      </w:r>
      <w:r>
        <w:rPr>
          <w:vertAlign w:val="baseline"/>
        </w:rPr>
        <w:t>as “virtually extinguished” </w:t>
      </w:r>
      <w:r>
        <w:rPr>
          <w:color w:val="005DA1"/>
          <w:u w:val="single" w:color="005DA1"/>
          <w:vertAlign w:val="superscript"/>
        </w:rPr>
        <w:t>182</w:t>
      </w:r>
      <w:r>
        <w:rPr>
          <w:vertAlign w:val="baseline"/>
        </w:rPr>
        <w:t>; and “as aberrant, indeed as heretical”. </w:t>
      </w:r>
      <w:r>
        <w:rPr>
          <w:color w:val="005DA1"/>
          <w:u w:val="single" w:color="005DA1"/>
          <w:vertAlign w:val="superscript"/>
        </w:rPr>
        <w:t>183</w:t>
      </w:r>
    </w:p>
    <w:p>
      <w:pPr>
        <w:pStyle w:val="BodyText"/>
        <w:spacing w:before="74"/>
      </w:pPr>
    </w:p>
    <w:p>
      <w:pPr>
        <w:pStyle w:val="Heading2"/>
        <w:spacing w:before="1"/>
      </w:pPr>
      <w:r>
        <w:rPr/>
        <w:t>18-</w:t>
      </w:r>
      <w:r>
        <w:rPr>
          <w:spacing w:val="-5"/>
        </w:rPr>
        <w:t>030</w:t>
      </w:r>
    </w:p>
    <w:p>
      <w:pPr>
        <w:pStyle w:val="BodyText"/>
        <w:spacing w:line="235" w:lineRule="auto" w:before="202"/>
        <w:ind w:left="165" w:right="167"/>
        <w:jc w:val="both"/>
      </w:pPr>
      <w:r>
        <w:rPr/>
        <w:t>The duty owed by A to C in tort may also be less extensive than that owed by A to the other </w:t>
      </w:r>
      <w:bookmarkStart w:name="_bookmark302" w:id="304"/>
      <w:bookmarkEnd w:id="304"/>
      <w:r>
        <w:rPr/>
        <w:t>contracting</w:t>
      </w:r>
      <w:r>
        <w:rPr/>
        <w:t> party. This was, for example, the position where A was employed as solicitor by B who was guarantor of C’s mortgage. It was held </w:t>
      </w:r>
      <w:r>
        <w:rPr>
          <w:color w:val="005DA1"/>
          <w:u w:val="single" w:color="005DA1"/>
          <w:vertAlign w:val="superscript"/>
        </w:rPr>
        <w:t>184</w:t>
      </w:r>
      <w:r>
        <w:rPr>
          <w:color w:val="005DA1"/>
          <w:vertAlign w:val="baseline"/>
        </w:rPr>
        <w:t> </w:t>
      </w:r>
      <w:r>
        <w:rPr>
          <w:vertAlign w:val="baseline"/>
        </w:rPr>
        <w:t>that, although A might owe a duty of care to C, </w:t>
      </w:r>
      <w:r>
        <w:rPr>
          <w:vertAlign w:val="baseline"/>
        </w:rPr>
        <w:t>this</w:t>
      </w:r>
      <w:r>
        <w:rPr>
          <w:spacing w:val="40"/>
          <w:vertAlign w:val="baseline"/>
        </w:rPr>
        <w:t> </w:t>
      </w:r>
      <w:r>
        <w:rPr>
          <w:vertAlign w:val="baseline"/>
        </w:rPr>
        <w:t>duty did not extend to requiring A to explain the implications of the mortgage to C, since the</w:t>
      </w:r>
      <w:r>
        <w:rPr>
          <w:spacing w:val="40"/>
          <w:vertAlign w:val="baseline"/>
        </w:rPr>
        <w:t> </w:t>
      </w:r>
      <w:r>
        <w:rPr>
          <w:vertAlign w:val="baseline"/>
        </w:rPr>
        <w:t>imposition</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an</w:t>
      </w:r>
      <w:r>
        <w:rPr>
          <w:spacing w:val="-2"/>
          <w:vertAlign w:val="baseline"/>
        </w:rPr>
        <w:t> </w:t>
      </w:r>
      <w:r>
        <w:rPr>
          <w:vertAlign w:val="baseline"/>
        </w:rPr>
        <w:t>extensive</w:t>
      </w:r>
      <w:r>
        <w:rPr>
          <w:spacing w:val="-2"/>
          <w:vertAlign w:val="baseline"/>
        </w:rPr>
        <w:t> </w:t>
      </w:r>
      <w:r>
        <w:rPr>
          <w:vertAlign w:val="baseline"/>
        </w:rPr>
        <w:t>duty</w:t>
      </w:r>
      <w:r>
        <w:rPr>
          <w:spacing w:val="-2"/>
          <w:vertAlign w:val="baseline"/>
        </w:rPr>
        <w:t> </w:t>
      </w:r>
      <w:r>
        <w:rPr>
          <w:vertAlign w:val="baseline"/>
        </w:rPr>
        <w:t>might</w:t>
      </w:r>
      <w:r>
        <w:rPr>
          <w:spacing w:val="-2"/>
          <w:vertAlign w:val="baseline"/>
        </w:rPr>
        <w:t> </w:t>
      </w:r>
      <w:r>
        <w:rPr>
          <w:vertAlign w:val="baseline"/>
        </w:rPr>
        <w:t>give</w:t>
      </w:r>
      <w:r>
        <w:rPr>
          <w:spacing w:val="-2"/>
          <w:vertAlign w:val="baseline"/>
        </w:rPr>
        <w:t> </w:t>
      </w:r>
      <w:r>
        <w:rPr>
          <w:vertAlign w:val="baseline"/>
        </w:rPr>
        <w:t>rise</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conflict</w:t>
      </w:r>
      <w:r>
        <w:rPr>
          <w:spacing w:val="-2"/>
          <w:vertAlign w:val="baseline"/>
        </w:rPr>
        <w:t> </w:t>
      </w:r>
      <w:r>
        <w:rPr>
          <w:vertAlign w:val="baseline"/>
        </w:rPr>
        <w:t>between</w:t>
      </w:r>
      <w:r>
        <w:rPr>
          <w:spacing w:val="-2"/>
          <w:vertAlign w:val="baseline"/>
        </w:rPr>
        <w:t> </w:t>
      </w:r>
      <w:r>
        <w:rPr>
          <w:vertAlign w:val="baseline"/>
        </w:rPr>
        <w:t>A’s</w:t>
      </w:r>
      <w:r>
        <w:rPr>
          <w:spacing w:val="-2"/>
          <w:vertAlign w:val="baseline"/>
        </w:rPr>
        <w:t> </w:t>
      </w:r>
      <w:r>
        <w:rPr>
          <w:vertAlign w:val="baseline"/>
        </w:rPr>
        <w:t>duty</w:t>
      </w:r>
      <w:r>
        <w:rPr>
          <w:spacing w:val="-2"/>
          <w:vertAlign w:val="baseline"/>
        </w:rPr>
        <w:t> </w:t>
      </w:r>
      <w:r>
        <w:rPr>
          <w:vertAlign w:val="baseline"/>
        </w:rPr>
        <w:t>to</w:t>
      </w:r>
      <w:r>
        <w:rPr>
          <w:spacing w:val="-2"/>
          <w:vertAlign w:val="baseline"/>
        </w:rPr>
        <w:t> </w:t>
      </w:r>
      <w:r>
        <w:rPr>
          <w:vertAlign w:val="baseline"/>
        </w:rPr>
        <w:t>his</w:t>
      </w:r>
      <w:r>
        <w:rPr>
          <w:spacing w:val="-2"/>
          <w:vertAlign w:val="baseline"/>
        </w:rPr>
        <w:t> </w:t>
      </w:r>
      <w:r>
        <w:rPr>
          <w:vertAlign w:val="baseline"/>
        </w:rPr>
        <w:t>own</w:t>
      </w:r>
      <w:r>
        <w:rPr>
          <w:spacing w:val="-2"/>
          <w:vertAlign w:val="baseline"/>
        </w:rPr>
        <w:t> </w:t>
      </w:r>
      <w:r>
        <w:rPr>
          <w:vertAlign w:val="baseline"/>
        </w:rPr>
        <w:t>client</w:t>
      </w:r>
      <w:r>
        <w:rPr>
          <w:spacing w:val="-2"/>
          <w:vertAlign w:val="baseline"/>
        </w:rPr>
        <w:t> </w:t>
      </w:r>
      <w:r>
        <w:rPr>
          <w:vertAlign w:val="baseline"/>
        </w:rPr>
        <w:t>(B) and the alleged duty to C.</w:t>
      </w:r>
    </w:p>
    <w:p>
      <w:pPr>
        <w:pStyle w:val="BodyText"/>
      </w:pPr>
    </w:p>
    <w:p>
      <w:pPr>
        <w:pStyle w:val="BodyText"/>
        <w:spacing w:before="36"/>
      </w:pPr>
    </w:p>
    <w:p>
      <w:pPr>
        <w:spacing w:before="1"/>
        <w:ind w:left="165" w:right="0" w:firstLine="0"/>
        <w:jc w:val="left"/>
        <w:rPr>
          <w:rFonts w:ascii="Arial"/>
          <w:b/>
          <w:sz w:val="18"/>
        </w:rPr>
      </w:pPr>
      <w:r>
        <w:rPr>
          <w:rFonts w:ascii="Arial"/>
          <w:b/>
          <w:sz w:val="18"/>
        </w:rPr>
        <w:t>Persons to whom duty is </w:t>
      </w:r>
      <w:r>
        <w:rPr>
          <w:rFonts w:ascii="Arial"/>
          <w:b/>
          <w:spacing w:val="-4"/>
          <w:sz w:val="18"/>
        </w:rPr>
        <w:t>owed</w:t>
      </w:r>
    </w:p>
    <w:p>
      <w:pPr>
        <w:pStyle w:val="BodyText"/>
        <w:spacing w:before="41"/>
        <w:rPr>
          <w:rFonts w:ascii="Arial"/>
          <w:b/>
          <w:sz w:val="18"/>
        </w:rPr>
      </w:pPr>
    </w:p>
    <w:p>
      <w:pPr>
        <w:pStyle w:val="Heading2"/>
      </w:pPr>
      <w:r>
        <w:rPr/>
        <w:t>18-</w:t>
      </w:r>
      <w:r>
        <w:rPr>
          <w:spacing w:val="-5"/>
        </w:rPr>
        <w:t>031</w:t>
      </w:r>
    </w:p>
    <w:p>
      <w:pPr>
        <w:pStyle w:val="BodyText"/>
        <w:spacing w:line="235" w:lineRule="auto" w:before="202"/>
        <w:ind w:left="164" w:right="167"/>
        <w:jc w:val="both"/>
      </w:pPr>
      <w:r>
        <w:rPr/>
        <w:t>The law finally restricts the range of persons to whom the duty of care may be owed. Where, for example, a valuer was requested by a borrower to address a valuation of the property on which the </w:t>
      </w:r>
      <w:bookmarkStart w:name="_bookmark303" w:id="305"/>
      <w:bookmarkEnd w:id="305"/>
      <w:r>
        <w:rPr/>
        <w:t>loan</w:t>
      </w:r>
      <w:r>
        <w:rPr/>
        <w:t> was to be secured to “the prospective lender,” it was held that the valuer owed no duty to </w:t>
      </w:r>
      <w:r>
        <w:rPr/>
        <w:t>that </w:t>
      </w:r>
      <w:bookmarkStart w:name="_bookmark304" w:id="306"/>
      <w:bookmarkEnd w:id="306"/>
      <w:r>
        <w:rPr/>
        <w:t>lender’s</w:t>
      </w:r>
      <w:r>
        <w:rPr/>
        <w:t> assignee. </w:t>
      </w:r>
      <w:r>
        <w:rPr>
          <w:color w:val="005DA1"/>
          <w:u w:val="single" w:color="005DA1"/>
          <w:vertAlign w:val="superscript"/>
        </w:rPr>
        <w:t>185</w:t>
      </w:r>
      <w:r>
        <w:rPr>
          <w:color w:val="005DA1"/>
          <w:vertAlign w:val="baseline"/>
        </w:rPr>
        <w:t> </w:t>
      </w:r>
      <w:r>
        <w:rPr>
          <w:vertAlign w:val="baseline"/>
        </w:rPr>
        <w:t>Similarly, counsel who had given advice to his client in litigation has been held to owe no duty of care in respect of that advice to the other party to the litigation </w:t>
      </w:r>
      <w:r>
        <w:rPr>
          <w:color w:val="005DA1"/>
          <w:u w:val="single" w:color="005DA1"/>
          <w:vertAlign w:val="superscript"/>
        </w:rPr>
        <w:t>186</w:t>
      </w:r>
      <w:r>
        <w:rPr>
          <w:vertAlign w:val="baseline"/>
        </w:rPr>
        <w:t>; and a solicitor </w:t>
      </w:r>
      <w:bookmarkStart w:name="_bookmark305" w:id="307"/>
      <w:bookmarkEnd w:id="307"/>
      <w:r>
        <w:rPr>
          <w:vertAlign w:val="baseline"/>
        </w:rPr>
        <w:t>engaged</w:t>
      </w:r>
      <w:r>
        <w:rPr>
          <w:spacing w:val="-2"/>
          <w:vertAlign w:val="baseline"/>
        </w:rPr>
        <w:t> </w:t>
      </w:r>
      <w:r>
        <w:rPr>
          <w:vertAlign w:val="baseline"/>
        </w:rPr>
        <w:t>by</w:t>
      </w:r>
      <w:r>
        <w:rPr>
          <w:spacing w:val="-2"/>
          <w:vertAlign w:val="baseline"/>
        </w:rPr>
        <w:t> </w:t>
      </w:r>
      <w:r>
        <w:rPr>
          <w:vertAlign w:val="baseline"/>
        </w:rPr>
        <w:t>one</w:t>
      </w:r>
      <w:r>
        <w:rPr>
          <w:spacing w:val="-2"/>
          <w:vertAlign w:val="baseline"/>
        </w:rPr>
        <w:t> </w:t>
      </w:r>
      <w:r>
        <w:rPr>
          <w:vertAlign w:val="baseline"/>
        </w:rPr>
        <w:t>party</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transaction</w:t>
      </w:r>
      <w:r>
        <w:rPr>
          <w:spacing w:val="-2"/>
          <w:vertAlign w:val="baseline"/>
        </w:rPr>
        <w:t> </w:t>
      </w:r>
      <w:r>
        <w:rPr>
          <w:vertAlign w:val="baseline"/>
        </w:rPr>
        <w:t>will</w:t>
      </w:r>
      <w:r>
        <w:rPr>
          <w:spacing w:val="-2"/>
          <w:vertAlign w:val="baseline"/>
        </w:rPr>
        <w:t> </w:t>
      </w:r>
      <w:r>
        <w:rPr>
          <w:vertAlign w:val="baseline"/>
        </w:rPr>
        <w:t>not</w:t>
      </w:r>
      <w:r>
        <w:rPr>
          <w:spacing w:val="-2"/>
          <w:vertAlign w:val="baseline"/>
        </w:rPr>
        <w:t> </w:t>
      </w:r>
      <w:r>
        <w:rPr>
          <w:vertAlign w:val="baseline"/>
        </w:rPr>
        <w:t>normally</w:t>
      </w:r>
      <w:r>
        <w:rPr>
          <w:spacing w:val="-2"/>
          <w:vertAlign w:val="baseline"/>
        </w:rPr>
        <w:t> </w:t>
      </w:r>
      <w:r>
        <w:rPr>
          <w:vertAlign w:val="baseline"/>
        </w:rPr>
        <w:t>owe</w:t>
      </w:r>
      <w:r>
        <w:rPr>
          <w:spacing w:val="-2"/>
          <w:vertAlign w:val="baseline"/>
        </w:rPr>
        <w:t> </w:t>
      </w:r>
      <w:r>
        <w:rPr>
          <w:vertAlign w:val="baseline"/>
        </w:rPr>
        <w:t>a</w:t>
      </w:r>
      <w:r>
        <w:rPr>
          <w:spacing w:val="-2"/>
          <w:vertAlign w:val="baseline"/>
        </w:rPr>
        <w:t> </w:t>
      </w:r>
      <w:r>
        <w:rPr>
          <w:vertAlign w:val="baseline"/>
        </w:rPr>
        <w:t>duty</w:t>
      </w:r>
      <w:r>
        <w:rPr>
          <w:spacing w:val="-2"/>
          <w:vertAlign w:val="baseline"/>
        </w:rPr>
        <w:t> </w:t>
      </w:r>
      <w:r>
        <w:rPr>
          <w:vertAlign w:val="baseline"/>
        </w:rPr>
        <w:t>of</w:t>
      </w:r>
      <w:r>
        <w:rPr>
          <w:spacing w:val="-2"/>
          <w:vertAlign w:val="baseline"/>
        </w:rPr>
        <w:t> </w:t>
      </w:r>
      <w:r>
        <w:rPr>
          <w:vertAlign w:val="baseline"/>
        </w:rPr>
        <w:t>care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party,</w:t>
      </w:r>
      <w:r>
        <w:rPr>
          <w:spacing w:val="-2"/>
          <w:vertAlign w:val="baseline"/>
        </w:rPr>
        <w:t> </w:t>
      </w:r>
      <w:r>
        <w:rPr>
          <w:vertAlign w:val="baseline"/>
        </w:rPr>
        <w:t>since</w:t>
      </w:r>
      <w:r>
        <w:rPr>
          <w:spacing w:val="-2"/>
          <w:vertAlign w:val="baseline"/>
        </w:rPr>
        <w:t> </w:t>
      </w:r>
      <w:r>
        <w:rPr>
          <w:vertAlign w:val="baseline"/>
        </w:rPr>
        <w:t>the imposition of such a duty could give rise to a conflict of interest. </w:t>
      </w:r>
      <w:r>
        <w:rPr>
          <w:color w:val="005DA1"/>
          <w:u w:val="single" w:color="005DA1"/>
          <w:vertAlign w:val="superscript"/>
        </w:rPr>
        <w:t>187</w:t>
      </w:r>
      <w:r>
        <w:rPr>
          <w:color w:val="005DA1"/>
          <w:vertAlign w:val="baseline"/>
        </w:rPr>
        <w:t> </w:t>
      </w:r>
      <w:r>
        <w:rPr>
          <w:vertAlign w:val="baseline"/>
        </w:rPr>
        <w:t>Such a duty may, however, arise</w:t>
      </w:r>
      <w:r>
        <w:rPr>
          <w:spacing w:val="40"/>
          <w:vertAlign w:val="baseline"/>
        </w:rPr>
        <w:t> </w:t>
      </w:r>
      <w:r>
        <w:rPr>
          <w:vertAlign w:val="baseline"/>
        </w:rPr>
        <w:t>in exceptional circumstances, e.g. where, in relation to a loan to be secured on a leasehold flat, the borrower engaged the defendants as his solicitors and they knew that the lender had not engaged</w:t>
      </w:r>
      <w:r>
        <w:rPr>
          <w:spacing w:val="40"/>
          <w:vertAlign w:val="baseline"/>
        </w:rPr>
        <w:t> </w:t>
      </w:r>
      <w:bookmarkStart w:name="_bookmark306" w:id="308"/>
      <w:bookmarkEnd w:id="308"/>
      <w:r>
        <w:rPr>
          <w:vertAlign w:val="baseline"/>
        </w:rPr>
        <w:t>and</w:t>
      </w:r>
      <w:r>
        <w:rPr>
          <w:vertAlign w:val="baseline"/>
        </w:rPr>
        <w:t> did not intend to engage his own solicitor. The defendants were held liable in tort to the lender for failing effectively to secure the loan on the flat. </w:t>
      </w:r>
      <w:r>
        <w:rPr>
          <w:color w:val="005DA1"/>
          <w:u w:val="single" w:color="005DA1"/>
          <w:vertAlign w:val="superscript"/>
        </w:rPr>
        <w:t>188</w:t>
      </w:r>
      <w:r>
        <w:rPr>
          <w:color w:val="005DA1"/>
          <w:vertAlign w:val="baseline"/>
        </w:rPr>
        <w:t> </w:t>
      </w:r>
      <w:r>
        <w:rPr>
          <w:vertAlign w:val="baseline"/>
        </w:rPr>
        <w:t>The existence of a duty of care to a person with whom the defendant was not in any contractual relationship may also be negatived by the fact that </w:t>
      </w:r>
      <w:bookmarkStart w:name="_bookmark307" w:id="309"/>
      <w:bookmarkEnd w:id="309"/>
      <w:r>
        <w:rPr>
          <w:vertAlign w:val="baseline"/>
        </w:rPr>
        <w:t>that</w:t>
      </w:r>
      <w:r>
        <w:rPr>
          <w:vertAlign w:val="baseline"/>
        </w:rPr>
        <w:t> person has an adequate remedy in respect of the loss in question against another potential defendant. </w:t>
      </w:r>
      <w:r>
        <w:rPr>
          <w:color w:val="005DA1"/>
          <w:u w:val="single" w:color="005DA1"/>
          <w:vertAlign w:val="superscript"/>
        </w:rPr>
        <w:t>189</w:t>
      </w:r>
    </w:p>
    <w:p>
      <w:pPr>
        <w:pStyle w:val="BodyText"/>
      </w:pPr>
    </w:p>
    <w:p>
      <w:pPr>
        <w:pStyle w:val="BodyText"/>
        <w:spacing w:before="34"/>
      </w:pPr>
    </w:p>
    <w:p>
      <w:pPr>
        <w:spacing w:before="0"/>
        <w:ind w:left="165" w:right="0" w:firstLine="0"/>
        <w:jc w:val="left"/>
        <w:rPr>
          <w:rFonts w:ascii="Arial"/>
          <w:b/>
          <w:sz w:val="18"/>
        </w:rPr>
      </w:pPr>
      <w:r>
        <w:rPr>
          <w:rFonts w:ascii="Arial"/>
          <w:b/>
          <w:sz w:val="18"/>
        </w:rPr>
        <w:t>Duty restricted by terms of </w:t>
      </w:r>
      <w:r>
        <w:rPr>
          <w:rFonts w:ascii="Arial"/>
          <w:b/>
          <w:spacing w:val="-2"/>
          <w:sz w:val="18"/>
        </w:rPr>
        <w:t>contracts</w:t>
      </w:r>
    </w:p>
    <w:p>
      <w:pPr>
        <w:pStyle w:val="BodyText"/>
        <w:spacing w:before="41"/>
        <w:rPr>
          <w:rFonts w:ascii="Arial"/>
          <w:b/>
          <w:sz w:val="18"/>
        </w:rPr>
      </w:pPr>
    </w:p>
    <w:p>
      <w:pPr>
        <w:pStyle w:val="Heading2"/>
      </w:pPr>
      <w:r>
        <w:rPr/>
        <w:t>18-</w:t>
      </w:r>
      <w:r>
        <w:rPr>
          <w:spacing w:val="-5"/>
        </w:rPr>
        <w:t>032</w:t>
      </w:r>
    </w:p>
    <w:p>
      <w:pPr>
        <w:pStyle w:val="Heading2"/>
        <w:spacing w:after="0"/>
        <w:sectPr>
          <w:pgSz w:w="11900" w:h="16840"/>
          <w:pgMar w:header="971" w:footer="0" w:top="1160" w:bottom="280" w:left="1275" w:right="1275"/>
        </w:sectPr>
      </w:pPr>
    </w:p>
    <w:p>
      <w:pPr>
        <w:pStyle w:val="BodyText"/>
        <w:spacing w:before="124"/>
        <w:rPr>
          <w:rFonts w:ascii="Arial"/>
          <w:b/>
        </w:rPr>
      </w:pPr>
    </w:p>
    <w:p>
      <w:pPr>
        <w:pStyle w:val="BodyText"/>
        <w:spacing w:line="235" w:lineRule="auto" w:before="1"/>
        <w:ind w:left="165" w:right="167"/>
        <w:jc w:val="both"/>
      </w:pPr>
      <w:r>
        <w:rPr/>
        <w:t>The scope of any duty of care owed by A to C may, finally, be restricted by the terms of the contracts between A and B and between B and C. These contracts may be relevant for this purpose either in </w:t>
      </w:r>
      <w:bookmarkStart w:name="_bookmark308" w:id="310"/>
      <w:bookmarkEnd w:id="310"/>
      <w:r>
        <w:rPr/>
        <w:t>specifying</w:t>
      </w:r>
      <w:r>
        <w:rPr>
          <w:spacing w:val="-1"/>
        </w:rPr>
        <w:t> </w:t>
      </w:r>
      <w:r>
        <w:rPr/>
        <w:t>exactly</w:t>
      </w:r>
      <w:r>
        <w:rPr>
          <w:spacing w:val="-1"/>
        </w:rPr>
        <w:t> </w:t>
      </w:r>
      <w:r>
        <w:rPr/>
        <w:t>what</w:t>
      </w:r>
      <w:r>
        <w:rPr>
          <w:spacing w:val="-1"/>
        </w:rPr>
        <w:t> </w:t>
      </w:r>
      <w:r>
        <w:rPr/>
        <w:t>it</w:t>
      </w:r>
      <w:r>
        <w:rPr>
          <w:spacing w:val="-1"/>
        </w:rPr>
        <w:t> </w:t>
      </w:r>
      <w:r>
        <w:rPr/>
        <w:t>is</w:t>
      </w:r>
      <w:r>
        <w:rPr>
          <w:spacing w:val="-1"/>
        </w:rPr>
        <w:t> </w:t>
      </w:r>
      <w:r>
        <w:rPr/>
        <w:t>that</w:t>
      </w:r>
      <w:r>
        <w:rPr>
          <w:spacing w:val="-1"/>
        </w:rPr>
        <w:t> </w:t>
      </w:r>
      <w:r>
        <w:rPr/>
        <w:t>A</w:t>
      </w:r>
      <w:r>
        <w:rPr>
          <w:spacing w:val="-1"/>
        </w:rPr>
        <w:t> </w:t>
      </w:r>
      <w:r>
        <w:rPr/>
        <w:t>is</w:t>
      </w:r>
      <w:r>
        <w:rPr>
          <w:spacing w:val="-1"/>
        </w:rPr>
        <w:t> </w:t>
      </w:r>
      <w:r>
        <w:rPr/>
        <w:t>required</w:t>
      </w:r>
      <w:r>
        <w:rPr>
          <w:spacing w:val="-1"/>
        </w:rPr>
        <w:t> </w:t>
      </w:r>
      <w:r>
        <w:rPr/>
        <w:t>to</w:t>
      </w:r>
      <w:r>
        <w:rPr>
          <w:spacing w:val="-1"/>
        </w:rPr>
        <w:t> </w:t>
      </w:r>
      <w:r>
        <w:rPr/>
        <w:t>do,</w:t>
      </w:r>
      <w:r>
        <w:rPr>
          <w:spacing w:val="-1"/>
        </w:rPr>
        <w:t> </w:t>
      </w:r>
      <w:r>
        <w:rPr/>
        <w:t>or</w:t>
      </w:r>
      <w:r>
        <w:rPr>
          <w:spacing w:val="-1"/>
        </w:rPr>
        <w:t> </w:t>
      </w:r>
      <w:r>
        <w:rPr/>
        <w:t>in</w:t>
      </w:r>
      <w:r>
        <w:rPr>
          <w:spacing w:val="-1"/>
        </w:rPr>
        <w:t> </w:t>
      </w:r>
      <w:r>
        <w:rPr/>
        <w:t>showing</w:t>
      </w:r>
      <w:r>
        <w:rPr>
          <w:spacing w:val="-1"/>
        </w:rPr>
        <w:t> </w:t>
      </w:r>
      <w:r>
        <w:rPr/>
        <w:t>that</w:t>
      </w:r>
      <w:r>
        <w:rPr>
          <w:spacing w:val="-1"/>
        </w:rPr>
        <w:t> </w:t>
      </w:r>
      <w:r>
        <w:rPr/>
        <w:t>C</w:t>
      </w:r>
      <w:r>
        <w:rPr>
          <w:spacing w:val="-1"/>
        </w:rPr>
        <w:t> </w:t>
      </w:r>
      <w:r>
        <w:rPr/>
        <w:t>has</w:t>
      </w:r>
      <w:r>
        <w:rPr>
          <w:spacing w:val="-1"/>
        </w:rPr>
        <w:t> </w:t>
      </w:r>
      <w:r>
        <w:rPr/>
        <w:t>assented</w:t>
      </w:r>
      <w:r>
        <w:rPr>
          <w:spacing w:val="-1"/>
        </w:rPr>
        <w:t> </w:t>
      </w:r>
      <w:r>
        <w:rPr/>
        <w:t>to</w:t>
      </w:r>
      <w:r>
        <w:rPr>
          <w:spacing w:val="-1"/>
        </w:rPr>
        <w:t> </w:t>
      </w:r>
      <w:r>
        <w:rPr/>
        <w:t>a</w:t>
      </w:r>
      <w:r>
        <w:rPr>
          <w:spacing w:val="-1"/>
        </w:rPr>
        <w:t> </w:t>
      </w:r>
      <w:r>
        <w:rPr/>
        <w:t>term</w:t>
      </w:r>
      <w:r>
        <w:rPr>
          <w:spacing w:val="-1"/>
        </w:rPr>
        <w:t> </w:t>
      </w:r>
      <w:r>
        <w:rPr/>
        <w:t>of</w:t>
      </w:r>
      <w:r>
        <w:rPr>
          <w:spacing w:val="-1"/>
        </w:rPr>
        <w:t> </w:t>
      </w:r>
      <w:r>
        <w:rPr/>
        <w:t>the contract which validly excluded A’s liability for defective performance. </w:t>
      </w:r>
      <w:r>
        <w:rPr>
          <w:color w:val="005DA1"/>
          <w:u w:val="single" w:color="005DA1"/>
          <w:vertAlign w:val="superscript"/>
        </w:rPr>
        <w:t>190</w:t>
      </w:r>
    </w:p>
    <w:p>
      <w:pPr>
        <w:pStyle w:val="BodyText"/>
      </w:pPr>
    </w:p>
    <w:p>
      <w:pPr>
        <w:pStyle w:val="BodyText"/>
        <w:spacing w:before="37"/>
      </w:pPr>
    </w:p>
    <w:p>
      <w:pPr>
        <w:spacing w:before="0"/>
        <w:ind w:left="165" w:right="0" w:firstLine="0"/>
        <w:jc w:val="both"/>
        <w:rPr>
          <w:rFonts w:ascii="Arial"/>
          <w:b/>
          <w:sz w:val="18"/>
        </w:rPr>
      </w:pPr>
      <w:r>
        <w:rPr>
          <w:rFonts w:ascii="Arial"/>
          <w:b/>
          <w:sz w:val="18"/>
        </w:rPr>
        <w:t>Economic loss and physical </w:t>
      </w:r>
      <w:r>
        <w:rPr>
          <w:rFonts w:ascii="Arial"/>
          <w:b/>
          <w:spacing w:val="-4"/>
          <w:sz w:val="18"/>
        </w:rPr>
        <w:t>harm</w:t>
      </w:r>
    </w:p>
    <w:p>
      <w:pPr>
        <w:pStyle w:val="BodyText"/>
        <w:spacing w:before="41"/>
        <w:rPr>
          <w:rFonts w:ascii="Arial"/>
          <w:b/>
          <w:sz w:val="18"/>
        </w:rPr>
      </w:pPr>
    </w:p>
    <w:p>
      <w:pPr>
        <w:pStyle w:val="Heading2"/>
      </w:pPr>
      <w:r>
        <w:rPr/>
        <w:t>18-</w:t>
      </w:r>
      <w:r>
        <w:rPr>
          <w:spacing w:val="-5"/>
        </w:rPr>
        <w:t>033</w:t>
      </w:r>
    </w:p>
    <w:p>
      <w:pPr>
        <w:pStyle w:val="BodyText"/>
        <w:spacing w:line="235" w:lineRule="auto" w:before="203"/>
        <w:ind w:left="165" w:right="167"/>
        <w:jc w:val="both"/>
      </w:pPr>
      <w:r>
        <w:rPr/>
        <w:t>Except where there is a special relationship between the parties, as in the misrepresentation cases discussed in Chapter 7, and in those in which the third party’s claim is based on the </w:t>
      </w:r>
      <w:r>
        <w:rPr/>
        <w:t>defendant’s </w:t>
      </w:r>
      <w:bookmarkStart w:name="_bookmark309" w:id="311"/>
      <w:bookmarkEnd w:id="311"/>
      <w:r>
        <w:rPr/>
        <w:t>breach</w:t>
      </w:r>
      <w:r>
        <w:rPr/>
        <w:t> of a contract, such as one to perform professional services, which involves, in addition to his obligations</w:t>
      </w:r>
      <w:r>
        <w:rPr>
          <w:spacing w:val="9"/>
        </w:rPr>
        <w:t> </w:t>
      </w:r>
      <w:r>
        <w:rPr/>
        <w:t>under</w:t>
      </w:r>
      <w:r>
        <w:rPr>
          <w:spacing w:val="9"/>
        </w:rPr>
        <w:t> </w:t>
      </w:r>
      <w:r>
        <w:rPr/>
        <w:t>that</w:t>
      </w:r>
      <w:r>
        <w:rPr>
          <w:spacing w:val="9"/>
        </w:rPr>
        <w:t> </w:t>
      </w:r>
      <w:r>
        <w:rPr/>
        <w:t>contract</w:t>
      </w:r>
      <w:r>
        <w:rPr>
          <w:spacing w:val="9"/>
        </w:rPr>
        <w:t> </w:t>
      </w:r>
      <w:r>
        <w:rPr/>
        <w:t>to</w:t>
      </w:r>
      <w:r>
        <w:rPr>
          <w:spacing w:val="9"/>
        </w:rPr>
        <w:t> </w:t>
      </w:r>
      <w:r>
        <w:rPr/>
        <w:t>the</w:t>
      </w:r>
      <w:r>
        <w:rPr>
          <w:spacing w:val="9"/>
        </w:rPr>
        <w:t> </w:t>
      </w:r>
      <w:r>
        <w:rPr/>
        <w:t>other</w:t>
      </w:r>
      <w:r>
        <w:rPr>
          <w:spacing w:val="9"/>
        </w:rPr>
        <w:t> </w:t>
      </w:r>
      <w:r>
        <w:rPr/>
        <w:t>party</w:t>
      </w:r>
      <w:r>
        <w:rPr>
          <w:spacing w:val="9"/>
        </w:rPr>
        <w:t> </w:t>
      </w:r>
      <w:r>
        <w:rPr/>
        <w:t>to</w:t>
      </w:r>
      <w:r>
        <w:rPr>
          <w:spacing w:val="9"/>
        </w:rPr>
        <w:t> </w:t>
      </w:r>
      <w:r>
        <w:rPr/>
        <w:t>it,</w:t>
      </w:r>
      <w:r>
        <w:rPr>
          <w:spacing w:val="9"/>
        </w:rPr>
        <w:t> </w:t>
      </w:r>
      <w:r>
        <w:rPr/>
        <w:t>an</w:t>
      </w:r>
      <w:r>
        <w:rPr>
          <w:spacing w:val="9"/>
        </w:rPr>
        <w:t> </w:t>
      </w:r>
      <w:r>
        <w:rPr/>
        <w:t>assumption</w:t>
      </w:r>
      <w:r>
        <w:rPr>
          <w:spacing w:val="9"/>
        </w:rPr>
        <w:t> </w:t>
      </w:r>
      <w:r>
        <w:rPr/>
        <w:t>of</w:t>
      </w:r>
      <w:r>
        <w:rPr>
          <w:spacing w:val="9"/>
        </w:rPr>
        <w:t> </w:t>
      </w:r>
      <w:r>
        <w:rPr/>
        <w:t>responsibility</w:t>
      </w:r>
      <w:r>
        <w:rPr>
          <w:spacing w:val="9"/>
        </w:rPr>
        <w:t> </w:t>
      </w:r>
      <w:r>
        <w:rPr/>
        <w:t>to</w:t>
      </w:r>
      <w:r>
        <w:rPr>
          <w:spacing w:val="9"/>
        </w:rPr>
        <w:t> </w:t>
      </w:r>
      <w:r>
        <w:rPr/>
        <w:t>a</w:t>
      </w:r>
      <w:r>
        <w:rPr>
          <w:spacing w:val="9"/>
        </w:rPr>
        <w:t> </w:t>
      </w:r>
      <w:r>
        <w:rPr/>
        <w:t>third</w:t>
      </w:r>
      <w:r>
        <w:rPr>
          <w:spacing w:val="9"/>
        </w:rPr>
        <w:t> </w:t>
      </w:r>
      <w:r>
        <w:rPr>
          <w:spacing w:val="-2"/>
        </w:rPr>
        <w:t>party,</w:t>
      </w:r>
    </w:p>
    <w:p>
      <w:pPr>
        <w:pStyle w:val="BodyText"/>
        <w:spacing w:line="235" w:lineRule="auto"/>
        <w:ind w:left="165" w:right="167"/>
        <w:jc w:val="both"/>
      </w:pPr>
      <w:r>
        <w:rPr>
          <w:color w:val="005DA1"/>
          <w:u w:val="single" w:color="005DA1"/>
          <w:vertAlign w:val="superscript"/>
        </w:rPr>
        <w:t>191</w:t>
      </w:r>
      <w:r>
        <w:rPr>
          <w:color w:val="005DA1"/>
          <w:vertAlign w:val="baseline"/>
        </w:rPr>
        <w:t> </w:t>
      </w:r>
      <w:bookmarkStart w:name="_bookmark310" w:id="312"/>
      <w:bookmarkEnd w:id="312"/>
      <w:r>
        <w:rPr>
          <w:color w:val="005DA1"/>
          <w:spacing w:val="24"/>
          <w:vertAlign w:val="baseline"/>
        </w:rPr>
      </w:r>
      <w:r>
        <w:rPr>
          <w:vertAlign w:val="baseline"/>
        </w:rPr>
        <w:t>a claimant cannot rely on the breach of a contract to which he was not a party as giving him </w:t>
      </w:r>
      <w:r>
        <w:rPr>
          <w:vertAlign w:val="baseline"/>
        </w:rPr>
        <w:t>a </w:t>
      </w:r>
      <w:bookmarkStart w:name="_bookmark311" w:id="313"/>
      <w:bookmarkEnd w:id="313"/>
      <w:r>
        <w:rPr>
          <w:vertAlign w:val="baseline"/>
        </w:rPr>
        <w:t>cause</w:t>
      </w:r>
      <w:r>
        <w:rPr>
          <w:vertAlign w:val="baseline"/>
        </w:rPr>
        <w:t> of action in tort merely </w:t>
      </w:r>
      <w:r>
        <w:rPr>
          <w:color w:val="005DA1"/>
          <w:u w:val="single" w:color="005DA1"/>
          <w:vertAlign w:val="superscript"/>
        </w:rPr>
        <w:t>192</w:t>
      </w:r>
      <w:r>
        <w:rPr>
          <w:color w:val="005DA1"/>
          <w:vertAlign w:val="baseline"/>
        </w:rPr>
        <w:t> </w:t>
      </w:r>
      <w:r>
        <w:rPr>
          <w:vertAlign w:val="baseline"/>
        </w:rPr>
        <w:t>because, as a result of the breach, he has suffered economic loss, </w:t>
      </w:r>
      <w:bookmarkStart w:name="_bookmark312" w:id="314"/>
      <w:bookmarkEnd w:id="314"/>
      <w:r>
        <w:rPr>
          <w:vertAlign w:val="baseline"/>
        </w:rPr>
        <w:t>that</w:t>
      </w:r>
      <w:r>
        <w:rPr>
          <w:vertAlign w:val="baseline"/>
        </w:rPr>
        <w:t> is loss not taking the form of either personal injury or of physical damage to his property. </w:t>
      </w:r>
      <w:r>
        <w:rPr>
          <w:color w:val="005DA1"/>
          <w:u w:val="single" w:color="005DA1"/>
          <w:vertAlign w:val="superscript"/>
        </w:rPr>
        <w:t>193</w:t>
      </w:r>
      <w:r>
        <w:rPr>
          <w:color w:val="005DA1"/>
          <w:vertAlign w:val="baseline"/>
        </w:rPr>
        <w:t> </w:t>
      </w:r>
      <w:r>
        <w:rPr>
          <w:vertAlign w:val="baseline"/>
        </w:rPr>
        <w:t>The importance of</w:t>
      </w:r>
      <w:r>
        <w:rPr>
          <w:spacing w:val="2"/>
          <w:vertAlign w:val="baseline"/>
        </w:rPr>
        <w:t> </w:t>
      </w:r>
      <w:r>
        <w:rPr>
          <w:vertAlign w:val="baseline"/>
        </w:rPr>
        <w:t>this</w:t>
      </w:r>
      <w:r>
        <w:rPr>
          <w:spacing w:val="2"/>
          <w:vertAlign w:val="baseline"/>
        </w:rPr>
        <w:t> </w:t>
      </w:r>
      <w:r>
        <w:rPr>
          <w:vertAlign w:val="baseline"/>
        </w:rPr>
        <w:t>point</w:t>
      </w:r>
      <w:r>
        <w:rPr>
          <w:spacing w:val="2"/>
          <w:vertAlign w:val="baseline"/>
        </w:rPr>
        <w:t> </w:t>
      </w:r>
      <w:r>
        <w:rPr>
          <w:vertAlign w:val="baseline"/>
        </w:rPr>
        <w:t>is</w:t>
      </w:r>
      <w:r>
        <w:rPr>
          <w:spacing w:val="2"/>
          <w:vertAlign w:val="baseline"/>
        </w:rPr>
        <w:t> </w:t>
      </w:r>
      <w:r>
        <w:rPr>
          <w:vertAlign w:val="baseline"/>
        </w:rPr>
        <w:t>illustrated</w:t>
      </w:r>
      <w:r>
        <w:rPr>
          <w:spacing w:val="2"/>
          <w:vertAlign w:val="baseline"/>
        </w:rPr>
        <w:t> </w:t>
      </w:r>
      <w:r>
        <w:rPr>
          <w:vertAlign w:val="baseline"/>
        </w:rPr>
        <w:t>by</w:t>
      </w:r>
      <w:r>
        <w:rPr>
          <w:spacing w:val="1"/>
          <w:vertAlign w:val="baseline"/>
        </w:rPr>
        <w:t> </w:t>
      </w:r>
      <w:r>
        <w:rPr>
          <w:rFonts w:ascii="Arial"/>
          <w:i/>
          <w:vertAlign w:val="baseline"/>
        </w:rPr>
        <w:t>Simaan</w:t>
      </w:r>
      <w:r>
        <w:rPr>
          <w:rFonts w:ascii="Arial"/>
          <w:i/>
          <w:spacing w:val="2"/>
          <w:vertAlign w:val="baseline"/>
        </w:rPr>
        <w:t> </w:t>
      </w:r>
      <w:r>
        <w:rPr>
          <w:rFonts w:ascii="Arial"/>
          <w:i/>
          <w:vertAlign w:val="baseline"/>
        </w:rPr>
        <w:t>General</w:t>
      </w:r>
      <w:r>
        <w:rPr>
          <w:rFonts w:ascii="Arial"/>
          <w:i/>
          <w:spacing w:val="2"/>
          <w:vertAlign w:val="baseline"/>
        </w:rPr>
        <w:t> </w:t>
      </w:r>
      <w:r>
        <w:rPr>
          <w:rFonts w:ascii="Arial"/>
          <w:i/>
          <w:vertAlign w:val="baseline"/>
        </w:rPr>
        <w:t>Contracting</w:t>
      </w:r>
      <w:r>
        <w:rPr>
          <w:rFonts w:ascii="Arial"/>
          <w:i/>
          <w:spacing w:val="2"/>
          <w:vertAlign w:val="baseline"/>
        </w:rPr>
        <w:t> </w:t>
      </w:r>
      <w:r>
        <w:rPr>
          <w:rFonts w:ascii="Arial"/>
          <w:i/>
          <w:vertAlign w:val="baseline"/>
        </w:rPr>
        <w:t>Co</w:t>
      </w:r>
      <w:r>
        <w:rPr>
          <w:rFonts w:ascii="Arial"/>
          <w:i/>
          <w:spacing w:val="2"/>
          <w:vertAlign w:val="baseline"/>
        </w:rPr>
        <w:t> </w:t>
      </w:r>
      <w:r>
        <w:rPr>
          <w:rFonts w:ascii="Arial"/>
          <w:i/>
          <w:vertAlign w:val="baseline"/>
        </w:rPr>
        <w:t>v</w:t>
      </w:r>
      <w:r>
        <w:rPr>
          <w:rFonts w:ascii="Arial"/>
          <w:i/>
          <w:spacing w:val="2"/>
          <w:vertAlign w:val="baseline"/>
        </w:rPr>
        <w:t> </w:t>
      </w:r>
      <w:r>
        <w:rPr>
          <w:rFonts w:ascii="Arial"/>
          <w:i/>
          <w:vertAlign w:val="baseline"/>
        </w:rPr>
        <w:t>Pilkington</w:t>
      </w:r>
      <w:r>
        <w:rPr>
          <w:rFonts w:ascii="Arial"/>
          <w:i/>
          <w:spacing w:val="2"/>
          <w:vertAlign w:val="baseline"/>
        </w:rPr>
        <w:t> </w:t>
      </w:r>
      <w:r>
        <w:rPr>
          <w:rFonts w:ascii="Arial"/>
          <w:i/>
          <w:vertAlign w:val="baseline"/>
        </w:rPr>
        <w:t>Glass</w:t>
      </w:r>
      <w:r>
        <w:rPr>
          <w:rFonts w:ascii="Arial"/>
          <w:i/>
          <w:spacing w:val="2"/>
          <w:vertAlign w:val="baseline"/>
        </w:rPr>
        <w:t> </w:t>
      </w:r>
      <w:r>
        <w:rPr>
          <w:rFonts w:ascii="Arial"/>
          <w:i/>
          <w:vertAlign w:val="baseline"/>
        </w:rPr>
        <w:t>Ltd</w:t>
      </w:r>
      <w:r>
        <w:rPr>
          <w:rFonts w:ascii="Arial"/>
          <w:i/>
          <w:spacing w:val="2"/>
          <w:vertAlign w:val="baseline"/>
        </w:rPr>
        <w:t> </w:t>
      </w:r>
      <w:r>
        <w:rPr>
          <w:rFonts w:ascii="Arial"/>
          <w:i/>
          <w:spacing w:val="-2"/>
          <w:vertAlign w:val="baseline"/>
        </w:rPr>
        <w:t>(No.2)</w:t>
      </w:r>
      <w:r>
        <w:rPr>
          <w:spacing w:val="-2"/>
          <w:vertAlign w:val="baseline"/>
        </w:rPr>
        <w:t>,</w:t>
      </w:r>
    </w:p>
    <w:p>
      <w:pPr>
        <w:pStyle w:val="BodyText"/>
        <w:spacing w:line="235" w:lineRule="auto"/>
        <w:ind w:left="164" w:right="167"/>
        <w:jc w:val="both"/>
      </w:pPr>
      <w:r>
        <w:rPr>
          <w:color w:val="005DA1"/>
          <w:u w:val="single" w:color="005DA1"/>
          <w:vertAlign w:val="superscript"/>
        </w:rPr>
        <w:t>194</w:t>
      </w:r>
      <w:r>
        <w:rPr>
          <w:color w:val="005DA1"/>
          <w:vertAlign w:val="baseline"/>
        </w:rPr>
        <w:t> </w:t>
      </w:r>
      <w:r>
        <w:rPr>
          <w:vertAlign w:val="baseline"/>
        </w:rPr>
        <w:t>where the defendants had been nominated as suppliers of glass for incorporation in a building which was being erected by the claimants as main contractors for a client in Abu Dhabi. The glass</w:t>
      </w:r>
      <w:r>
        <w:rPr>
          <w:spacing w:val="40"/>
          <w:vertAlign w:val="baseline"/>
        </w:rPr>
        <w:t> </w:t>
      </w:r>
      <w:r>
        <w:rPr>
          <w:vertAlign w:val="baseline"/>
        </w:rPr>
        <w:t>had been sold by the defendants to a sub-contractor engaged by the claimants, so that there was no contract between claimants and defendants; the glass was perfectly sound but not of the </w:t>
      </w:r>
      <w:r>
        <w:rPr>
          <w:vertAlign w:val="baseline"/>
        </w:rPr>
        <w:t>colour specified in the contract of sale or in the main building contract. In consequence of this shortcoming, the claimants were not paid by their client and so suffered financial loss; but it was held that the defendants’ breach of their contract with the sub-contractors did not give the claimants any right of </w:t>
      </w:r>
      <w:bookmarkStart w:name="_bookmark313" w:id="315"/>
      <w:bookmarkEnd w:id="315"/>
      <w:r>
        <w:rPr>
          <w:vertAlign w:val="baseline"/>
        </w:rPr>
        <w:t>action</w:t>
      </w:r>
      <w:r>
        <w:rPr>
          <w:vertAlign w:val="baseline"/>
        </w:rPr>
        <w:t> in tort against the defendants merely because that breach had caused the claimants to suffer financial</w:t>
      </w:r>
      <w:r>
        <w:rPr>
          <w:spacing w:val="-1"/>
          <w:vertAlign w:val="baseline"/>
        </w:rPr>
        <w:t> </w:t>
      </w:r>
      <w:r>
        <w:rPr>
          <w:vertAlign w:val="baseline"/>
        </w:rPr>
        <w:t>loss.</w:t>
      </w:r>
      <w:r>
        <w:rPr>
          <w:spacing w:val="-1"/>
          <w:vertAlign w:val="baseline"/>
        </w:rPr>
        <w:t> </w:t>
      </w:r>
      <w:r>
        <w:rPr>
          <w:vertAlign w:val="baseline"/>
        </w:rPr>
        <w:t>Similarly,</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in</w:t>
      </w:r>
      <w:r>
        <w:rPr>
          <w:spacing w:val="-1"/>
          <w:vertAlign w:val="baseline"/>
        </w:rPr>
        <w:t> </w:t>
      </w:r>
      <w:r>
        <w:rPr>
          <w:rFonts w:ascii="Arial" w:hAnsi="Arial"/>
          <w:i/>
          <w:vertAlign w:val="baseline"/>
        </w:rPr>
        <w:t>Balsamo</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Medici</w:t>
      </w:r>
      <w:r>
        <w:rPr>
          <w:rFonts w:ascii="Arial" w:hAnsi="Arial"/>
          <w:i/>
          <w:spacing w:val="-1"/>
          <w:vertAlign w:val="baseline"/>
        </w:rPr>
        <w:t> </w:t>
      </w:r>
      <w:r>
        <w:rPr>
          <w:color w:val="005DA1"/>
          <w:u w:val="single" w:color="005DA1"/>
          <w:vertAlign w:val="superscript"/>
        </w:rPr>
        <w:t>195</w:t>
      </w:r>
      <w:r>
        <w:rPr>
          <w:color w:val="005DA1"/>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sub-agent</w:t>
      </w:r>
      <w:r>
        <w:rPr>
          <w:spacing w:val="-1"/>
          <w:vertAlign w:val="baseline"/>
        </w:rPr>
        <w:t> </w:t>
      </w:r>
      <w:r>
        <w:rPr>
          <w:vertAlign w:val="baseline"/>
        </w:rPr>
        <w:t>who</w:t>
      </w:r>
      <w:r>
        <w:rPr>
          <w:spacing w:val="-1"/>
          <w:vertAlign w:val="baseline"/>
        </w:rPr>
        <w:t> </w:t>
      </w:r>
      <w:r>
        <w:rPr>
          <w:vertAlign w:val="baseline"/>
        </w:rPr>
        <w:t>negligently</w:t>
      </w:r>
      <w:r>
        <w:rPr>
          <w:spacing w:val="-1"/>
          <w:vertAlign w:val="baseline"/>
        </w:rPr>
        <w:t> </w:t>
      </w:r>
      <w:r>
        <w:rPr>
          <w:vertAlign w:val="baseline"/>
        </w:rPr>
        <w:t>paid</w:t>
      </w:r>
      <w:r>
        <w:rPr>
          <w:spacing w:val="-1"/>
          <w:vertAlign w:val="baseline"/>
        </w:rPr>
        <w:t> </w:t>
      </w:r>
      <w:r>
        <w:rPr>
          <w:vertAlign w:val="baseline"/>
        </w:rPr>
        <w:t>over the proceeds of the sale of the principal’s property to a fraudulent impostor was not liable in tort to the principal for such negligence in handling the money; nor was he liable to the principal in contract as there was no privity of contract between the sub-agent and the principal. To uphold a tort claim in</w:t>
      </w:r>
      <w:r>
        <w:rPr>
          <w:spacing w:val="40"/>
          <w:vertAlign w:val="baseline"/>
        </w:rPr>
        <w:t> </w:t>
      </w:r>
      <w:bookmarkStart w:name="_bookmark314" w:id="316"/>
      <w:bookmarkEnd w:id="316"/>
      <w:r>
        <w:rPr>
          <w:vertAlign w:val="baseline"/>
        </w:rPr>
        <w:t>such</w:t>
      </w:r>
      <w:r>
        <w:rPr>
          <w:vertAlign w:val="baseline"/>
        </w:rPr>
        <w:t> a situation would, it was said, “come perilously close to abrogating the doctrine of privity </w:t>
      </w:r>
      <w:bookmarkStart w:name="_bookmark315" w:id="317"/>
      <w:bookmarkEnd w:id="317"/>
      <w:r>
        <w:rPr>
          <w:vertAlign w:val="baseline"/>
        </w:rPr>
        <w:t>altogether.”</w:t>
      </w:r>
      <w:r>
        <w:rPr>
          <w:vertAlign w:val="baseline"/>
        </w:rPr>
        <w:t> </w:t>
      </w:r>
      <w:r>
        <w:rPr>
          <w:color w:val="005DA1"/>
          <w:u w:val="single" w:color="005DA1"/>
          <w:vertAlign w:val="superscript"/>
        </w:rPr>
        <w:t>196</w:t>
      </w:r>
      <w:r>
        <w:rPr>
          <w:color w:val="005DA1"/>
          <w:vertAlign w:val="baseline"/>
        </w:rPr>
        <w:t> </w:t>
      </w:r>
      <w:r>
        <w:rPr>
          <w:vertAlign w:val="baseline"/>
        </w:rPr>
        <w:t>A doctor employed by a company to assess replies of job applicants to medical questionnaires</w:t>
      </w:r>
      <w:r>
        <w:rPr>
          <w:spacing w:val="-3"/>
          <w:vertAlign w:val="baseline"/>
        </w:rPr>
        <w:t> </w:t>
      </w:r>
      <w:r>
        <w:rPr>
          <w:vertAlign w:val="baseline"/>
        </w:rPr>
        <w:t>has</w:t>
      </w:r>
      <w:r>
        <w:rPr>
          <w:spacing w:val="-3"/>
          <w:vertAlign w:val="baseline"/>
        </w:rPr>
        <w:t> </w:t>
      </w:r>
      <w:r>
        <w:rPr>
          <w:vertAlign w:val="baseline"/>
        </w:rPr>
        <w:t>likewise</w:t>
      </w:r>
      <w:r>
        <w:rPr>
          <w:spacing w:val="-3"/>
          <w:vertAlign w:val="baseline"/>
        </w:rPr>
        <w:t> </w:t>
      </w:r>
      <w:r>
        <w:rPr>
          <w:vertAlign w:val="baseline"/>
        </w:rPr>
        <w:t>been</w:t>
      </w:r>
      <w:r>
        <w:rPr>
          <w:spacing w:val="-3"/>
          <w:vertAlign w:val="baseline"/>
        </w:rPr>
        <w:t> </w:t>
      </w:r>
      <w:r>
        <w:rPr>
          <w:vertAlign w:val="baseline"/>
        </w:rPr>
        <w:t>held</w:t>
      </w:r>
      <w:r>
        <w:rPr>
          <w:spacing w:val="-3"/>
          <w:vertAlign w:val="baseline"/>
        </w:rPr>
        <w:t> </w:t>
      </w:r>
      <w:r>
        <w:rPr>
          <w:vertAlign w:val="baseline"/>
        </w:rPr>
        <w:t>to</w:t>
      </w:r>
      <w:r>
        <w:rPr>
          <w:spacing w:val="-3"/>
          <w:vertAlign w:val="baseline"/>
        </w:rPr>
        <w:t> </w:t>
      </w:r>
      <w:r>
        <w:rPr>
          <w:vertAlign w:val="baseline"/>
        </w:rPr>
        <w:t>owe</w:t>
      </w:r>
      <w:r>
        <w:rPr>
          <w:spacing w:val="-3"/>
          <w:vertAlign w:val="baseline"/>
        </w:rPr>
        <w:t> </w:t>
      </w:r>
      <w:r>
        <w:rPr>
          <w:vertAlign w:val="baseline"/>
        </w:rPr>
        <w:t>no</w:t>
      </w:r>
      <w:r>
        <w:rPr>
          <w:spacing w:val="-3"/>
          <w:vertAlign w:val="baseline"/>
        </w:rPr>
        <w:t> </w:t>
      </w:r>
      <w:r>
        <w:rPr>
          <w:vertAlign w:val="baseline"/>
        </w:rPr>
        <w:t>duty</w:t>
      </w:r>
      <w:r>
        <w:rPr>
          <w:spacing w:val="-3"/>
          <w:vertAlign w:val="baseline"/>
        </w:rPr>
        <w:t> </w:t>
      </w:r>
      <w:r>
        <w:rPr>
          <w:vertAlign w:val="baseline"/>
        </w:rPr>
        <w:t>in</w:t>
      </w:r>
      <w:r>
        <w:rPr>
          <w:spacing w:val="-3"/>
          <w:vertAlign w:val="baseline"/>
        </w:rPr>
        <w:t> </w:t>
      </w:r>
      <w:r>
        <w:rPr>
          <w:vertAlign w:val="baseline"/>
        </w:rPr>
        <w:t>tort</w:t>
      </w:r>
      <w:r>
        <w:rPr>
          <w:spacing w:val="-3"/>
          <w:vertAlign w:val="baseline"/>
        </w:rPr>
        <w:t> </w:t>
      </w:r>
      <w:r>
        <w:rPr>
          <w:vertAlign w:val="baseline"/>
        </w:rPr>
        <w:t>to</w:t>
      </w:r>
      <w:r>
        <w:rPr>
          <w:spacing w:val="-3"/>
          <w:vertAlign w:val="baseline"/>
        </w:rPr>
        <w:t> </w:t>
      </w:r>
      <w:r>
        <w:rPr>
          <w:vertAlign w:val="baseline"/>
        </w:rPr>
        <w:t>those</w:t>
      </w:r>
      <w:r>
        <w:rPr>
          <w:spacing w:val="-3"/>
          <w:vertAlign w:val="baseline"/>
        </w:rPr>
        <w:t> </w:t>
      </w:r>
      <w:r>
        <w:rPr>
          <w:vertAlign w:val="baseline"/>
        </w:rPr>
        <w:t>applicants</w:t>
      </w:r>
      <w:r>
        <w:rPr>
          <w:spacing w:val="-4"/>
          <w:vertAlign w:val="baseline"/>
        </w:rPr>
        <w:t> </w:t>
      </w:r>
      <w:r>
        <w:rPr>
          <w:color w:val="005DA1"/>
          <w:u w:val="single" w:color="005DA1"/>
          <w:vertAlign w:val="superscript"/>
        </w:rPr>
        <w:t>197</w:t>
      </w:r>
      <w:r>
        <w:rPr>
          <w:vertAlign w:val="baseline"/>
        </w:rPr>
        <w:t>;</w:t>
      </w:r>
      <w:r>
        <w:rPr>
          <w:spacing w:val="-3"/>
          <w:vertAlign w:val="baseline"/>
        </w:rPr>
        <w:t> </w:t>
      </w:r>
      <w:r>
        <w:rPr>
          <w:vertAlign w:val="baseline"/>
        </w:rPr>
        <w:t>while</w:t>
      </w:r>
      <w:r>
        <w:rPr>
          <w:spacing w:val="-3"/>
          <w:vertAlign w:val="baseline"/>
        </w:rPr>
        <w:t> </w:t>
      </w:r>
      <w:r>
        <w:rPr>
          <w:vertAlign w:val="baseline"/>
        </w:rPr>
        <w:t>conversely</w:t>
      </w:r>
      <w:r>
        <w:rPr>
          <w:spacing w:val="-3"/>
          <w:vertAlign w:val="baseline"/>
        </w:rPr>
        <w:t> </w:t>
      </w:r>
      <w:r>
        <w:rPr>
          <w:vertAlign w:val="baseline"/>
        </w:rPr>
        <w:t>a consultant surgeon who had given negligent advice in breach of his contract with a professional </w:t>
      </w:r>
      <w:bookmarkStart w:name="_bookmark316" w:id="318"/>
      <w:bookmarkEnd w:id="318"/>
      <w:r>
        <w:rPr>
          <w:vertAlign w:val="baseline"/>
        </w:rPr>
        <w:t>football</w:t>
      </w:r>
      <w:r>
        <w:rPr>
          <w:vertAlign w:val="baseline"/>
        </w:rPr>
        <w:t> player has been held not liable for financial loss suffered by the club which had employed the player but with which the surgeon was not in any contractual relationship. </w:t>
      </w:r>
      <w:r>
        <w:rPr>
          <w:color w:val="005DA1"/>
          <w:u w:val="single" w:color="005DA1"/>
          <w:vertAlign w:val="superscript"/>
        </w:rPr>
        <w:t>198</w:t>
      </w:r>
    </w:p>
    <w:p>
      <w:pPr>
        <w:pStyle w:val="BodyText"/>
      </w:pPr>
    </w:p>
    <w:p>
      <w:pPr>
        <w:pStyle w:val="BodyText"/>
        <w:spacing w:before="28"/>
      </w:pPr>
    </w:p>
    <w:p>
      <w:pPr>
        <w:spacing w:before="1"/>
        <w:ind w:left="165" w:right="0" w:firstLine="0"/>
        <w:jc w:val="left"/>
        <w:rPr>
          <w:rFonts w:ascii="Arial" w:hAnsi="Arial"/>
          <w:b/>
          <w:sz w:val="18"/>
        </w:rPr>
      </w:pPr>
      <w:r>
        <w:rPr>
          <w:rFonts w:ascii="Arial" w:hAnsi="Arial"/>
          <w:b/>
          <w:sz w:val="18"/>
        </w:rPr>
        <w:t>Requirement of </w:t>
      </w:r>
      <w:r>
        <w:rPr>
          <w:rFonts w:ascii="Arial" w:hAnsi="Arial"/>
          <w:b/>
          <w:spacing w:val="-2"/>
          <w:sz w:val="18"/>
        </w:rPr>
        <w:t>“proximity”</w:t>
      </w:r>
    </w:p>
    <w:p>
      <w:pPr>
        <w:pStyle w:val="BodyText"/>
        <w:spacing w:before="41"/>
        <w:rPr>
          <w:rFonts w:ascii="Arial"/>
          <w:b/>
          <w:sz w:val="18"/>
        </w:rPr>
      </w:pPr>
    </w:p>
    <w:p>
      <w:pPr>
        <w:pStyle w:val="Heading2"/>
      </w:pPr>
      <w:r>
        <w:rPr/>
        <w:t>18-</w:t>
      </w:r>
      <w:r>
        <w:rPr>
          <w:spacing w:val="-5"/>
        </w:rPr>
        <w:t>034</w:t>
      </w:r>
    </w:p>
    <w:p>
      <w:pPr>
        <w:pStyle w:val="BodyText"/>
        <w:spacing w:line="235" w:lineRule="auto" w:before="202"/>
        <w:ind w:left="164" w:right="167"/>
        <w:jc w:val="both"/>
      </w:pPr>
      <w:bookmarkStart w:name="_bookmark317" w:id="319"/>
      <w:bookmarkEnd w:id="319"/>
      <w:r>
        <w:rPr/>
      </w:r>
      <w:r>
        <w:rPr/>
        <w:t>The point that is emphasised in cases such as the </w:t>
      </w:r>
      <w:r>
        <w:rPr>
          <w:rFonts w:ascii="Arial" w:hAnsi="Arial"/>
          <w:i/>
        </w:rPr>
        <w:t>Simaan </w:t>
      </w:r>
      <w:r>
        <w:rPr/>
        <w:t>and </w:t>
      </w:r>
      <w:r>
        <w:rPr>
          <w:rFonts w:ascii="Arial" w:hAnsi="Arial"/>
          <w:i/>
        </w:rPr>
        <w:t>Balsamo </w:t>
      </w:r>
      <w:r>
        <w:rPr/>
        <w:t>cases </w:t>
      </w:r>
      <w:r>
        <w:rPr>
          <w:color w:val="005DA1"/>
          <w:u w:val="single" w:color="005DA1"/>
          <w:vertAlign w:val="superscript"/>
        </w:rPr>
        <w:t>199</w:t>
      </w:r>
      <w:r>
        <w:rPr>
          <w:color w:val="005DA1"/>
          <w:vertAlign w:val="baseline"/>
        </w:rPr>
        <w:t> </w:t>
      </w:r>
      <w:r>
        <w:rPr>
          <w:vertAlign w:val="baseline"/>
        </w:rPr>
        <w:t>is that </w:t>
      </w:r>
      <w:r>
        <w:rPr>
          <w:vertAlign w:val="baseline"/>
        </w:rPr>
        <w:t>the</w:t>
      </w:r>
      <w:r>
        <w:rPr>
          <w:spacing w:val="40"/>
          <w:vertAlign w:val="baseline"/>
        </w:rPr>
        <w:t> </w:t>
      </w:r>
      <w:r>
        <w:rPr>
          <w:vertAlign w:val="baseline"/>
        </w:rPr>
        <w:t>claimants in them suffered no physical harm as a result of the defendants’ acts or omissions. It does not follow that the mere fact of the claimant’s having suffered foreseeable harm in this way is a sufficient condition of the defendant’s liability in tort. The claimant must, in addition, show that there </w:t>
      </w:r>
      <w:bookmarkStart w:name="_bookmark318" w:id="320"/>
      <w:bookmarkEnd w:id="320"/>
      <w:r>
        <w:rPr>
          <w:vertAlign w:val="baseline"/>
        </w:rPr>
        <w:t>was</w:t>
      </w:r>
      <w:r>
        <w:rPr>
          <w:vertAlign w:val="baseline"/>
        </w:rPr>
        <w:t> a relationship of “proximity” between him and the defendant, and that it is fair, just and</w:t>
      </w:r>
      <w:r>
        <w:rPr>
          <w:spacing w:val="40"/>
          <w:vertAlign w:val="baseline"/>
        </w:rPr>
        <w:t> </w:t>
      </w:r>
      <w:bookmarkStart w:name="_bookmark319" w:id="321"/>
      <w:bookmarkEnd w:id="321"/>
      <w:r>
        <w:rPr>
          <w:vertAlign w:val="baseline"/>
        </w:rPr>
        <w:t>reasonable</w:t>
      </w:r>
      <w:r>
        <w:rPr>
          <w:spacing w:val="-2"/>
          <w:vertAlign w:val="baseline"/>
        </w:rPr>
        <w:t> </w:t>
      </w:r>
      <w:r>
        <w:rPr>
          <w:vertAlign w:val="baseline"/>
        </w:rPr>
        <w:t>to</w:t>
      </w:r>
      <w:r>
        <w:rPr>
          <w:spacing w:val="-2"/>
          <w:vertAlign w:val="baseline"/>
        </w:rPr>
        <w:t> </w:t>
      </w:r>
      <w:r>
        <w:rPr>
          <w:vertAlign w:val="baseline"/>
        </w:rPr>
        <w:t>impose</w:t>
      </w:r>
      <w:r>
        <w:rPr>
          <w:spacing w:val="-2"/>
          <w:vertAlign w:val="baseline"/>
        </w:rPr>
        <w:t> </w:t>
      </w:r>
      <w:r>
        <w:rPr>
          <w:vertAlign w:val="baseline"/>
        </w:rPr>
        <w:t>a</w:t>
      </w:r>
      <w:r>
        <w:rPr>
          <w:spacing w:val="-2"/>
          <w:vertAlign w:val="baseline"/>
        </w:rPr>
        <w:t> </w:t>
      </w:r>
      <w:r>
        <w:rPr>
          <w:vertAlign w:val="baseline"/>
        </w:rPr>
        <w:t>duty</w:t>
      </w:r>
      <w:r>
        <w:rPr>
          <w:spacing w:val="-2"/>
          <w:vertAlign w:val="baseline"/>
        </w:rPr>
        <w:t> </w:t>
      </w:r>
      <w:r>
        <w:rPr>
          <w:vertAlign w:val="baseline"/>
        </w:rPr>
        <w:t>of</w:t>
      </w:r>
      <w:r>
        <w:rPr>
          <w:spacing w:val="-2"/>
          <w:vertAlign w:val="baseline"/>
        </w:rPr>
        <w:t> </w:t>
      </w:r>
      <w:r>
        <w:rPr>
          <w:vertAlign w:val="baseline"/>
        </w:rPr>
        <w:t>care</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defendant.</w:t>
      </w:r>
      <w:r>
        <w:rPr>
          <w:spacing w:val="-2"/>
          <w:vertAlign w:val="baseline"/>
        </w:rPr>
        <w:t> </w:t>
      </w:r>
      <w:r>
        <w:rPr>
          <w:color w:val="005DA1"/>
          <w:u w:val="single" w:color="005DA1"/>
          <w:vertAlign w:val="superscript"/>
        </w:rPr>
        <w:t>200</w:t>
      </w:r>
      <w:r>
        <w:rPr>
          <w:color w:val="005DA1"/>
          <w:spacing w:val="-2"/>
          <w:vertAlign w:val="baseline"/>
        </w:rPr>
        <w:t> </w:t>
      </w:r>
      <w:r>
        <w:rPr>
          <w:vertAlign w:val="baseline"/>
        </w:rPr>
        <w:t>The</w:t>
      </w:r>
      <w:r>
        <w:rPr>
          <w:spacing w:val="-2"/>
          <w:vertAlign w:val="baseline"/>
        </w:rPr>
        <w:t> </w:t>
      </w:r>
      <w:r>
        <w:rPr>
          <w:vertAlign w:val="baseline"/>
        </w:rPr>
        <w:t>last</w:t>
      </w:r>
      <w:r>
        <w:rPr>
          <w:spacing w:val="-2"/>
          <w:vertAlign w:val="baseline"/>
        </w:rPr>
        <w:t> </w:t>
      </w:r>
      <w:r>
        <w:rPr>
          <w:vertAlign w:val="baseline"/>
        </w:rPr>
        <w:t>of</w:t>
      </w:r>
      <w:r>
        <w:rPr>
          <w:spacing w:val="-2"/>
          <w:vertAlign w:val="baseline"/>
        </w:rPr>
        <w:t> </w:t>
      </w:r>
      <w:r>
        <w:rPr>
          <w:vertAlign w:val="baseline"/>
        </w:rPr>
        <w:t>these</w:t>
      </w:r>
      <w:r>
        <w:rPr>
          <w:spacing w:val="-2"/>
          <w:vertAlign w:val="baseline"/>
        </w:rPr>
        <w:t> </w:t>
      </w:r>
      <w:r>
        <w:rPr>
          <w:vertAlign w:val="baseline"/>
        </w:rPr>
        <w:t>requirements</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not to have been satisfied in </w:t>
      </w:r>
      <w:r>
        <w:rPr>
          <w:rFonts w:ascii="Arial" w:hAnsi="Arial"/>
          <w:i/>
          <w:vertAlign w:val="baseline"/>
        </w:rPr>
        <w:t>The Nicholas H</w:t>
      </w:r>
      <w:r>
        <w:rPr>
          <w:vertAlign w:val="baseline"/>
        </w:rPr>
        <w:t>, </w:t>
      </w:r>
      <w:r>
        <w:rPr>
          <w:color w:val="005DA1"/>
          <w:u w:val="single" w:color="005DA1"/>
          <w:vertAlign w:val="superscript"/>
        </w:rPr>
        <w:t>201</w:t>
      </w:r>
      <w:r>
        <w:rPr>
          <w:color w:val="005DA1"/>
          <w:vertAlign w:val="baseline"/>
        </w:rPr>
        <w:t> </w:t>
      </w:r>
      <w:r>
        <w:rPr>
          <w:vertAlign w:val="baseline"/>
        </w:rPr>
        <w:t>where a ship classification society had, in breach of its contract with shipowners, advised them that their ship could proceed on her current voyage until the cargo which she was then carrying had been discharged. In the course of that voyage the ship sank, and it was held that the owners of the cargo had no cause of action in tort against the society in respect of the loss of their cargo. The main reason given by the House of Lords for this conclusion was that the shipowners were, in turn, in breach of their contract of carriage with the cargo-owners; </w:t>
      </w:r>
      <w:bookmarkStart w:name="_bookmark320" w:id="322"/>
      <w:bookmarkEnd w:id="322"/>
      <w:r>
        <w:rPr>
          <w:vertAlign w:val="baseline"/>
        </w:rPr>
        <w:t>and</w:t>
      </w:r>
      <w:r>
        <w:rPr>
          <w:vertAlign w:val="baseline"/>
        </w:rPr>
        <w:t> that it was not fair, just or reasonable to impose on the classification society a liability to the </w:t>
      </w:r>
      <w:bookmarkStart w:name="_bookmark321" w:id="323"/>
      <w:bookmarkEnd w:id="323"/>
      <w:r>
        <w:rPr>
          <w:vertAlign w:val="baseline"/>
        </w:rPr>
        <w:t>cargo</w:t>
      </w:r>
      <w:r>
        <w:rPr>
          <w:vertAlign w:val="baseline"/>
        </w:rPr>
        <w:t>-owners in tort </w:t>
      </w:r>
      <w:r>
        <w:rPr>
          <w:color w:val="005DA1"/>
          <w:u w:val="single" w:color="005DA1"/>
          <w:vertAlign w:val="superscript"/>
        </w:rPr>
        <w:t>202</w:t>
      </w:r>
      <w:r>
        <w:rPr>
          <w:color w:val="005DA1"/>
          <w:vertAlign w:val="baseline"/>
        </w:rPr>
        <w:t> </w:t>
      </w:r>
      <w:r>
        <w:rPr>
          <w:vertAlign w:val="baseline"/>
        </w:rPr>
        <w:t>since this would not be subject to the limitations of liability available to the shipowners under international Conventions </w:t>
      </w:r>
      <w:r>
        <w:rPr>
          <w:color w:val="005DA1"/>
          <w:u w:val="single" w:color="005DA1"/>
          <w:vertAlign w:val="superscript"/>
        </w:rPr>
        <w:t>203</w:t>
      </w:r>
      <w:r>
        <w:rPr>
          <w:color w:val="005DA1"/>
          <w:vertAlign w:val="baseline"/>
        </w:rPr>
        <w:t> </w:t>
      </w:r>
      <w:r>
        <w:rPr>
          <w:vertAlign w:val="baseline"/>
        </w:rPr>
        <w:t>which have the force of law. The effect of holding classification societies liable in tort to cargo-owners would be to deprive shipowners of the benefits of </w:t>
      </w:r>
      <w:bookmarkStart w:name="_bookmark322" w:id="324"/>
      <w:bookmarkEnd w:id="324"/>
      <w:r>
        <w:rPr>
          <w:vertAlign w:val="baseline"/>
        </w:rPr>
        <w:t>these</w:t>
      </w:r>
      <w:r>
        <w:rPr>
          <w:vertAlign w:val="baseline"/>
        </w:rPr>
        <w:t> Conventions since the societies would pass this liability on to shipowners; and this would be an undesirable</w:t>
      </w:r>
      <w:r>
        <w:rPr>
          <w:spacing w:val="9"/>
          <w:vertAlign w:val="baseline"/>
        </w:rPr>
        <w:t> </w:t>
      </w:r>
      <w:r>
        <w:rPr>
          <w:vertAlign w:val="baseline"/>
        </w:rPr>
        <w:t>conclusion,</w:t>
      </w:r>
      <w:r>
        <w:rPr>
          <w:spacing w:val="9"/>
          <w:vertAlign w:val="baseline"/>
        </w:rPr>
        <w:t> </w:t>
      </w:r>
      <w:r>
        <w:rPr>
          <w:color w:val="005DA1"/>
          <w:u w:val="single" w:color="005DA1"/>
          <w:vertAlign w:val="superscript"/>
        </w:rPr>
        <w:t>204</w:t>
      </w:r>
      <w:r>
        <w:rPr>
          <w:color w:val="005DA1"/>
          <w:spacing w:val="10"/>
          <w:vertAlign w:val="baseline"/>
        </w:rPr>
        <w:t> </w:t>
      </w:r>
      <w:r>
        <w:rPr>
          <w:vertAlign w:val="baseline"/>
        </w:rPr>
        <w:t>particularly</w:t>
      </w:r>
      <w:r>
        <w:rPr>
          <w:spacing w:val="9"/>
          <w:vertAlign w:val="baseline"/>
        </w:rPr>
        <w:t> </w:t>
      </w:r>
      <w:r>
        <w:rPr>
          <w:vertAlign w:val="baseline"/>
        </w:rPr>
        <w:t>as</w:t>
      </w:r>
      <w:r>
        <w:rPr>
          <w:spacing w:val="10"/>
          <w:vertAlign w:val="baseline"/>
        </w:rPr>
        <w:t> </w:t>
      </w:r>
      <w:r>
        <w:rPr>
          <w:vertAlign w:val="baseline"/>
        </w:rPr>
        <w:t>loss</w:t>
      </w:r>
      <w:r>
        <w:rPr>
          <w:spacing w:val="10"/>
          <w:vertAlign w:val="baseline"/>
        </w:rPr>
        <w:t> </w:t>
      </w:r>
      <w:r>
        <w:rPr>
          <w:vertAlign w:val="baseline"/>
        </w:rPr>
        <w:t>suffered</w:t>
      </w:r>
      <w:r>
        <w:rPr>
          <w:spacing w:val="9"/>
          <w:vertAlign w:val="baseline"/>
        </w:rPr>
        <w:t> </w:t>
      </w:r>
      <w:r>
        <w:rPr>
          <w:vertAlign w:val="baseline"/>
        </w:rPr>
        <w:t>by</w:t>
      </w:r>
      <w:r>
        <w:rPr>
          <w:spacing w:val="10"/>
          <w:vertAlign w:val="baseline"/>
        </w:rPr>
        <w:t> </w:t>
      </w:r>
      <w:r>
        <w:rPr>
          <w:vertAlign w:val="baseline"/>
        </w:rPr>
        <w:t>cargo-owners</w:t>
      </w:r>
      <w:r>
        <w:rPr>
          <w:spacing w:val="10"/>
          <w:vertAlign w:val="baseline"/>
        </w:rPr>
        <w:t> </w:t>
      </w:r>
      <w:r>
        <w:rPr>
          <w:vertAlign w:val="baseline"/>
        </w:rPr>
        <w:t>in</w:t>
      </w:r>
      <w:r>
        <w:rPr>
          <w:spacing w:val="9"/>
          <w:vertAlign w:val="baseline"/>
        </w:rPr>
        <w:t> </w:t>
      </w:r>
      <w:r>
        <w:rPr>
          <w:vertAlign w:val="baseline"/>
        </w:rPr>
        <w:t>excess</w:t>
      </w:r>
      <w:r>
        <w:rPr>
          <w:spacing w:val="10"/>
          <w:vertAlign w:val="baseline"/>
        </w:rPr>
        <w:t> </w:t>
      </w:r>
      <w:r>
        <w:rPr>
          <w:vertAlign w:val="baseline"/>
        </w:rPr>
        <w:t>of</w:t>
      </w:r>
      <w:r>
        <w:rPr>
          <w:spacing w:val="9"/>
          <w:vertAlign w:val="baseline"/>
        </w:rPr>
        <w:t> </w:t>
      </w:r>
      <w:r>
        <w:rPr>
          <w:vertAlign w:val="baseline"/>
        </w:rPr>
        <w:t>the</w:t>
      </w:r>
      <w:r>
        <w:rPr>
          <w:spacing w:val="10"/>
          <w:vertAlign w:val="baseline"/>
        </w:rPr>
        <w:t> </w:t>
      </w:r>
      <w:r>
        <w:rPr>
          <w:spacing w:val="-2"/>
          <w:vertAlign w:val="baseline"/>
        </w:rPr>
        <w:t>Convention</w:t>
      </w:r>
    </w:p>
    <w:p>
      <w:pPr>
        <w:pStyle w:val="BodyText"/>
        <w:spacing w:after="0" w:line="235" w:lineRule="auto"/>
        <w:jc w:val="both"/>
        <w:sectPr>
          <w:pgSz w:w="11900" w:h="16840"/>
          <w:pgMar w:header="971" w:footer="0" w:top="1160" w:bottom="280" w:left="1275" w:right="1275"/>
        </w:sectPr>
      </w:pPr>
    </w:p>
    <w:p>
      <w:pPr>
        <w:pStyle w:val="BodyText"/>
        <w:spacing w:before="21"/>
      </w:pPr>
    </w:p>
    <w:p>
      <w:pPr>
        <w:pStyle w:val="BodyText"/>
        <w:ind w:left="165"/>
        <w:jc w:val="both"/>
      </w:pPr>
      <w:bookmarkStart w:name="_bookmark323" w:id="325"/>
      <w:bookmarkEnd w:id="325"/>
      <w:r>
        <w:rPr/>
      </w:r>
      <w:r>
        <w:rPr/>
        <w:t>limits was “readily insurable.”</w:t>
      </w:r>
      <w:r>
        <w:rPr>
          <w:spacing w:val="-1"/>
        </w:rPr>
        <w:t> </w:t>
      </w:r>
      <w:r>
        <w:rPr>
          <w:color w:val="005DA1"/>
          <w:spacing w:val="-5"/>
          <w:u w:val="single" w:color="005DA1"/>
          <w:vertAlign w:val="superscript"/>
        </w:rPr>
        <w:t>205</w:t>
      </w:r>
    </w:p>
    <w:p>
      <w:pPr>
        <w:pStyle w:val="BodyText"/>
      </w:pPr>
    </w:p>
    <w:p>
      <w:pPr>
        <w:pStyle w:val="BodyText"/>
        <w:spacing w:before="37"/>
      </w:pPr>
    </w:p>
    <w:p>
      <w:pPr>
        <w:spacing w:before="0"/>
        <w:ind w:left="165" w:right="0" w:firstLine="0"/>
        <w:jc w:val="left"/>
        <w:rPr>
          <w:rFonts w:ascii="Arial"/>
          <w:b/>
          <w:sz w:val="18"/>
        </w:rPr>
      </w:pPr>
      <w:r>
        <w:rPr>
          <w:rFonts w:ascii="Arial"/>
          <w:b/>
          <w:sz w:val="18"/>
        </w:rPr>
        <w:t>Defects in the very thing supplied </w:t>
      </w:r>
      <w:r>
        <w:rPr>
          <w:rFonts w:ascii="Arial"/>
          <w:b/>
          <w:spacing w:val="-2"/>
          <w:sz w:val="18"/>
        </w:rPr>
        <w:t>insufficient</w:t>
      </w:r>
    </w:p>
    <w:p>
      <w:pPr>
        <w:pStyle w:val="BodyText"/>
        <w:spacing w:before="42"/>
        <w:rPr>
          <w:rFonts w:ascii="Arial"/>
          <w:b/>
          <w:sz w:val="18"/>
        </w:rPr>
      </w:pPr>
    </w:p>
    <w:p>
      <w:pPr>
        <w:pStyle w:val="Heading2"/>
      </w:pPr>
      <w:r>
        <w:rPr/>
        <w:t>18-</w:t>
      </w:r>
      <w:r>
        <w:rPr>
          <w:spacing w:val="-5"/>
        </w:rPr>
        <w:t>035</w:t>
      </w:r>
    </w:p>
    <w:p>
      <w:pPr>
        <w:pStyle w:val="BodyText"/>
        <w:spacing w:line="235" w:lineRule="auto" w:before="202"/>
        <w:ind w:left="164" w:right="167"/>
        <w:jc w:val="both"/>
      </w:pPr>
      <w:r>
        <w:rPr/>
        <w:t>Even where A’s negligence in the performance of his contract with B has resulted in damage </w:t>
      </w:r>
      <w:r>
        <w:rPr/>
        <w:t>to “property,” the scope of C’s tort remedy is further restricted by the fact that “property” in this context </w:t>
      </w:r>
      <w:bookmarkStart w:name="_bookmark324" w:id="326"/>
      <w:bookmarkEnd w:id="326"/>
      <w:r>
        <w:rPr/>
        <w:t>normally</w:t>
      </w:r>
      <w:r>
        <w:rPr/>
        <w:t> refers to property belonging to C </w:t>
      </w:r>
      <w:r>
        <w:rPr>
          <w:rFonts w:ascii="Arial" w:hAnsi="Arial"/>
          <w:i/>
        </w:rPr>
        <w:t>other </w:t>
      </w:r>
      <w:r>
        <w:rPr/>
        <w:t>than the very thing supplied by A under his contract with B. </w:t>
      </w:r>
      <w:r>
        <w:rPr>
          <w:color w:val="005DA1"/>
          <w:u w:val="single" w:color="005DA1"/>
          <w:vertAlign w:val="superscript"/>
        </w:rPr>
        <w:t>206</w:t>
      </w:r>
      <w:r>
        <w:rPr>
          <w:color w:val="005DA1"/>
          <w:vertAlign w:val="baseline"/>
        </w:rPr>
        <w:t> </w:t>
      </w:r>
      <w:r>
        <w:rPr>
          <w:vertAlign w:val="baseline"/>
        </w:rPr>
        <w:t>Thus where A sold goods to B who resold them to C, it was held that A would not be liable </w:t>
      </w:r>
      <w:bookmarkStart w:name="_bookmark325" w:id="327"/>
      <w:bookmarkEnd w:id="327"/>
      <w:r>
        <w:rPr>
          <w:vertAlign w:val="baseline"/>
        </w:rPr>
        <w:t>in</w:t>
      </w:r>
      <w:r>
        <w:rPr>
          <w:vertAlign w:val="baseline"/>
        </w:rPr>
        <w:t> tort to C merely because those goods disintegrated on account of a defect in them amounting to a </w:t>
      </w:r>
      <w:bookmarkStart w:name="_bookmark326" w:id="328"/>
      <w:bookmarkEnd w:id="328"/>
      <w:r>
        <w:rPr>
          <w:vertAlign w:val="baseline"/>
        </w:rPr>
        <w:t>breach</w:t>
      </w:r>
      <w:r>
        <w:rPr>
          <w:vertAlign w:val="baseline"/>
        </w:rPr>
        <w:t> of A’s contract with B. </w:t>
      </w:r>
      <w:r>
        <w:rPr>
          <w:color w:val="005DA1"/>
          <w:u w:val="single" w:color="005DA1"/>
          <w:vertAlign w:val="superscript"/>
        </w:rPr>
        <w:t>207</w:t>
      </w:r>
      <w:r>
        <w:rPr>
          <w:color w:val="005DA1"/>
          <w:vertAlign w:val="baseline"/>
        </w:rPr>
        <w:t> </w:t>
      </w:r>
      <w:r>
        <w:rPr>
          <w:vertAlign w:val="baseline"/>
        </w:rPr>
        <w:t>Nor, where goods are bought from a retailer, is the manufacturer liable to the buyer in tort </w:t>
      </w:r>
      <w:r>
        <w:rPr>
          <w:color w:val="005DA1"/>
          <w:u w:val="single" w:color="005DA1"/>
          <w:vertAlign w:val="superscript"/>
        </w:rPr>
        <w:t>208</w:t>
      </w:r>
      <w:r>
        <w:rPr>
          <w:color w:val="005DA1"/>
          <w:vertAlign w:val="baseline"/>
        </w:rPr>
        <w:t> </w:t>
      </w:r>
      <w:r>
        <w:rPr>
          <w:vertAlign w:val="baseline"/>
        </w:rPr>
        <w:t>for negligence if the goods are defective and the defect is discovered before any injury, or harm to other property, has resulted. Even if the goods deteriorate by reason of the defect, the buyer’s only loss is the financial or economic loss which he suffers because the defect </w:t>
      </w:r>
      <w:bookmarkStart w:name="_bookmark327" w:id="329"/>
      <w:bookmarkEnd w:id="329"/>
      <w:r>
        <w:rPr>
          <w:vertAlign w:val="baseline"/>
        </w:rPr>
        <w:t>has</w:t>
      </w:r>
      <w:r>
        <w:rPr>
          <w:vertAlign w:val="baseline"/>
        </w:rPr>
        <w:t> made them less valuable or because he discards them or incurs the cost of repairing them. Loss of this kind is not generally recoverable in tort, </w:t>
      </w:r>
      <w:r>
        <w:rPr>
          <w:color w:val="005DA1"/>
          <w:u w:val="single" w:color="005DA1"/>
          <w:vertAlign w:val="superscript"/>
        </w:rPr>
        <w:t>209</w:t>
      </w:r>
      <w:r>
        <w:rPr>
          <w:color w:val="005DA1"/>
          <w:vertAlign w:val="baseline"/>
        </w:rPr>
        <w:t> </w:t>
      </w:r>
      <w:r>
        <w:rPr>
          <w:vertAlign w:val="baseline"/>
        </w:rPr>
        <w:t>though there may be an exception to this general </w:t>
      </w:r>
      <w:bookmarkStart w:name="_bookmark328" w:id="330"/>
      <w:bookmarkEnd w:id="330"/>
      <w:r>
        <w:rPr>
          <w:vertAlign w:val="baseline"/>
        </w:rPr>
        <w:t>rule</w:t>
      </w:r>
      <w:r>
        <w:rPr>
          <w:vertAlign w:val="baseline"/>
        </w:rPr>
        <w:t> where the defect is a source of danger in respect of which the claimant could become liable to third parties, so that money has to be spent in averting this danger. </w:t>
      </w:r>
      <w:r>
        <w:rPr>
          <w:color w:val="005DA1"/>
          <w:u w:val="single" w:color="005DA1"/>
          <w:vertAlign w:val="superscript"/>
        </w:rPr>
        <w:t>210</w:t>
      </w:r>
      <w:r>
        <w:rPr>
          <w:color w:val="005DA1"/>
          <w:vertAlign w:val="baseline"/>
        </w:rPr>
        <w:t> </w:t>
      </w:r>
      <w:r>
        <w:rPr>
          <w:vertAlign w:val="baseline"/>
        </w:rPr>
        <w:t>The </w:t>
      </w:r>
      <w:r>
        <w:rPr>
          <w:rFonts w:ascii="Arial" w:hAnsi="Arial"/>
          <w:i/>
          <w:vertAlign w:val="baseline"/>
        </w:rPr>
        <w:t>Junior Books </w:t>
      </w:r>
      <w:r>
        <w:rPr>
          <w:vertAlign w:val="baseline"/>
        </w:rPr>
        <w:t>case appears,</w:t>
      </w:r>
      <w:r>
        <w:rPr>
          <w:spacing w:val="-2"/>
          <w:vertAlign w:val="baseline"/>
        </w:rPr>
        <w:t> </w:t>
      </w:r>
      <w:r>
        <w:rPr>
          <w:vertAlign w:val="baseline"/>
        </w:rPr>
        <w:t>indeed,</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inconsistent</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general</w:t>
      </w:r>
      <w:r>
        <w:rPr>
          <w:spacing w:val="-2"/>
          <w:vertAlign w:val="baseline"/>
        </w:rPr>
        <w:t> </w:t>
      </w:r>
      <w:r>
        <w:rPr>
          <w:vertAlign w:val="baseline"/>
        </w:rPr>
        <w:t>rule;</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only</w:t>
      </w:r>
      <w:r>
        <w:rPr>
          <w:spacing w:val="-2"/>
          <w:vertAlign w:val="baseline"/>
        </w:rPr>
        <w:t> </w:t>
      </w:r>
      <w:r>
        <w:rPr>
          <w:vertAlign w:val="baseline"/>
        </w:rPr>
        <w:t>“property”</w:t>
      </w:r>
      <w:r>
        <w:rPr>
          <w:spacing w:val="-2"/>
          <w:vertAlign w:val="baseline"/>
        </w:rPr>
        <w:t> </w:t>
      </w:r>
      <w:r>
        <w:rPr>
          <w:vertAlign w:val="baseline"/>
        </w:rPr>
        <w:t>which</w:t>
      </w:r>
      <w:r>
        <w:rPr>
          <w:spacing w:val="-2"/>
          <w:vertAlign w:val="baseline"/>
        </w:rPr>
        <w:t> </w:t>
      </w:r>
      <w:r>
        <w:rPr>
          <w:vertAlign w:val="baseline"/>
        </w:rPr>
        <w:t>could</w:t>
      </w:r>
      <w:r>
        <w:rPr>
          <w:spacing w:val="-2"/>
          <w:vertAlign w:val="baseline"/>
        </w:rPr>
        <w:t> </w:t>
      </w:r>
      <w:r>
        <w:rPr>
          <w:vertAlign w:val="baseline"/>
        </w:rPr>
        <w:t>be</w:t>
      </w:r>
      <w:r>
        <w:rPr>
          <w:spacing w:val="-2"/>
          <w:vertAlign w:val="baseline"/>
        </w:rPr>
        <w:t> </w:t>
      </w:r>
      <w:r>
        <w:rPr>
          <w:vertAlign w:val="baseline"/>
        </w:rPr>
        <w:t>said</w:t>
      </w:r>
      <w:r>
        <w:rPr>
          <w:spacing w:val="-2"/>
          <w:vertAlign w:val="baseline"/>
        </w:rPr>
        <w:t> </w:t>
      </w:r>
      <w:r>
        <w:rPr>
          <w:vertAlign w:val="baseline"/>
        </w:rPr>
        <w:t>to have been damaged was the factory floor (which had cracked), and that damage was no more than a </w:t>
      </w:r>
      <w:bookmarkStart w:name="_bookmark329" w:id="331"/>
      <w:bookmarkEnd w:id="331"/>
      <w:r>
        <w:rPr>
          <w:vertAlign w:val="baseline"/>
        </w:rPr>
        <w:t>defect</w:t>
      </w:r>
      <w:r>
        <w:rPr>
          <w:vertAlign w:val="baseline"/>
        </w:rPr>
        <w:t> in the very thing supplied by A. The fact that A was nevertheless held liable in tort to C is now explicable (if at all) only by reference to the same special, or “unique,” factors </w:t>
      </w:r>
      <w:r>
        <w:rPr>
          <w:color w:val="005DA1"/>
          <w:u w:val="single" w:color="005DA1"/>
          <w:vertAlign w:val="superscript"/>
        </w:rPr>
        <w:t>211</w:t>
      </w:r>
      <w:r>
        <w:rPr>
          <w:color w:val="005DA1"/>
          <w:vertAlign w:val="baseline"/>
        </w:rPr>
        <w:t> </w:t>
      </w:r>
      <w:r>
        <w:rPr>
          <w:vertAlign w:val="baseline"/>
        </w:rPr>
        <w:t>which were there held to have given rise to the relationship of proximity in that case.</w:t>
      </w:r>
    </w:p>
    <w:p>
      <w:pPr>
        <w:pStyle w:val="BodyText"/>
      </w:pPr>
    </w:p>
    <w:p>
      <w:pPr>
        <w:pStyle w:val="BodyText"/>
        <w:spacing w:before="32"/>
      </w:pPr>
    </w:p>
    <w:p>
      <w:pPr>
        <w:spacing w:before="0"/>
        <w:ind w:left="165" w:right="0" w:firstLine="0"/>
        <w:jc w:val="left"/>
        <w:rPr>
          <w:rFonts w:ascii="Arial"/>
          <w:b/>
          <w:sz w:val="18"/>
        </w:rPr>
      </w:pPr>
      <w:r>
        <w:rPr>
          <w:rFonts w:ascii="Arial"/>
          <w:b/>
          <w:sz w:val="18"/>
        </w:rPr>
        <w:t>Claimant having no title to thing </w:t>
      </w:r>
      <w:r>
        <w:rPr>
          <w:rFonts w:ascii="Arial"/>
          <w:b/>
          <w:spacing w:val="-2"/>
          <w:sz w:val="18"/>
        </w:rPr>
        <w:t>damaged</w:t>
      </w:r>
    </w:p>
    <w:p>
      <w:pPr>
        <w:pStyle w:val="BodyText"/>
        <w:spacing w:before="41"/>
        <w:rPr>
          <w:rFonts w:ascii="Arial"/>
          <w:b/>
          <w:sz w:val="18"/>
        </w:rPr>
      </w:pPr>
    </w:p>
    <w:p>
      <w:pPr>
        <w:pStyle w:val="Heading2"/>
      </w:pPr>
      <w:r>
        <w:rPr/>
        <w:t>18-</w:t>
      </w:r>
      <w:r>
        <w:rPr>
          <w:spacing w:val="-5"/>
        </w:rPr>
        <w:t>036</w:t>
      </w:r>
    </w:p>
    <w:p>
      <w:pPr>
        <w:pStyle w:val="BodyText"/>
        <w:spacing w:line="235" w:lineRule="auto" w:before="203"/>
        <w:ind w:left="165" w:right="167"/>
        <w:jc w:val="both"/>
      </w:pPr>
      <w:r>
        <w:rPr/>
        <w:t>Even where A’s breach of his contract with B does result in physical damage, the mere fact that </w:t>
      </w:r>
      <w:r>
        <w:rPr/>
        <w:t>the </w:t>
      </w:r>
      <w:bookmarkStart w:name="_bookmark330" w:id="332"/>
      <w:bookmarkEnd w:id="332"/>
      <w:r>
        <w:rPr/>
        <w:t>loss</w:t>
      </w:r>
      <w:r>
        <w:rPr/>
        <w:t> so occasioned falls on C will not necessarily give C a right of action in tort against A in respect of that loss. In </w:t>
      </w:r>
      <w:r>
        <w:rPr>
          <w:rFonts w:ascii="Arial" w:hAnsi="Arial"/>
          <w:i/>
        </w:rPr>
        <w:t>The Aliakmon </w:t>
      </w:r>
      <w:r>
        <w:rPr>
          <w:color w:val="005DA1"/>
          <w:u w:val="single" w:color="005DA1"/>
          <w:vertAlign w:val="superscript"/>
        </w:rPr>
        <w:t>212</w:t>
      </w:r>
      <w:r>
        <w:rPr>
          <w:color w:val="005DA1"/>
          <w:vertAlign w:val="baseline"/>
        </w:rPr>
        <w:t> </w:t>
      </w:r>
      <w:r>
        <w:rPr>
          <w:vertAlign w:val="baseline"/>
        </w:rPr>
        <w:t>A, a carrier, had contracted with B for the carriage of a quantity of steel coils which B had sold to C. The goods were damaged, as a result of A’s negligent breach of the </w:t>
      </w:r>
      <w:bookmarkStart w:name="_bookmark331" w:id="333"/>
      <w:bookmarkEnd w:id="333"/>
      <w:r>
        <w:rPr>
          <w:vertAlign w:val="baseline"/>
        </w:rPr>
        <w:t>contract</w:t>
      </w:r>
      <w:r>
        <w:rPr>
          <w:vertAlign w:val="baseline"/>
        </w:rPr>
        <w:t> of carriage, after the risk in them had passed to C under the contract of sale, but while B remained their owner. C had no claim under the contract of carriage as he was not a party to it </w:t>
      </w:r>
      <w:r>
        <w:rPr>
          <w:color w:val="005DA1"/>
          <w:u w:val="single" w:color="005DA1"/>
          <w:vertAlign w:val="superscript"/>
        </w:rPr>
        <w:t>213</w:t>
      </w:r>
      <w:r>
        <w:rPr>
          <w:vertAlign w:val="baseline"/>
        </w:rPr>
        <w:t>;</w:t>
      </w:r>
      <w:r>
        <w:rPr>
          <w:spacing w:val="40"/>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also</w:t>
      </w:r>
      <w:r>
        <w:rPr>
          <w:spacing w:val="-2"/>
          <w:vertAlign w:val="baseline"/>
        </w:rPr>
        <w:t> </w:t>
      </w:r>
      <w:r>
        <w:rPr>
          <w:vertAlign w:val="baseline"/>
        </w:rPr>
        <w:t>had</w:t>
      </w:r>
      <w:r>
        <w:rPr>
          <w:spacing w:val="-2"/>
          <w:vertAlign w:val="baseline"/>
        </w:rPr>
        <w:t> </w:t>
      </w:r>
      <w:r>
        <w:rPr>
          <w:vertAlign w:val="baseline"/>
        </w:rPr>
        <w:t>no</w:t>
      </w:r>
      <w:r>
        <w:rPr>
          <w:spacing w:val="-2"/>
          <w:vertAlign w:val="baseline"/>
        </w:rPr>
        <w:t> </w:t>
      </w:r>
      <w:r>
        <w:rPr>
          <w:vertAlign w:val="baseline"/>
        </w:rPr>
        <w:t>cause</w:t>
      </w:r>
      <w:r>
        <w:rPr>
          <w:spacing w:val="-2"/>
          <w:vertAlign w:val="baseline"/>
        </w:rPr>
        <w:t> </w:t>
      </w:r>
      <w:r>
        <w:rPr>
          <w:vertAlign w:val="baseline"/>
        </w:rPr>
        <w:t>of</w:t>
      </w:r>
      <w:r>
        <w:rPr>
          <w:spacing w:val="-2"/>
          <w:vertAlign w:val="baseline"/>
        </w:rPr>
        <w:t> </w:t>
      </w:r>
      <w:r>
        <w:rPr>
          <w:vertAlign w:val="baseline"/>
        </w:rPr>
        <w:t>action</w:t>
      </w:r>
      <w:r>
        <w:rPr>
          <w:spacing w:val="-2"/>
          <w:vertAlign w:val="baseline"/>
        </w:rPr>
        <w:t> </w:t>
      </w:r>
      <w:r>
        <w:rPr>
          <w:vertAlign w:val="baseline"/>
        </w:rPr>
        <w:t>against</w:t>
      </w:r>
      <w:r>
        <w:rPr>
          <w:spacing w:val="-2"/>
          <w:vertAlign w:val="baseline"/>
        </w:rPr>
        <w:t> </w:t>
      </w:r>
      <w:r>
        <w:rPr>
          <w:vertAlign w:val="baseline"/>
        </w:rPr>
        <w:t>A</w:t>
      </w:r>
      <w:r>
        <w:rPr>
          <w:spacing w:val="-2"/>
          <w:vertAlign w:val="baseline"/>
        </w:rPr>
        <w:t> </w:t>
      </w:r>
      <w:r>
        <w:rPr>
          <w:vertAlign w:val="baseline"/>
        </w:rPr>
        <w:t>in</w:t>
      </w:r>
      <w:r>
        <w:rPr>
          <w:spacing w:val="-2"/>
          <w:vertAlign w:val="baseline"/>
        </w:rPr>
        <w:t> </w:t>
      </w:r>
      <w:r>
        <w:rPr>
          <w:vertAlign w:val="baseline"/>
        </w:rPr>
        <w:t>tort</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loss </w:t>
      </w:r>
      <w:bookmarkStart w:name="_bookmark332" w:id="334"/>
      <w:bookmarkEnd w:id="334"/>
      <w:r>
        <w:rPr>
          <w:vertAlign w:val="baseline"/>
        </w:rPr>
        <w:t>which</w:t>
      </w:r>
      <w:r>
        <w:rPr>
          <w:vertAlign w:val="baseline"/>
        </w:rPr>
        <w:t> he had suffered as a result of remaining liable for the full price of the goods in spite of the fact that</w:t>
      </w:r>
      <w:r>
        <w:rPr>
          <w:spacing w:val="-1"/>
          <w:vertAlign w:val="baseline"/>
        </w:rPr>
        <w:t> </w:t>
      </w:r>
      <w:r>
        <w:rPr>
          <w:vertAlign w:val="baseline"/>
        </w:rPr>
        <w:t>they</w:t>
      </w:r>
      <w:r>
        <w:rPr>
          <w:spacing w:val="-1"/>
          <w:vertAlign w:val="baseline"/>
        </w:rPr>
        <w:t> </w:t>
      </w:r>
      <w:r>
        <w:rPr>
          <w:vertAlign w:val="baseline"/>
        </w:rPr>
        <w:t>had</w:t>
      </w:r>
      <w:r>
        <w:rPr>
          <w:spacing w:val="-1"/>
          <w:vertAlign w:val="baseline"/>
        </w:rPr>
        <w:t> </w:t>
      </w:r>
      <w:r>
        <w:rPr>
          <w:vertAlign w:val="baseline"/>
        </w:rPr>
        <w:t>been</w:t>
      </w:r>
      <w:r>
        <w:rPr>
          <w:spacing w:val="-1"/>
          <w:vertAlign w:val="baseline"/>
        </w:rPr>
        <w:t> </w:t>
      </w:r>
      <w:r>
        <w:rPr>
          <w:vertAlign w:val="baseline"/>
        </w:rPr>
        <w:t>damaged</w:t>
      </w:r>
      <w:r>
        <w:rPr>
          <w:spacing w:val="-1"/>
          <w:vertAlign w:val="baseline"/>
        </w:rPr>
        <w:t> </w:t>
      </w:r>
      <w:r>
        <w:rPr>
          <w:vertAlign w:val="baseline"/>
        </w:rPr>
        <w:t>in</w:t>
      </w:r>
      <w:r>
        <w:rPr>
          <w:spacing w:val="-1"/>
          <w:vertAlign w:val="baseline"/>
        </w:rPr>
        <w:t> </w:t>
      </w:r>
      <w:r>
        <w:rPr>
          <w:vertAlign w:val="baseline"/>
        </w:rPr>
        <w:t>transit.</w:t>
      </w:r>
      <w:r>
        <w:rPr>
          <w:spacing w:val="-1"/>
          <w:vertAlign w:val="baseline"/>
        </w:rPr>
        <w:t> </w:t>
      </w:r>
      <w:r>
        <w:rPr>
          <w:vertAlign w:val="baseline"/>
        </w:rPr>
        <w:t>This</w:t>
      </w:r>
      <w:r>
        <w:rPr>
          <w:spacing w:val="-1"/>
          <w:vertAlign w:val="baseline"/>
        </w:rPr>
        <w:t> </w:t>
      </w:r>
      <w:r>
        <w:rPr>
          <w:vertAlign w:val="baseline"/>
        </w:rPr>
        <w:t>conclusion</w:t>
      </w:r>
      <w:r>
        <w:rPr>
          <w:spacing w:val="-1"/>
          <w:vertAlign w:val="baseline"/>
        </w:rPr>
        <w:t> </w:t>
      </w:r>
      <w:r>
        <w:rPr>
          <w:vertAlign w:val="baseline"/>
        </w:rPr>
        <w:t>was</w:t>
      </w:r>
      <w:r>
        <w:rPr>
          <w:spacing w:val="-1"/>
          <w:vertAlign w:val="baseline"/>
        </w:rPr>
        <w:t> </w:t>
      </w:r>
      <w:r>
        <w:rPr>
          <w:vertAlign w:val="baseline"/>
        </w:rPr>
        <w:t>based</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long</w:t>
      </w:r>
      <w:r>
        <w:rPr>
          <w:spacing w:val="-1"/>
          <w:vertAlign w:val="baseline"/>
        </w:rPr>
        <w:t> </w:t>
      </w:r>
      <w:r>
        <w:rPr>
          <w:vertAlign w:val="baseline"/>
        </w:rPr>
        <w:t>line</w:t>
      </w:r>
      <w:r>
        <w:rPr>
          <w:spacing w:val="-1"/>
          <w:vertAlign w:val="baseline"/>
        </w:rPr>
        <w:t> </w:t>
      </w:r>
      <w:r>
        <w:rPr>
          <w:vertAlign w:val="baseline"/>
        </w:rPr>
        <w:t>of</w:t>
      </w:r>
      <w:r>
        <w:rPr>
          <w:spacing w:val="-1"/>
          <w:vertAlign w:val="baseline"/>
        </w:rPr>
        <w:t> </w:t>
      </w:r>
      <w:r>
        <w:rPr>
          <w:vertAlign w:val="baseline"/>
        </w:rPr>
        <w:t>authority</w:t>
      </w:r>
      <w:r>
        <w:rPr>
          <w:spacing w:val="-2"/>
          <w:vertAlign w:val="baseline"/>
        </w:rPr>
        <w:t> </w:t>
      </w:r>
      <w:r>
        <w:rPr>
          <w:color w:val="005DA1"/>
          <w:u w:val="single" w:color="005DA1"/>
          <w:vertAlign w:val="superscript"/>
        </w:rPr>
        <w:t>214</w:t>
      </w:r>
      <w:r>
        <w:rPr>
          <w:color w:val="005DA1"/>
          <w:spacing w:val="-1"/>
          <w:vertAlign w:val="baseline"/>
        </w:rPr>
        <w:t> </w:t>
      </w:r>
      <w:r>
        <w:rPr>
          <w:vertAlign w:val="baseline"/>
        </w:rPr>
        <w:t>which had established “the principle of law that, in order to enable a person to claim in negligence for loss </w:t>
      </w:r>
      <w:bookmarkStart w:name="_bookmark333" w:id="335"/>
      <w:bookmarkEnd w:id="335"/>
      <w:r>
        <w:rPr>
          <w:vertAlign w:val="baseline"/>
        </w:rPr>
        <w:t>caused</w:t>
      </w:r>
      <w:r>
        <w:rPr>
          <w:vertAlign w:val="baseline"/>
        </w:rPr>
        <w:t> to him by reason of loss or damage to property, he must have had either the legal ownership of</w:t>
      </w:r>
      <w:r>
        <w:rPr>
          <w:spacing w:val="9"/>
          <w:vertAlign w:val="baseline"/>
        </w:rPr>
        <w:t> </w:t>
      </w:r>
      <w:r>
        <w:rPr>
          <w:vertAlign w:val="baseline"/>
        </w:rPr>
        <w:t>or</w:t>
      </w:r>
      <w:r>
        <w:rPr>
          <w:spacing w:val="9"/>
          <w:vertAlign w:val="baseline"/>
        </w:rPr>
        <w:t> </w:t>
      </w:r>
      <w:r>
        <w:rPr>
          <w:vertAlign w:val="baseline"/>
        </w:rPr>
        <w:t>a</w:t>
      </w:r>
      <w:r>
        <w:rPr>
          <w:spacing w:val="9"/>
          <w:vertAlign w:val="baseline"/>
        </w:rPr>
        <w:t> </w:t>
      </w:r>
      <w:r>
        <w:rPr>
          <w:vertAlign w:val="baseline"/>
        </w:rPr>
        <w:t>possessory</w:t>
      </w:r>
      <w:r>
        <w:rPr>
          <w:spacing w:val="9"/>
          <w:vertAlign w:val="baseline"/>
        </w:rPr>
        <w:t> </w:t>
      </w:r>
      <w:r>
        <w:rPr>
          <w:vertAlign w:val="baseline"/>
        </w:rPr>
        <w:t>title</w:t>
      </w:r>
      <w:r>
        <w:rPr>
          <w:spacing w:val="9"/>
          <w:vertAlign w:val="baseline"/>
        </w:rPr>
        <w:t> </w:t>
      </w:r>
      <w:r>
        <w:rPr>
          <w:color w:val="005DA1"/>
          <w:u w:val="single" w:color="005DA1"/>
          <w:vertAlign w:val="superscript"/>
        </w:rPr>
        <w:t>215</w:t>
      </w:r>
      <w:r>
        <w:rPr>
          <w:color w:val="005DA1"/>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property</w:t>
      </w:r>
      <w:r>
        <w:rPr>
          <w:spacing w:val="9"/>
          <w:vertAlign w:val="baseline"/>
        </w:rPr>
        <w:t> </w:t>
      </w:r>
      <w:r>
        <w:rPr>
          <w:vertAlign w:val="baseline"/>
        </w:rPr>
        <w:t>concerned</w:t>
      </w:r>
      <w:r>
        <w:rPr>
          <w:spacing w:val="9"/>
          <w:vertAlign w:val="baseline"/>
        </w:rPr>
        <w:t> </w:t>
      </w:r>
      <w:r>
        <w:rPr>
          <w:vertAlign w:val="baseline"/>
        </w:rPr>
        <w:t>at</w:t>
      </w:r>
      <w:r>
        <w:rPr>
          <w:spacing w:val="9"/>
          <w:vertAlign w:val="baseline"/>
        </w:rPr>
        <w:t> </w:t>
      </w:r>
      <w:r>
        <w:rPr>
          <w:vertAlign w:val="baseline"/>
        </w:rPr>
        <w:t>the</w:t>
      </w:r>
      <w:r>
        <w:rPr>
          <w:spacing w:val="9"/>
          <w:vertAlign w:val="baseline"/>
        </w:rPr>
        <w:t> </w:t>
      </w:r>
      <w:r>
        <w:rPr>
          <w:vertAlign w:val="baseline"/>
        </w:rPr>
        <w:t>time</w:t>
      </w:r>
      <w:r>
        <w:rPr>
          <w:spacing w:val="9"/>
          <w:vertAlign w:val="baseline"/>
        </w:rPr>
        <w:t> </w:t>
      </w:r>
      <w:r>
        <w:rPr>
          <w:vertAlign w:val="baseline"/>
        </w:rPr>
        <w:t>when</w:t>
      </w:r>
      <w:r>
        <w:rPr>
          <w:spacing w:val="9"/>
          <w:vertAlign w:val="baseline"/>
        </w:rPr>
        <w:t> </w:t>
      </w:r>
      <w:r>
        <w:rPr>
          <w:vertAlign w:val="baseline"/>
        </w:rPr>
        <w:t>the</w:t>
      </w:r>
      <w:r>
        <w:rPr>
          <w:spacing w:val="9"/>
          <w:vertAlign w:val="baseline"/>
        </w:rPr>
        <w:t> </w:t>
      </w:r>
      <w:r>
        <w:rPr>
          <w:vertAlign w:val="baseline"/>
        </w:rPr>
        <w:t>loss</w:t>
      </w:r>
      <w:r>
        <w:rPr>
          <w:spacing w:val="9"/>
          <w:vertAlign w:val="baseline"/>
        </w:rPr>
        <w:t> </w:t>
      </w:r>
      <w:r>
        <w:rPr>
          <w:vertAlign w:val="baseline"/>
        </w:rPr>
        <w:t>or</w:t>
      </w:r>
      <w:r>
        <w:rPr>
          <w:spacing w:val="9"/>
          <w:vertAlign w:val="baseline"/>
        </w:rPr>
        <w:t> </w:t>
      </w:r>
      <w:r>
        <w:rPr>
          <w:vertAlign w:val="baseline"/>
        </w:rPr>
        <w:t>damage</w:t>
      </w:r>
      <w:r>
        <w:rPr>
          <w:spacing w:val="9"/>
          <w:vertAlign w:val="baseline"/>
        </w:rPr>
        <w:t> </w:t>
      </w:r>
      <w:r>
        <w:rPr>
          <w:spacing w:val="-2"/>
          <w:vertAlign w:val="baseline"/>
        </w:rPr>
        <w:t>occurred”.</w:t>
      </w:r>
    </w:p>
    <w:p>
      <w:pPr>
        <w:pStyle w:val="BodyText"/>
        <w:spacing w:line="235" w:lineRule="auto"/>
        <w:ind w:left="164" w:right="168"/>
        <w:jc w:val="both"/>
      </w:pPr>
      <w:r>
        <w:rPr>
          <w:color w:val="005DA1"/>
          <w:u w:val="single" w:color="005DA1"/>
          <w:vertAlign w:val="superscript"/>
        </w:rPr>
        <w:t>216</w:t>
      </w:r>
      <w:r>
        <w:rPr>
          <w:color w:val="005DA1"/>
          <w:vertAlign w:val="baseline"/>
        </w:rPr>
        <w:t> </w:t>
      </w:r>
      <w:r>
        <w:rPr>
          <w:vertAlign w:val="baseline"/>
        </w:rPr>
        <w:t>Later authorities have mitigated the rigor of this principle in two ways. First it has been held that </w:t>
      </w:r>
      <w:r>
        <w:rPr>
          <w:vertAlign w:val="baseline"/>
        </w:rPr>
        <w:t>a </w:t>
      </w:r>
      <w:bookmarkStart w:name="_bookmark334" w:id="336"/>
      <w:bookmarkEnd w:id="336"/>
      <w:r>
        <w:rPr>
          <w:vertAlign w:val="baseline"/>
        </w:rPr>
        <w:t>claim</w:t>
      </w:r>
      <w:r>
        <w:rPr>
          <w:vertAlign w:val="baseline"/>
        </w:rPr>
        <w:t> in tort could also be brought by a beneficial owner in equity of the property, so long as he joined the legal owner of it as a party to the proceedings </w:t>
      </w:r>
      <w:r>
        <w:rPr>
          <w:color w:val="005DA1"/>
          <w:u w:val="single" w:color="005DA1"/>
          <w:vertAlign w:val="superscript"/>
        </w:rPr>
        <w:t>217</w:t>
      </w:r>
      <w:r>
        <w:rPr>
          <w:vertAlign w:val="baseline"/>
        </w:rPr>
        <w:t>; and secondly, where the loss is caused by a </w:t>
      </w:r>
      <w:bookmarkStart w:name="_bookmark335" w:id="337"/>
      <w:bookmarkEnd w:id="337"/>
      <w:r>
        <w:rPr>
          <w:vertAlign w:val="baseline"/>
        </w:rPr>
        <w:t>continuing</w:t>
      </w:r>
      <w:r>
        <w:rPr>
          <w:vertAlign w:val="baseline"/>
        </w:rPr>
        <w:t> process it suffices for the claimant to have had title to the property when the cause of </w:t>
      </w:r>
      <w:bookmarkStart w:name="_bookmark336" w:id="338"/>
      <w:bookmarkEnd w:id="338"/>
      <w:r>
        <w:rPr>
          <w:vertAlign w:val="baseline"/>
        </w:rPr>
        <w:t>action</w:t>
      </w:r>
      <w:r>
        <w:rPr>
          <w:vertAlign w:val="baseline"/>
        </w:rPr>
        <w:t> in respect of it accrued. </w:t>
      </w:r>
      <w:r>
        <w:rPr>
          <w:color w:val="005DA1"/>
          <w:u w:val="single" w:color="005DA1"/>
          <w:vertAlign w:val="superscript"/>
        </w:rPr>
        <w:t>218</w:t>
      </w:r>
      <w:r>
        <w:rPr>
          <w:color w:val="005DA1"/>
          <w:vertAlign w:val="baseline"/>
        </w:rPr>
        <w:t> </w:t>
      </w:r>
      <w:r>
        <w:rPr>
          <w:vertAlign w:val="baseline"/>
        </w:rPr>
        <w:t>But it is not enough for him at the relevant time “to have only had contractual rights in relation to such property.” </w:t>
      </w:r>
      <w:r>
        <w:rPr>
          <w:color w:val="005DA1"/>
          <w:u w:val="single" w:color="005DA1"/>
          <w:vertAlign w:val="superscript"/>
        </w:rPr>
        <w:t>219</w:t>
      </w:r>
      <w:r>
        <w:rPr>
          <w:color w:val="005DA1"/>
          <w:vertAlign w:val="baseline"/>
        </w:rPr>
        <w:t> </w:t>
      </w:r>
      <w:r>
        <w:rPr>
          <w:vertAlign w:val="baseline"/>
        </w:rPr>
        <w:t>The House of Lords refused to create an exception to this principle where (as in </w:t>
      </w:r>
      <w:r>
        <w:rPr>
          <w:rFonts w:ascii="Arial" w:hAnsi="Arial"/>
          <w:i/>
          <w:vertAlign w:val="baseline"/>
        </w:rPr>
        <w:t>The Aliakmon</w:t>
      </w:r>
      <w:r>
        <w:rPr>
          <w:vertAlign w:val="baseline"/>
        </w:rPr>
        <w:t>) the contractual right which C had under his contract of sale with B was one to have property and possession of the goods transferred to him at a later date. </w:t>
      </w:r>
      <w:bookmarkStart w:name="_bookmark337" w:id="339"/>
      <w:bookmarkEnd w:id="339"/>
      <w:r>
        <w:rPr>
          <w:vertAlign w:val="baseline"/>
        </w:rPr>
        <w:t>The</w:t>
      </w:r>
      <w:r>
        <w:rPr>
          <w:vertAlign w:val="baseline"/>
        </w:rPr>
        <w:t> main reason for this refusal was that the contract of carriage between A and B was expressed to be subject to an international Convention </w:t>
      </w:r>
      <w:r>
        <w:rPr>
          <w:color w:val="005DA1"/>
          <w:u w:val="single" w:color="005DA1"/>
          <w:vertAlign w:val="superscript"/>
        </w:rPr>
        <w:t>220</w:t>
      </w:r>
      <w:r>
        <w:rPr>
          <w:color w:val="005DA1"/>
          <w:vertAlign w:val="baseline"/>
        </w:rPr>
        <w:t> </w:t>
      </w:r>
      <w:r>
        <w:rPr>
          <w:vertAlign w:val="baseline"/>
        </w:rPr>
        <w:t>which gave A (as carrier) the benefit of certain</w:t>
      </w:r>
      <w:r>
        <w:rPr>
          <w:spacing w:val="40"/>
          <w:vertAlign w:val="baseline"/>
        </w:rPr>
        <w:t> </w:t>
      </w:r>
      <w:bookmarkStart w:name="_bookmark338" w:id="340"/>
      <w:bookmarkEnd w:id="340"/>
      <w:r>
        <w:rPr>
          <w:vertAlign w:val="baseline"/>
        </w:rPr>
        <w:t>immunities</w:t>
      </w:r>
      <w:r>
        <w:rPr>
          <w:vertAlign w:val="baseline"/>
        </w:rPr>
        <w:t> from, and limitations of, liability; and to have held A liable in tort to C would have produced the undesirable result of depriving A of the protection of that contract, </w:t>
      </w:r>
      <w:r>
        <w:rPr>
          <w:color w:val="005DA1"/>
          <w:u w:val="single" w:color="005DA1"/>
          <w:vertAlign w:val="superscript"/>
        </w:rPr>
        <w:t>221</w:t>
      </w:r>
      <w:r>
        <w:rPr>
          <w:color w:val="005DA1"/>
          <w:vertAlign w:val="baseline"/>
        </w:rPr>
        <w:t> </w:t>
      </w:r>
      <w:r>
        <w:rPr>
          <w:vertAlign w:val="baseline"/>
        </w:rPr>
        <w:t>since C (being a stranger to it) was no more bound by its terms than entitled to assert rights under it.</w:t>
      </w:r>
    </w:p>
    <w:p>
      <w:pPr>
        <w:pStyle w:val="BodyText"/>
      </w:pPr>
    </w:p>
    <w:p>
      <w:pPr>
        <w:pStyle w:val="BodyText"/>
        <w:spacing w:before="29"/>
      </w:pPr>
    </w:p>
    <w:p>
      <w:pPr>
        <w:spacing w:before="0"/>
        <w:ind w:left="165" w:right="0" w:firstLine="0"/>
        <w:jc w:val="left"/>
        <w:rPr>
          <w:rFonts w:ascii="Arial"/>
          <w:b/>
          <w:sz w:val="18"/>
        </w:rPr>
      </w:pPr>
      <w:r>
        <w:rPr>
          <w:rFonts w:ascii="Arial"/>
          <w:b/>
          <w:sz w:val="18"/>
        </w:rPr>
        <w:t>Tort and contract damages </w:t>
      </w:r>
      <w:r>
        <w:rPr>
          <w:rFonts w:ascii="Arial"/>
          <w:b/>
          <w:spacing w:val="-2"/>
          <w:sz w:val="18"/>
        </w:rPr>
        <w:t>contrasted</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18-</w:t>
      </w:r>
      <w:r>
        <w:rPr>
          <w:spacing w:val="-5"/>
        </w:rPr>
        <w:t>037</w:t>
      </w:r>
    </w:p>
    <w:p>
      <w:pPr>
        <w:pStyle w:val="BodyText"/>
        <w:spacing w:line="235" w:lineRule="auto" w:before="203"/>
        <w:ind w:left="164" w:right="167"/>
        <w:jc w:val="both"/>
      </w:pPr>
      <w:r>
        <w:rPr/>
        <w:t>Where a third party can recover damages in tort for the negligent performance of a contract </w:t>
      </w:r>
      <w:r>
        <w:rPr/>
        <w:t>between two others, the damages in such a tort action will not normally be assessed in the same way as they would be in a contractual action. In particular, certain kinds of loss are generally regarded as being recoverable only in a contractual action. This follows from the general principle that the object of awarding damages for breach of contract is to put the claimant into the same position as that in which he would have been if the contract had been performed, while in an action in tort that object is to put </w:t>
      </w:r>
      <w:bookmarkStart w:name="_bookmark339" w:id="341"/>
      <w:bookmarkEnd w:id="341"/>
      <w:r>
        <w:rPr/>
        <w:t>him</w:t>
      </w:r>
      <w:r>
        <w:rPr/>
        <w:t> back into the position in which he was before the tort was committed. The distinction is well illustrated by </w:t>
      </w:r>
      <w:r>
        <w:rPr>
          <w:rFonts w:ascii="Arial" w:hAnsi="Arial"/>
          <w:i/>
        </w:rPr>
        <w:t>Muirhead v Industrial Tank Specialities Ltd </w:t>
      </w:r>
      <w:r>
        <w:rPr>
          <w:color w:val="005DA1"/>
          <w:u w:val="single" w:color="005DA1"/>
          <w:vertAlign w:val="superscript"/>
        </w:rPr>
        <w:t>222</w:t>
      </w:r>
      <w:r>
        <w:rPr>
          <w:color w:val="005DA1"/>
          <w:vertAlign w:val="baseline"/>
        </w:rPr>
        <w:t> </w:t>
      </w:r>
      <w:r>
        <w:rPr>
          <w:vertAlign w:val="baseline"/>
        </w:rPr>
        <w:t>where the plaintiff, who owned a lobster farm,</w:t>
      </w:r>
      <w:r>
        <w:rPr>
          <w:spacing w:val="-2"/>
          <w:vertAlign w:val="baseline"/>
        </w:rPr>
        <w:t> </w:t>
      </w:r>
      <w:r>
        <w:rPr>
          <w:vertAlign w:val="baseline"/>
        </w:rPr>
        <w:t>had</w:t>
      </w:r>
      <w:r>
        <w:rPr>
          <w:spacing w:val="-2"/>
          <w:vertAlign w:val="baseline"/>
        </w:rPr>
        <w:t> </w:t>
      </w:r>
      <w:r>
        <w:rPr>
          <w:vertAlign w:val="baseline"/>
        </w:rPr>
        <w:t>entered</w:t>
      </w:r>
      <w:r>
        <w:rPr>
          <w:spacing w:val="-2"/>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installation</w:t>
      </w:r>
      <w:r>
        <w:rPr>
          <w:spacing w:val="-2"/>
          <w:vertAlign w:val="baseline"/>
        </w:rPr>
        <w:t> </w:t>
      </w:r>
      <w:r>
        <w:rPr>
          <w:vertAlign w:val="baseline"/>
        </w:rPr>
        <w:t>of</w:t>
      </w:r>
      <w:r>
        <w:rPr>
          <w:spacing w:val="-2"/>
          <w:vertAlign w:val="baseline"/>
        </w:rPr>
        <w:t> </w:t>
      </w:r>
      <w:r>
        <w:rPr>
          <w:vertAlign w:val="baseline"/>
        </w:rPr>
        <w:t>pumps,</w:t>
      </w:r>
      <w:r>
        <w:rPr>
          <w:spacing w:val="-2"/>
          <w:vertAlign w:val="baseline"/>
        </w:rPr>
        <w:t> </w:t>
      </w:r>
      <w:r>
        <w:rPr>
          <w:vertAlign w:val="baseline"/>
        </w:rPr>
        <w:t>which</w:t>
      </w:r>
      <w:r>
        <w:rPr>
          <w:spacing w:val="-2"/>
          <w:vertAlign w:val="baseline"/>
        </w:rPr>
        <w:t> </w:t>
      </w:r>
      <w:r>
        <w:rPr>
          <w:vertAlign w:val="baseline"/>
        </w:rPr>
        <w:t>later</w:t>
      </w:r>
      <w:r>
        <w:rPr>
          <w:spacing w:val="-2"/>
          <w:vertAlign w:val="baseline"/>
        </w:rPr>
        <w:t> </w:t>
      </w:r>
      <w:r>
        <w:rPr>
          <w:vertAlign w:val="baseline"/>
        </w:rPr>
        <w:t>failed</w:t>
      </w:r>
      <w:r>
        <w:rPr>
          <w:spacing w:val="-2"/>
          <w:vertAlign w:val="baseline"/>
        </w:rPr>
        <w:t> </w:t>
      </w:r>
      <w:r>
        <w:rPr>
          <w:vertAlign w:val="baseline"/>
        </w:rPr>
        <w:t>because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defect</w:t>
      </w:r>
      <w:r>
        <w:rPr>
          <w:spacing w:val="-2"/>
          <w:vertAlign w:val="baseline"/>
        </w:rPr>
        <w:t> </w:t>
      </w:r>
      <w:r>
        <w:rPr>
          <w:vertAlign w:val="baseline"/>
        </w:rPr>
        <w:t>in their electric motors. There was no contract between the plaintiff and the supplier of the motors but</w:t>
      </w:r>
      <w:r>
        <w:rPr>
          <w:spacing w:val="40"/>
          <w:vertAlign w:val="baseline"/>
        </w:rPr>
        <w:t> </w:t>
      </w:r>
      <w:r>
        <w:rPr>
          <w:vertAlign w:val="baseline"/>
        </w:rPr>
        <w:t>the plaintiff’s claim against that supplier succeeded in tort in respect of the physical damage caused </w:t>
      </w:r>
      <w:bookmarkStart w:name="_bookmark340" w:id="342"/>
      <w:bookmarkEnd w:id="342"/>
      <w:r>
        <w:rPr>
          <w:vertAlign w:val="baseline"/>
        </w:rPr>
        <w:t>by</w:t>
      </w:r>
      <w:r>
        <w:rPr>
          <w:vertAlign w:val="baseline"/>
        </w:rPr>
        <w:t> that failure (i.e. the value of the lobsters which had died); and “any financial loss suffered by the </w:t>
      </w:r>
      <w:bookmarkStart w:name="_bookmark341" w:id="343"/>
      <w:bookmarkEnd w:id="343"/>
      <w:r>
        <w:rPr>
          <w:vertAlign w:val="baseline"/>
        </w:rPr>
        <w:t>plaintiff</w:t>
      </w:r>
      <w:r>
        <w:rPr>
          <w:vertAlign w:val="baseline"/>
        </w:rPr>
        <w:t> in consequence of that physical damage.” </w:t>
      </w:r>
      <w:r>
        <w:rPr>
          <w:color w:val="005DA1"/>
          <w:u w:val="single" w:color="005DA1"/>
          <w:vertAlign w:val="superscript"/>
        </w:rPr>
        <w:t>223</w:t>
      </w:r>
      <w:r>
        <w:rPr>
          <w:color w:val="005DA1"/>
          <w:vertAlign w:val="baseline"/>
        </w:rPr>
        <w:t> </w:t>
      </w:r>
      <w:r>
        <w:rPr>
          <w:vertAlign w:val="baseline"/>
        </w:rPr>
        <w:t>(i.e. the loss of profits on the sale of </w:t>
      </w:r>
      <w:r>
        <w:rPr>
          <w:rFonts w:ascii="Arial" w:hAnsi="Arial"/>
          <w:i/>
          <w:vertAlign w:val="baseline"/>
        </w:rPr>
        <w:t>those </w:t>
      </w:r>
      <w:r>
        <w:rPr>
          <w:vertAlign w:val="baseline"/>
        </w:rPr>
        <w:t>lobsters). But a further claim “in respect of the whole economic loss suffered” </w:t>
      </w:r>
      <w:r>
        <w:rPr>
          <w:color w:val="005DA1"/>
          <w:u w:val="single" w:color="005DA1"/>
          <w:vertAlign w:val="superscript"/>
        </w:rPr>
        <w:t>224</w:t>
      </w:r>
      <w:r>
        <w:rPr>
          <w:color w:val="005DA1"/>
          <w:vertAlign w:val="baseline"/>
        </w:rPr>
        <w:t> </w:t>
      </w:r>
      <w:r>
        <w:rPr>
          <w:vertAlign w:val="baseline"/>
        </w:rPr>
        <w:t>by the plaintiff (i.e.</w:t>
      </w:r>
      <w:r>
        <w:rPr>
          <w:spacing w:val="40"/>
          <w:vertAlign w:val="baseline"/>
        </w:rPr>
        <w:t> </w:t>
      </w:r>
      <w:r>
        <w:rPr>
          <w:vertAlign w:val="baseline"/>
        </w:rPr>
        <w:t>for loss of profits that he would have made from the installation, had it not been defective) was rejected: such damages might have been recoverable from the installer of the pumps in contract but they could not be claimed from the suppliers of the motors in tort.</w:t>
      </w:r>
    </w:p>
    <w:p>
      <w:pPr>
        <w:pStyle w:val="BodyText"/>
        <w:spacing w:before="75"/>
      </w:pPr>
    </w:p>
    <w:p>
      <w:pPr>
        <w:pStyle w:val="Heading2"/>
      </w:pPr>
      <w:r>
        <w:rPr/>
        <w:t>18-</w:t>
      </w:r>
      <w:r>
        <w:rPr>
          <w:spacing w:val="-5"/>
        </w:rPr>
        <w:t>038</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42" w:id="344"/>
      <w:bookmarkEnd w:id="344"/>
      <w:r>
        <w:rPr>
          <w:rFonts w:ascii="Times New Roman" w:hAnsi="Times New Roman"/>
          <w:spacing w:val="-17"/>
        </w:rPr>
      </w:r>
      <w:r>
        <w:rPr/>
        <w:t>Considerable difficulty again arises in this connection from the </w:t>
      </w:r>
      <w:r>
        <w:rPr>
          <w:rFonts w:ascii="Arial" w:hAnsi="Arial"/>
          <w:i/>
        </w:rPr>
        <w:t>Junior Books </w:t>
      </w:r>
      <w:r>
        <w:rPr>
          <w:color w:val="005DA1"/>
          <w:u w:val="single" w:color="005DA1"/>
          <w:vertAlign w:val="superscript"/>
        </w:rPr>
        <w:t>225</w:t>
      </w:r>
      <w:r>
        <w:rPr>
          <w:color w:val="005DA1"/>
          <w:vertAlign w:val="baseline"/>
        </w:rPr>
        <w:t> </w:t>
      </w:r>
      <w:r>
        <w:rPr>
          <w:vertAlign w:val="baseline"/>
        </w:rPr>
        <w:t>case. The main question discussed in that case was whether any economic or financial loss could be recovered in a tort action in the absence of any allegation that the cracks in the floor were a source of danger to persons or to other property. In the exceptional circumstances of the case, this question was answered in the affirmative and on that basis most of the items of loss, in respect of which damages were said to be recoverable, can be explained in terms of the principles governing the assessment </w:t>
      </w:r>
      <w:r>
        <w:rPr>
          <w:vertAlign w:val="baseline"/>
        </w:rPr>
        <w:t>of damages in tort: this is, for example, true of the profits lost and of the wages and overheads wasted </w:t>
      </w:r>
      <w:bookmarkStart w:name="_bookmark343" w:id="345"/>
      <w:bookmarkEnd w:id="345"/>
      <w:r>
        <w:rPr>
          <w:vertAlign w:val="baseline"/>
        </w:rPr>
        <w:t>while</w:t>
      </w:r>
      <w:r>
        <w:rPr>
          <w:vertAlign w:val="baseline"/>
        </w:rPr>
        <w:t> the factory was closed for repairs to the floor. But it was also said that factory owners were entitled to the </w:t>
      </w:r>
      <w:r>
        <w:rPr>
          <w:rFonts w:ascii="Arial" w:hAnsi="Arial"/>
          <w:i/>
          <w:vertAlign w:val="baseline"/>
        </w:rPr>
        <w:t>cost of replacing the floor </w:t>
      </w:r>
      <w:r>
        <w:rPr>
          <w:color w:val="005DA1"/>
          <w:u w:val="single" w:color="005DA1"/>
          <w:vertAlign w:val="superscript"/>
        </w:rPr>
        <w:t>226</w:t>
      </w:r>
      <w:r>
        <w:rPr>
          <w:vertAlign w:val="baseline"/>
        </w:rPr>
        <w:t>; and such an award would, by putting them into the position in which they would have been if the sub-contractor’s promise had been performed, amount </w:t>
      </w:r>
      <w:bookmarkStart w:name="_bookmark344" w:id="346"/>
      <w:bookmarkEnd w:id="346"/>
      <w:r>
        <w:rPr>
          <w:vertAlign w:val="baseline"/>
        </w:rPr>
        <w:t>to</w:t>
      </w:r>
      <w:r>
        <w:rPr>
          <w:spacing w:val="17"/>
          <w:vertAlign w:val="baseline"/>
        </w:rPr>
        <w:t> </w:t>
      </w:r>
      <w:r>
        <w:rPr>
          <w:vertAlign w:val="baseline"/>
        </w:rPr>
        <w:t>an</w:t>
      </w:r>
      <w:r>
        <w:rPr>
          <w:spacing w:val="17"/>
          <w:vertAlign w:val="baseline"/>
        </w:rPr>
        <w:t> </w:t>
      </w:r>
      <w:r>
        <w:rPr>
          <w:vertAlign w:val="baseline"/>
        </w:rPr>
        <w:t>award</w:t>
      </w:r>
      <w:r>
        <w:rPr>
          <w:spacing w:val="17"/>
          <w:vertAlign w:val="baseline"/>
        </w:rPr>
        <w:t> </w:t>
      </w:r>
      <w:r>
        <w:rPr>
          <w:vertAlign w:val="baseline"/>
        </w:rPr>
        <w:t>of</w:t>
      </w:r>
      <w:r>
        <w:rPr>
          <w:spacing w:val="17"/>
          <w:vertAlign w:val="baseline"/>
        </w:rPr>
        <w:t> </w:t>
      </w:r>
      <w:r>
        <w:rPr>
          <w:vertAlign w:val="baseline"/>
        </w:rPr>
        <w:t>contract</w:t>
      </w:r>
      <w:r>
        <w:rPr>
          <w:spacing w:val="17"/>
          <w:vertAlign w:val="baseline"/>
        </w:rPr>
        <w:t> </w:t>
      </w:r>
      <w:r>
        <w:rPr>
          <w:vertAlign w:val="baseline"/>
        </w:rPr>
        <w:t>damages</w:t>
      </w:r>
      <w:r>
        <w:rPr>
          <w:spacing w:val="17"/>
          <w:vertAlign w:val="baseline"/>
        </w:rPr>
        <w:t> </w:t>
      </w:r>
      <w:r>
        <w:rPr>
          <w:vertAlign w:val="baseline"/>
        </w:rPr>
        <w:t>in</w:t>
      </w:r>
      <w:r>
        <w:rPr>
          <w:spacing w:val="17"/>
          <w:vertAlign w:val="baseline"/>
        </w:rPr>
        <w:t> </w:t>
      </w:r>
      <w:r>
        <w:rPr>
          <w:vertAlign w:val="baseline"/>
        </w:rPr>
        <w:t>spite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fact</w:t>
      </w:r>
      <w:r>
        <w:rPr>
          <w:spacing w:val="17"/>
          <w:vertAlign w:val="baseline"/>
        </w:rPr>
        <w:t> </w:t>
      </w:r>
      <w:r>
        <w:rPr>
          <w:vertAlign w:val="baseline"/>
        </w:rPr>
        <w:t>that</w:t>
      </w:r>
      <w:r>
        <w:rPr>
          <w:spacing w:val="17"/>
          <w:vertAlign w:val="baseline"/>
        </w:rPr>
        <w:t> </w:t>
      </w:r>
      <w:r>
        <w:rPr>
          <w:vertAlign w:val="baseline"/>
        </w:rPr>
        <w:t>there</w:t>
      </w:r>
      <w:r>
        <w:rPr>
          <w:spacing w:val="17"/>
          <w:vertAlign w:val="baseline"/>
        </w:rPr>
        <w:t> </w:t>
      </w:r>
      <w:r>
        <w:rPr>
          <w:vertAlign w:val="baseline"/>
        </w:rPr>
        <w:t>was</w:t>
      </w:r>
      <w:r>
        <w:rPr>
          <w:spacing w:val="17"/>
          <w:vertAlign w:val="baseline"/>
        </w:rPr>
        <w:t> </w:t>
      </w:r>
      <w:r>
        <w:rPr>
          <w:vertAlign w:val="baseline"/>
        </w:rPr>
        <w:t>no</w:t>
      </w:r>
      <w:r>
        <w:rPr>
          <w:spacing w:val="17"/>
          <w:vertAlign w:val="baseline"/>
        </w:rPr>
        <w:t> </w:t>
      </w:r>
      <w:r>
        <w:rPr>
          <w:vertAlign w:val="baseline"/>
        </w:rPr>
        <w:t>contract</w:t>
      </w:r>
      <w:r>
        <w:rPr>
          <w:spacing w:val="17"/>
          <w:vertAlign w:val="baseline"/>
        </w:rPr>
        <w:t> </w:t>
      </w:r>
      <w:r>
        <w:rPr>
          <w:vertAlign w:val="baseline"/>
        </w:rPr>
        <w:t>between</w:t>
      </w:r>
      <w:r>
        <w:rPr>
          <w:spacing w:val="17"/>
          <w:vertAlign w:val="baseline"/>
        </w:rPr>
        <w:t> </w:t>
      </w:r>
      <w:r>
        <w:rPr>
          <w:vertAlign w:val="baseline"/>
        </w:rPr>
        <w:t>the</w:t>
      </w:r>
      <w:r>
        <w:rPr>
          <w:spacing w:val="17"/>
          <w:vertAlign w:val="baseline"/>
        </w:rPr>
        <w:t> </w:t>
      </w:r>
      <w:r>
        <w:rPr>
          <w:spacing w:val="-2"/>
          <w:vertAlign w:val="baseline"/>
        </w:rPr>
        <w:t>factory</w:t>
      </w:r>
    </w:p>
    <w:p>
      <w:pPr>
        <w:pStyle w:val="BodyText"/>
        <w:spacing w:line="235" w:lineRule="auto" w:before="116"/>
        <w:ind w:left="165" w:right="167"/>
        <w:jc w:val="both"/>
      </w:pPr>
      <w:bookmarkStart w:name="_bookmark345" w:id="347"/>
      <w:bookmarkEnd w:id="347"/>
      <w:r>
        <w:rPr/>
      </w:r>
      <w:r>
        <w:rPr/>
        <w:t>owners and the subcontractors. </w:t>
      </w:r>
      <w:r>
        <w:rPr>
          <w:color w:val="005DA1"/>
          <w:u w:val="single" w:color="005DA1"/>
          <w:vertAlign w:val="superscript"/>
        </w:rPr>
        <w:t>227</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12"/>
          <w:vertAlign w:val="baseline"/>
        </w:rPr>
        <w:t> </w:t>
      </w:r>
      <w:r>
        <w:rPr>
          <w:vertAlign w:val="baseline"/>
        </w:rPr>
        <w:t>On the normal basis of assessment in tort, the damages in respect</w:t>
      </w:r>
      <w:r>
        <w:rPr>
          <w:spacing w:val="1"/>
          <w:vertAlign w:val="baseline"/>
        </w:rPr>
        <w:t> </w:t>
      </w:r>
      <w:r>
        <w:rPr>
          <w:vertAlign w:val="baseline"/>
        </w:rPr>
        <w:t>of</w:t>
      </w:r>
      <w:r>
        <w:rPr>
          <w:spacing w:val="1"/>
          <w:vertAlign w:val="baseline"/>
        </w:rPr>
        <w:t> </w:t>
      </w:r>
      <w:r>
        <w:rPr>
          <w:vertAlign w:val="baseline"/>
        </w:rPr>
        <w:t>defects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floor</w:t>
      </w:r>
      <w:r>
        <w:rPr>
          <w:spacing w:val="1"/>
          <w:vertAlign w:val="baseline"/>
        </w:rPr>
        <w:t> </w:t>
      </w:r>
      <w:r>
        <w:rPr>
          <w:vertAlign w:val="baseline"/>
        </w:rPr>
        <w:t>should</w:t>
      </w:r>
      <w:r>
        <w:rPr>
          <w:spacing w:val="1"/>
          <w:vertAlign w:val="baseline"/>
        </w:rPr>
        <w:t> </w:t>
      </w:r>
      <w:r>
        <w:rPr>
          <w:vertAlign w:val="baseline"/>
        </w:rPr>
        <w:t>not</w:t>
      </w:r>
      <w:r>
        <w:rPr>
          <w:spacing w:val="1"/>
          <w:vertAlign w:val="baseline"/>
        </w:rPr>
        <w:t> </w:t>
      </w:r>
      <w:r>
        <w:rPr>
          <w:vertAlign w:val="baseline"/>
        </w:rPr>
        <w:t>have</w:t>
      </w:r>
      <w:r>
        <w:rPr>
          <w:spacing w:val="1"/>
          <w:vertAlign w:val="baseline"/>
        </w:rPr>
        <w:t> </w:t>
      </w:r>
      <w:r>
        <w:rPr>
          <w:vertAlign w:val="baseline"/>
        </w:rPr>
        <w:t>included</w:t>
      </w:r>
      <w:r>
        <w:rPr>
          <w:spacing w:val="1"/>
          <w:vertAlign w:val="baseline"/>
        </w:rPr>
        <w:t> </w:t>
      </w:r>
      <w:r>
        <w:rPr>
          <w:vertAlign w:val="baseline"/>
        </w:rPr>
        <w:t>the</w:t>
      </w:r>
      <w:r>
        <w:rPr>
          <w:spacing w:val="1"/>
          <w:vertAlign w:val="baseline"/>
        </w:rPr>
        <w:t> </w:t>
      </w:r>
      <w:r>
        <w:rPr>
          <w:vertAlign w:val="baseline"/>
        </w:rPr>
        <w:t>cost</w:t>
      </w:r>
      <w:r>
        <w:rPr>
          <w:spacing w:val="1"/>
          <w:vertAlign w:val="baseline"/>
        </w:rPr>
        <w:t> </w:t>
      </w:r>
      <w:r>
        <w:rPr>
          <w:vertAlign w:val="baseline"/>
        </w:rPr>
        <w:t>of</w:t>
      </w:r>
      <w:r>
        <w:rPr>
          <w:spacing w:val="1"/>
          <w:vertAlign w:val="baseline"/>
        </w:rPr>
        <w:t> </w:t>
      </w:r>
      <w:r>
        <w:rPr>
          <w:vertAlign w:val="baseline"/>
        </w:rPr>
        <w:t>replacing</w:t>
      </w:r>
      <w:r>
        <w:rPr>
          <w:spacing w:val="1"/>
          <w:vertAlign w:val="baseline"/>
        </w:rPr>
        <w:t> </w:t>
      </w:r>
      <w:r>
        <w:rPr>
          <w:vertAlign w:val="baseline"/>
        </w:rPr>
        <w:t>the</w:t>
      </w:r>
      <w:r>
        <w:rPr>
          <w:spacing w:val="1"/>
          <w:vertAlign w:val="baseline"/>
        </w:rPr>
        <w:t> </w:t>
      </w:r>
      <w:r>
        <w:rPr>
          <w:vertAlign w:val="baseline"/>
        </w:rPr>
        <w:t>floor</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good</w:t>
      </w:r>
      <w:r>
        <w:rPr>
          <w:spacing w:val="1"/>
          <w:vertAlign w:val="baseline"/>
        </w:rPr>
        <w:t> </w:t>
      </w:r>
      <w:r>
        <w:rPr>
          <w:spacing w:val="-4"/>
          <w:vertAlign w:val="baseline"/>
        </w:rPr>
        <w:t>one.</w:t>
      </w:r>
    </w:p>
    <w:p>
      <w:pPr>
        <w:pStyle w:val="BodyText"/>
        <w:spacing w:line="235" w:lineRule="auto"/>
        <w:ind w:left="165" w:right="167"/>
        <w:jc w:val="both"/>
      </w:pPr>
      <w:r>
        <w:rPr>
          <w:color w:val="005DA1"/>
          <w:u w:val="single" w:color="005DA1"/>
          <w:vertAlign w:val="superscript"/>
        </w:rPr>
        <w:t>228</w:t>
      </w:r>
      <w:r>
        <w:rPr>
          <w:color w:val="005DA1"/>
          <w:vertAlign w:val="baseline"/>
        </w:rPr>
        <w:t> </w:t>
      </w:r>
      <w:r>
        <w:rPr>
          <w:vertAlign w:val="baseline"/>
        </w:rPr>
        <w:t>In the </w:t>
      </w:r>
      <w:r>
        <w:rPr>
          <w:rFonts w:ascii="Arial" w:hAnsi="Arial"/>
          <w:i/>
          <w:vertAlign w:val="baseline"/>
        </w:rPr>
        <w:t>Junior Books </w:t>
      </w:r>
      <w:r>
        <w:rPr>
          <w:vertAlign w:val="baseline"/>
        </w:rPr>
        <w:t>case, Lord Keith explained this aspect of the case on the ground that, </w:t>
      </w:r>
      <w:r>
        <w:rPr>
          <w:vertAlign w:val="baseline"/>
        </w:rPr>
        <w:t>in </w:t>
      </w:r>
      <w:bookmarkStart w:name="_bookmark346" w:id="348"/>
      <w:bookmarkEnd w:id="348"/>
      <w:r>
        <w:rPr>
          <w:vertAlign w:val="baseline"/>
        </w:rPr>
        <w:t>replacing</w:t>
      </w:r>
      <w:r>
        <w:rPr>
          <w:spacing w:val="-1"/>
          <w:vertAlign w:val="baseline"/>
        </w:rPr>
        <w:t> </w:t>
      </w:r>
      <w:r>
        <w:rPr>
          <w:vertAlign w:val="baseline"/>
        </w:rPr>
        <w:t>the</w:t>
      </w:r>
      <w:r>
        <w:rPr>
          <w:spacing w:val="-1"/>
          <w:vertAlign w:val="baseline"/>
        </w:rPr>
        <w:t> </w:t>
      </w:r>
      <w:r>
        <w:rPr>
          <w:vertAlign w:val="baseline"/>
        </w:rPr>
        <w:t>floor,</w:t>
      </w:r>
      <w:r>
        <w:rPr>
          <w:spacing w:val="-1"/>
          <w:vertAlign w:val="baseline"/>
        </w:rPr>
        <w:t> </w:t>
      </w:r>
      <w:r>
        <w:rPr>
          <w:vertAlign w:val="baseline"/>
        </w:rPr>
        <w:t>the</w:t>
      </w:r>
      <w:r>
        <w:rPr>
          <w:spacing w:val="-1"/>
          <w:vertAlign w:val="baseline"/>
        </w:rPr>
        <w:t> </w:t>
      </w:r>
      <w:r>
        <w:rPr>
          <w:vertAlign w:val="baseline"/>
        </w:rPr>
        <w:t>factory</w:t>
      </w:r>
      <w:r>
        <w:rPr>
          <w:spacing w:val="-1"/>
          <w:vertAlign w:val="baseline"/>
        </w:rPr>
        <w:t> </w:t>
      </w:r>
      <w:r>
        <w:rPr>
          <w:vertAlign w:val="baseline"/>
        </w:rPr>
        <w:t>owners</w:t>
      </w:r>
      <w:r>
        <w:rPr>
          <w:spacing w:val="-1"/>
          <w:vertAlign w:val="baseline"/>
        </w:rPr>
        <w:t> </w:t>
      </w:r>
      <w:r>
        <w:rPr>
          <w:vertAlign w:val="baseline"/>
        </w:rPr>
        <w:t>had</w:t>
      </w:r>
      <w:r>
        <w:rPr>
          <w:spacing w:val="-1"/>
          <w:vertAlign w:val="baseline"/>
        </w:rPr>
        <w:t> </w:t>
      </w:r>
      <w:r>
        <w:rPr>
          <w:vertAlign w:val="baseline"/>
        </w:rPr>
        <w:t>simply</w:t>
      </w:r>
      <w:r>
        <w:rPr>
          <w:spacing w:val="-1"/>
          <w:vertAlign w:val="baseline"/>
        </w:rPr>
        <w:t> </w:t>
      </w:r>
      <w:r>
        <w:rPr>
          <w:vertAlign w:val="baseline"/>
        </w:rPr>
        <w:t>mitigated</w:t>
      </w:r>
      <w:r>
        <w:rPr>
          <w:spacing w:val="-1"/>
          <w:vertAlign w:val="baseline"/>
        </w:rPr>
        <w:t> </w:t>
      </w:r>
      <w:r>
        <w:rPr>
          <w:vertAlign w:val="baseline"/>
        </w:rPr>
        <w:t>the</w:t>
      </w:r>
      <w:r>
        <w:rPr>
          <w:spacing w:val="-1"/>
          <w:vertAlign w:val="baseline"/>
        </w:rPr>
        <w:t> </w:t>
      </w:r>
      <w:r>
        <w:rPr>
          <w:vertAlign w:val="baseline"/>
        </w:rPr>
        <w:t>loss</w:t>
      </w:r>
      <w:r>
        <w:rPr>
          <w:spacing w:val="-1"/>
          <w:vertAlign w:val="baseline"/>
        </w:rPr>
        <w:t> </w:t>
      </w:r>
      <w:r>
        <w:rPr>
          <w:vertAlign w:val="baseline"/>
        </w:rPr>
        <w:t>of</w:t>
      </w:r>
      <w:r>
        <w:rPr>
          <w:spacing w:val="-1"/>
          <w:vertAlign w:val="baseline"/>
        </w:rPr>
        <w:t> </w:t>
      </w:r>
      <w:r>
        <w:rPr>
          <w:vertAlign w:val="baseline"/>
        </w:rPr>
        <w:t>profit</w:t>
      </w:r>
      <w:r>
        <w:rPr>
          <w:spacing w:val="-1"/>
          <w:vertAlign w:val="baseline"/>
        </w:rPr>
        <w:t> </w:t>
      </w:r>
      <w:r>
        <w:rPr>
          <w:vertAlign w:val="baseline"/>
        </w:rPr>
        <w:t>resulting</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defects </w:t>
      </w:r>
      <w:bookmarkStart w:name="_bookmark347" w:id="349"/>
      <w:bookmarkEnd w:id="349"/>
      <w:r>
        <w:rPr>
          <w:vertAlign w:val="baseline"/>
        </w:rPr>
        <w:t>in</w:t>
      </w:r>
      <w:r>
        <w:rPr>
          <w:vertAlign w:val="baseline"/>
        </w:rPr>
        <w:t> the floor originally provided </w:t>
      </w:r>
      <w:r>
        <w:rPr>
          <w:color w:val="005DA1"/>
          <w:u w:val="single" w:color="005DA1"/>
          <w:vertAlign w:val="superscript"/>
        </w:rPr>
        <w:t>229</w:t>
      </w:r>
      <w:r>
        <w:rPr>
          <w:vertAlign w:val="baseline"/>
        </w:rPr>
        <w:t>; and it is well established that expenses reasonably incurred in mitigation are recoverable. </w:t>
      </w:r>
      <w:r>
        <w:rPr>
          <w:color w:val="005DA1"/>
          <w:u w:val="single" w:color="005DA1"/>
          <w:vertAlign w:val="superscript"/>
        </w:rPr>
        <w:t>230</w:t>
      </w:r>
      <w:r>
        <w:rPr>
          <w:color w:val="005DA1"/>
          <w:vertAlign w:val="baseline"/>
        </w:rPr>
        <w:t> </w:t>
      </w:r>
      <w:r>
        <w:rPr>
          <w:vertAlign w:val="baseline"/>
        </w:rPr>
        <w:t>But as this reasoning was not adopted by the other members of the </w:t>
      </w:r>
      <w:bookmarkStart w:name="_bookmark348" w:id="350"/>
      <w:bookmarkEnd w:id="350"/>
      <w:r>
        <w:rPr>
          <w:vertAlign w:val="baseline"/>
        </w:rPr>
        <w:t>House</w:t>
      </w:r>
      <w:r>
        <w:rPr>
          <w:vertAlign w:val="baseline"/>
        </w:rPr>
        <w:t> of Lords, an alternative explanation was given in the </w:t>
      </w:r>
      <w:r>
        <w:rPr>
          <w:rFonts w:ascii="Arial" w:hAnsi="Arial"/>
          <w:i/>
          <w:vertAlign w:val="baseline"/>
        </w:rPr>
        <w:t>Muirhead </w:t>
      </w:r>
      <w:r>
        <w:rPr>
          <w:vertAlign w:val="baseline"/>
        </w:rPr>
        <w:t>case, namely that the same </w:t>
      </w:r>
      <w:bookmarkStart w:name="_bookmark349" w:id="351"/>
      <w:bookmarkEnd w:id="351"/>
      <w:r>
        <w:rPr>
          <w:vertAlign w:val="baseline"/>
        </w:rPr>
        <w:t>special</w:t>
      </w:r>
      <w:r>
        <w:rPr>
          <w:vertAlign w:val="baseline"/>
        </w:rPr>
        <w:t> (or unique) factors in the </w:t>
      </w:r>
      <w:r>
        <w:rPr>
          <w:rFonts w:ascii="Arial" w:hAnsi="Arial"/>
          <w:i/>
          <w:vertAlign w:val="baseline"/>
        </w:rPr>
        <w:t>Junior Books </w:t>
      </w:r>
      <w:r>
        <w:rPr>
          <w:vertAlign w:val="baseline"/>
        </w:rPr>
        <w:t>case, which gave rise to the duty of care there, </w:t>
      </w:r>
      <w:r>
        <w:rPr>
          <w:color w:val="005DA1"/>
          <w:u w:val="single" w:color="005DA1"/>
          <w:vertAlign w:val="superscript"/>
        </w:rPr>
        <w:t>231</w:t>
      </w:r>
      <w:r>
        <w:rPr>
          <w:color w:val="005DA1"/>
          <w:vertAlign w:val="baseline"/>
        </w:rPr>
        <w:t> </w:t>
      </w:r>
      <w:r>
        <w:rPr>
          <w:vertAlign w:val="baseline"/>
        </w:rPr>
        <w:t>also </w:t>
      </w:r>
      <w:bookmarkStart w:name="_bookmark350" w:id="352"/>
      <w:bookmarkEnd w:id="352"/>
      <w:r>
        <w:rPr>
          <w:vertAlign w:val="baseline"/>
        </w:rPr>
        <w:t>explain</w:t>
      </w:r>
      <w:r>
        <w:rPr>
          <w:vertAlign w:val="baseline"/>
        </w:rPr>
        <w:t> the assessment of damages. </w:t>
      </w:r>
      <w:r>
        <w:rPr>
          <w:color w:val="005DA1"/>
          <w:u w:val="single" w:color="005DA1"/>
          <w:vertAlign w:val="superscript"/>
        </w:rPr>
        <w:t>232</w:t>
      </w:r>
      <w:r>
        <w:rPr>
          <w:color w:val="005DA1"/>
          <w:vertAlign w:val="baseline"/>
        </w:rPr>
        <w:t> </w:t>
      </w:r>
      <w:r>
        <w:rPr>
          <w:vertAlign w:val="baseline"/>
        </w:rPr>
        <w:t>This narrow view of the </w:t>
      </w:r>
      <w:r>
        <w:rPr>
          <w:rFonts w:ascii="Arial" w:hAnsi="Arial"/>
          <w:i/>
          <w:vertAlign w:val="baseline"/>
        </w:rPr>
        <w:t>Junior Books </w:t>
      </w:r>
      <w:r>
        <w:rPr>
          <w:vertAlign w:val="baseline"/>
        </w:rPr>
        <w:t>case is supported by dicta in the </w:t>
      </w:r>
      <w:r>
        <w:rPr>
          <w:rFonts w:ascii="Arial" w:hAnsi="Arial"/>
          <w:i/>
          <w:vertAlign w:val="baseline"/>
        </w:rPr>
        <w:t>Junior Books </w:t>
      </w:r>
      <w:r>
        <w:rPr>
          <w:vertAlign w:val="baseline"/>
        </w:rPr>
        <w:t>case itself </w:t>
      </w:r>
      <w:r>
        <w:rPr>
          <w:color w:val="005DA1"/>
          <w:u w:val="single" w:color="005DA1"/>
          <w:vertAlign w:val="superscript"/>
        </w:rPr>
        <w:t>233</w:t>
      </w:r>
      <w:r>
        <w:rPr>
          <w:vertAlign w:val="baseline"/>
        </w:rPr>
        <w:t>; by the fact that there is no subsequent similar </w:t>
      </w:r>
      <w:r>
        <w:rPr>
          <w:color w:val="005DA1"/>
          <w:u w:val="single" w:color="005DA1"/>
          <w:vertAlign w:val="superscript"/>
        </w:rPr>
        <w:t>234</w:t>
      </w:r>
      <w:r>
        <w:rPr>
          <w:color w:val="005DA1"/>
          <w:vertAlign w:val="baseline"/>
        </w:rPr>
        <w:t> </w:t>
      </w:r>
      <w:r>
        <w:rPr>
          <w:vertAlign w:val="baseline"/>
        </w:rPr>
        <w:t>case in which a third party has recovered damages in tort to put him into the position in which he would have </w:t>
      </w:r>
      <w:bookmarkStart w:name="_bookmark351" w:id="353"/>
      <w:bookmarkEnd w:id="353"/>
      <w:r>
        <w:rPr>
          <w:vertAlign w:val="baseline"/>
        </w:rPr>
        <w:t>been</w:t>
      </w:r>
      <w:r>
        <w:rPr>
          <w:vertAlign w:val="baseline"/>
        </w:rPr>
        <w:t> if the contract between two others </w:t>
      </w:r>
      <w:r>
        <w:rPr>
          <w:rFonts w:ascii="Arial" w:hAnsi="Arial"/>
          <w:i/>
          <w:vertAlign w:val="baseline"/>
        </w:rPr>
        <w:t>had been performed </w:t>
      </w:r>
      <w:r>
        <w:rPr>
          <w:vertAlign w:val="baseline"/>
        </w:rPr>
        <w:t>(as opposed to that in which he was </w:t>
      </w:r>
      <w:r>
        <w:rPr>
          <w:rFonts w:ascii="Arial" w:hAnsi="Arial"/>
          <w:i/>
          <w:vertAlign w:val="baseline"/>
        </w:rPr>
        <w:t>before it was broken</w:t>
      </w:r>
      <w:r>
        <w:rPr>
          <w:vertAlign w:val="baseline"/>
        </w:rPr>
        <w:t>); and by the fact that many later decisions </w:t>
      </w:r>
      <w:r>
        <w:rPr>
          <w:color w:val="005DA1"/>
          <w:u w:val="single" w:color="005DA1"/>
          <w:vertAlign w:val="superscript"/>
        </w:rPr>
        <w:t>235</w:t>
      </w:r>
      <w:r>
        <w:rPr>
          <w:color w:val="005DA1"/>
          <w:vertAlign w:val="baseline"/>
        </w:rPr>
        <w:t> </w:t>
      </w:r>
      <w:r>
        <w:rPr>
          <w:vertAlign w:val="baseline"/>
        </w:rPr>
        <w:t>have made it highly unlikely that </w:t>
      </w:r>
      <w:bookmarkStart w:name="_bookmark352" w:id="354"/>
      <w:bookmarkEnd w:id="354"/>
      <w:r>
        <w:rPr>
          <w:vertAlign w:val="baseline"/>
        </w:rPr>
        <w:t>such</w:t>
      </w:r>
      <w:r>
        <w:rPr>
          <w:vertAlign w:val="baseline"/>
        </w:rPr>
        <w:t> damages will, in a future tort case of this kind be awarded to a third party. On the contrary, two House of Lords decisions have specifically rejected such claims. </w:t>
      </w:r>
      <w:r>
        <w:rPr>
          <w:color w:val="005DA1"/>
          <w:u w:val="single" w:color="005DA1"/>
          <w:vertAlign w:val="superscript"/>
        </w:rPr>
        <w:t>236</w:t>
      </w:r>
      <w:r>
        <w:rPr>
          <w:color w:val="005DA1"/>
          <w:vertAlign w:val="baseline"/>
        </w:rPr>
        <w:t> </w:t>
      </w:r>
      <w:r>
        <w:rPr>
          <w:vertAlign w:val="baseline"/>
        </w:rPr>
        <w:t>In each case, a lessee claimed damages in tort for the cost of remedying defects allegedly due to the negligence of a building </w:t>
      </w:r>
      <w:bookmarkStart w:name="_bookmark353" w:id="355"/>
      <w:bookmarkEnd w:id="355"/>
      <w:r>
        <w:rPr>
          <w:vertAlign w:val="baseline"/>
        </w:rPr>
        <w:t>contractor</w:t>
      </w:r>
      <w:r>
        <w:rPr>
          <w:vertAlign w:val="baseline"/>
        </w:rPr>
        <w:t> in the performance of a contract to which the lessee was not a party. In each case, the contractor was held not liable to the lessee in tort, even if he was negligent, </w:t>
      </w:r>
      <w:r>
        <w:rPr>
          <w:color w:val="005DA1"/>
          <w:u w:val="single" w:color="005DA1"/>
          <w:vertAlign w:val="superscript"/>
        </w:rPr>
        <w:t>237</w:t>
      </w:r>
      <w:r>
        <w:rPr>
          <w:color w:val="005DA1"/>
          <w:vertAlign w:val="baseline"/>
        </w:rPr>
        <w:t> </w:t>
      </w:r>
      <w:r>
        <w:rPr>
          <w:vertAlign w:val="baseline"/>
        </w:rPr>
        <w:t>since the defects had been discovered before they had caused any personal injury, or damage to other property belonging to the lessees. To make the contractor liable for the purely economic loss suffered by the lessee in </w:t>
      </w:r>
      <w:bookmarkStart w:name="_bookmark354" w:id="356"/>
      <w:bookmarkEnd w:id="356"/>
      <w:r>
        <w:rPr>
          <w:vertAlign w:val="baseline"/>
        </w:rPr>
        <w:t>remedying</w:t>
      </w:r>
      <w:r>
        <w:rPr>
          <w:vertAlign w:val="baseline"/>
        </w:rPr>
        <w:t> the defect would “impose upon [the contractor] for the benefit of those with whom he had no contractual relationship the obligation of one who warranted the quality of” </w:t>
      </w:r>
      <w:r>
        <w:rPr>
          <w:color w:val="005DA1"/>
          <w:u w:val="single" w:color="005DA1"/>
          <w:vertAlign w:val="superscript"/>
        </w:rPr>
        <w:t>238</w:t>
      </w:r>
      <w:r>
        <w:rPr>
          <w:color w:val="005DA1"/>
          <w:vertAlign w:val="baseline"/>
        </w:rPr>
        <w:t> </w:t>
      </w:r>
      <w:r>
        <w:rPr>
          <w:vertAlign w:val="baseline"/>
        </w:rPr>
        <w:t>his work. Such a result would have been inconsistent with the common law doctrine of privity; and these cases reinforce the view that tort liability in negligence to third parties has not wholly subverted (though it may have limited the scope of) that doctrine.</w:t>
      </w:r>
    </w:p>
    <w:p>
      <w:pPr>
        <w:pStyle w:val="BodyText"/>
        <w:spacing w:after="0" w:line="235" w:lineRule="auto"/>
        <w:jc w:val="both"/>
        <w:sectPr>
          <w:pgSz w:w="11900" w:h="16840"/>
          <w:pgMar w:header="971" w:footer="0" w:top="1160" w:bottom="280" w:left="1275" w:right="1275"/>
        </w:sectPr>
      </w:pPr>
    </w:p>
    <w:p>
      <w:pPr>
        <w:pStyle w:val="BodyText"/>
        <w:rPr>
          <w:sz w:val="18"/>
        </w:rPr>
      </w:pPr>
    </w:p>
    <w:p>
      <w:pPr>
        <w:pStyle w:val="BodyText"/>
        <w:spacing w:before="179"/>
        <w:rPr>
          <w:sz w:val="18"/>
        </w:rPr>
      </w:pPr>
    </w:p>
    <w:p>
      <w:pPr>
        <w:spacing w:before="0"/>
        <w:ind w:left="165" w:right="0" w:firstLine="0"/>
        <w:jc w:val="left"/>
        <w:rPr>
          <w:rFonts w:ascii="Arial" w:hAnsi="Arial"/>
          <w:b/>
          <w:sz w:val="18"/>
        </w:rPr>
      </w:pPr>
      <w:r>
        <w:rPr>
          <w:rFonts w:ascii="Arial" w:hAnsi="Arial"/>
          <w:b/>
          <w:sz w:val="18"/>
        </w:rPr>
        <w:t>Damages in “disappointed beneficiary” </w:t>
      </w:r>
      <w:r>
        <w:rPr>
          <w:rFonts w:ascii="Arial" w:hAnsi="Arial"/>
          <w:b/>
          <w:spacing w:val="-2"/>
          <w:sz w:val="18"/>
        </w:rPr>
        <w:t>cases</w:t>
      </w:r>
    </w:p>
    <w:p>
      <w:pPr>
        <w:pStyle w:val="BodyText"/>
        <w:spacing w:before="41"/>
        <w:rPr>
          <w:rFonts w:ascii="Arial"/>
          <w:b/>
          <w:sz w:val="18"/>
        </w:rPr>
      </w:pPr>
    </w:p>
    <w:p>
      <w:pPr>
        <w:pStyle w:val="Heading2"/>
        <w:spacing w:before="1"/>
      </w:pPr>
      <w:r>
        <w:rPr/>
        <w:t>18-</w:t>
      </w:r>
      <w:r>
        <w:rPr>
          <w:spacing w:val="-5"/>
        </w:rPr>
        <w:t>039</w:t>
      </w:r>
    </w:p>
    <w:p>
      <w:pPr>
        <w:pStyle w:val="BodyText"/>
        <w:spacing w:line="235" w:lineRule="auto" w:before="202"/>
        <w:ind w:left="165" w:right="167"/>
        <w:jc w:val="both"/>
      </w:pPr>
      <w:r>
        <w:rPr/>
        <w:t>The general principle that a third party cannot recover damages in tort to put him into the position in </w:t>
      </w:r>
      <w:bookmarkStart w:name="_bookmark355" w:id="357"/>
      <w:bookmarkEnd w:id="357"/>
      <w:r>
        <w:rPr/>
        <w:t>which</w:t>
      </w:r>
      <w:r>
        <w:rPr/>
        <w:t> he would have been if a contract between two others had been performed is, at least at </w:t>
      </w:r>
      <w:r>
        <w:rPr/>
        <w:t>first sight, hard to reconcile with cases such as </w:t>
      </w:r>
      <w:r>
        <w:rPr>
          <w:rFonts w:ascii="Arial" w:hAnsi="Arial"/>
          <w:i/>
        </w:rPr>
        <w:t>White v Jones</w:t>
      </w:r>
      <w:r>
        <w:rPr/>
        <w:t>, </w:t>
      </w:r>
      <w:r>
        <w:rPr>
          <w:color w:val="005DA1"/>
          <w:u w:val="single" w:color="005DA1"/>
          <w:vertAlign w:val="superscript"/>
        </w:rPr>
        <w:t>239</w:t>
      </w:r>
      <w:r>
        <w:rPr>
          <w:color w:val="005DA1"/>
          <w:vertAlign w:val="baseline"/>
        </w:rPr>
        <w:t> </w:t>
      </w:r>
      <w:r>
        <w:rPr>
          <w:vertAlign w:val="baseline"/>
        </w:rPr>
        <w:t>where A had instructed his solicitor B to draw</w:t>
      </w:r>
      <w:r>
        <w:rPr>
          <w:spacing w:val="-1"/>
          <w:vertAlign w:val="baseline"/>
        </w:rPr>
        <w:t> </w:t>
      </w:r>
      <w:r>
        <w:rPr>
          <w:vertAlign w:val="baseline"/>
        </w:rPr>
        <w:t>up</w:t>
      </w:r>
      <w:r>
        <w:rPr>
          <w:spacing w:val="-1"/>
          <w:vertAlign w:val="baseline"/>
        </w:rPr>
        <w:t> </w:t>
      </w:r>
      <w:r>
        <w:rPr>
          <w:vertAlign w:val="baseline"/>
        </w:rPr>
        <w:t>a</w:t>
      </w:r>
      <w:r>
        <w:rPr>
          <w:spacing w:val="-1"/>
          <w:vertAlign w:val="baseline"/>
        </w:rPr>
        <w:t> </w:t>
      </w:r>
      <w:r>
        <w:rPr>
          <w:vertAlign w:val="baseline"/>
        </w:rPr>
        <w:t>will</w:t>
      </w:r>
      <w:r>
        <w:rPr>
          <w:spacing w:val="-1"/>
          <w:vertAlign w:val="baseline"/>
        </w:rPr>
        <w:t> </w:t>
      </w:r>
      <w:r>
        <w:rPr>
          <w:vertAlign w:val="baseline"/>
        </w:rPr>
        <w:t>containing</w:t>
      </w:r>
      <w:r>
        <w:rPr>
          <w:spacing w:val="-1"/>
          <w:vertAlign w:val="baseline"/>
        </w:rPr>
        <w:t> </w:t>
      </w:r>
      <w:r>
        <w:rPr>
          <w:vertAlign w:val="baseline"/>
        </w:rPr>
        <w:t>bequests</w:t>
      </w:r>
      <w:r>
        <w:rPr>
          <w:spacing w:val="-1"/>
          <w:vertAlign w:val="baseline"/>
        </w:rPr>
        <w:t> </w:t>
      </w:r>
      <w:r>
        <w:rPr>
          <w:vertAlign w:val="baseline"/>
        </w:rPr>
        <w:t>in</w:t>
      </w:r>
      <w:r>
        <w:rPr>
          <w:spacing w:val="-1"/>
          <w:vertAlign w:val="baseline"/>
        </w:rPr>
        <w:t> </w:t>
      </w:r>
      <w:r>
        <w:rPr>
          <w:vertAlign w:val="baseline"/>
        </w:rPr>
        <w:t>favour</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daughters</w:t>
      </w:r>
      <w:r>
        <w:rPr>
          <w:spacing w:val="-1"/>
          <w:vertAlign w:val="baseline"/>
        </w:rPr>
        <w:t> </w:t>
      </w:r>
      <w:r>
        <w:rPr>
          <w:vertAlign w:val="baseline"/>
        </w:rPr>
        <w:t>C</w:t>
      </w:r>
      <w:r>
        <w:rPr>
          <w:spacing w:val="-1"/>
          <w:vertAlign w:val="baseline"/>
        </w:rPr>
        <w:t> </w:t>
      </w:r>
      <w:r>
        <w:rPr>
          <w:vertAlign w:val="baseline"/>
        </w:rPr>
        <w:t>and</w:t>
      </w:r>
      <w:r>
        <w:rPr>
          <w:spacing w:val="-1"/>
          <w:vertAlign w:val="baseline"/>
        </w:rPr>
        <w:t> </w:t>
      </w:r>
      <w:r>
        <w:rPr>
          <w:vertAlign w:val="baseline"/>
        </w:rPr>
        <w:t>D,</w:t>
      </w:r>
      <w:r>
        <w:rPr>
          <w:spacing w:val="-1"/>
          <w:vertAlign w:val="baseline"/>
        </w:rPr>
        <w:t> </w:t>
      </w:r>
      <w:r>
        <w:rPr>
          <w:vertAlign w:val="baseline"/>
        </w:rPr>
        <w:t>but</w:t>
      </w:r>
      <w:r>
        <w:rPr>
          <w:spacing w:val="-1"/>
          <w:vertAlign w:val="baseline"/>
        </w:rPr>
        <w:t> </w:t>
      </w:r>
      <w:r>
        <w:rPr>
          <w:vertAlign w:val="baseline"/>
        </w:rPr>
        <w:t>B</w:t>
      </w:r>
      <w:r>
        <w:rPr>
          <w:spacing w:val="-1"/>
          <w:vertAlign w:val="baseline"/>
        </w:rPr>
        <w:t> </w:t>
      </w:r>
      <w:r>
        <w:rPr>
          <w:vertAlign w:val="baseline"/>
        </w:rPr>
        <w:t>negligently</w:t>
      </w:r>
      <w:r>
        <w:rPr>
          <w:spacing w:val="-1"/>
          <w:vertAlign w:val="baseline"/>
        </w:rPr>
        <w:t> </w:t>
      </w:r>
      <w:r>
        <w:rPr>
          <w:vertAlign w:val="baseline"/>
        </w:rPr>
        <w:t>and</w:t>
      </w:r>
      <w:r>
        <w:rPr>
          <w:spacing w:val="-1"/>
          <w:vertAlign w:val="baseline"/>
        </w:rPr>
        <w:t> </w:t>
      </w:r>
      <w:r>
        <w:rPr>
          <w:vertAlign w:val="baseline"/>
        </w:rPr>
        <w:t>in</w:t>
      </w:r>
      <w:r>
        <w:rPr>
          <w:spacing w:val="-1"/>
          <w:vertAlign w:val="baseline"/>
        </w:rPr>
        <w:t> </w:t>
      </w:r>
      <w:r>
        <w:rPr>
          <w:vertAlign w:val="baseline"/>
        </w:rPr>
        <w:t>breach of his contract with A had done nothing to carry out these instructions by the time of A’s death. The House of Lords by a majority held that B was liable in tort to C and D, and that the damages to which </w:t>
      </w:r>
      <w:bookmarkStart w:name="_bookmark356" w:id="358"/>
      <w:bookmarkEnd w:id="358"/>
      <w:r>
        <w:rPr>
          <w:vertAlign w:val="baseline"/>
        </w:rPr>
        <w:t>they</w:t>
      </w:r>
      <w:r>
        <w:rPr>
          <w:vertAlign w:val="baseline"/>
        </w:rPr>
        <w:t> were entitled consisted of the amounts which they would have obtained under A’s will, if B had duly carried out A’s instructions. </w:t>
      </w:r>
      <w:r>
        <w:rPr>
          <w:color w:val="005DA1"/>
          <w:u w:val="single" w:color="005DA1"/>
          <w:vertAlign w:val="superscript"/>
        </w:rPr>
        <w:t>240</w:t>
      </w:r>
      <w:r>
        <w:rPr>
          <w:color w:val="005DA1"/>
          <w:vertAlign w:val="baseline"/>
        </w:rPr>
        <w:t> </w:t>
      </w:r>
      <w:r>
        <w:rPr>
          <w:vertAlign w:val="baseline"/>
        </w:rPr>
        <w:t>The case presented certain special features, namely that C had discussed A’s testamentary intentions with B, and that the letter setting out A’s wishes had been </w:t>
      </w:r>
      <w:bookmarkStart w:name="_bookmark357" w:id="359"/>
      <w:bookmarkEnd w:id="359"/>
      <w:r>
        <w:rPr>
          <w:vertAlign w:val="baseline"/>
        </w:rPr>
        <w:t>drafted</w:t>
      </w:r>
      <w:r>
        <w:rPr>
          <w:vertAlign w:val="baseline"/>
        </w:rPr>
        <w:t> by D’s husband. The majority do not seem to restrict the principle of liability to such special </w:t>
      </w:r>
      <w:bookmarkStart w:name="_bookmark358" w:id="360"/>
      <w:bookmarkEnd w:id="360"/>
      <w:r>
        <w:rPr>
          <w:vertAlign w:val="baseline"/>
        </w:rPr>
        <w:t>circumstances</w:t>
      </w:r>
      <w:r>
        <w:rPr>
          <w:vertAlign w:val="baseline"/>
        </w:rPr>
        <w:t> </w:t>
      </w:r>
      <w:r>
        <w:rPr>
          <w:color w:val="005DA1"/>
          <w:u w:val="single" w:color="005DA1"/>
          <w:vertAlign w:val="superscript"/>
        </w:rPr>
        <w:t>241</w:t>
      </w:r>
      <w:r>
        <w:rPr>
          <w:color w:val="005DA1"/>
          <w:vertAlign w:val="baseline"/>
        </w:rPr>
        <w:t> </w:t>
      </w:r>
      <w:r>
        <w:rPr>
          <w:vertAlign w:val="baseline"/>
        </w:rPr>
        <w:t>though they accept that there must be “boundaries to the availability of the remedy” which “will have to be worked out … as practical problems come before the courts.” </w:t>
      </w:r>
      <w:r>
        <w:rPr>
          <w:color w:val="005DA1"/>
          <w:u w:val="single" w:color="005DA1"/>
          <w:vertAlign w:val="superscript"/>
        </w:rPr>
        <w:t>242</w:t>
      </w:r>
      <w:r>
        <w:rPr>
          <w:color w:val="005DA1"/>
          <w:vertAlign w:val="baseline"/>
        </w:rPr>
        <w:t> </w:t>
      </w:r>
      <w:r>
        <w:rPr>
          <w:vertAlign w:val="baseline"/>
        </w:rPr>
        <w:t>It is, for example, an open question whether such a remedy would be available to a prospective beneficiary who had no previous connection with the testator or knowledge of his testamentary intentions; and it has been said that the solicitor would not be liable for the amount of the intended benefit where it </w:t>
      </w:r>
      <w:bookmarkStart w:name="_bookmark359" w:id="361"/>
      <w:bookmarkEnd w:id="361"/>
      <w:r>
        <w:rPr>
          <w:vertAlign w:val="baseline"/>
        </w:rPr>
        <w:t>would</w:t>
      </w:r>
      <w:r>
        <w:rPr>
          <w:vertAlign w:val="baseline"/>
        </w:rPr>
        <w:t> have been reasonable for the beneficiary to have taken proceedings against the estate for rectification of the will and so to have obtained that benefit. </w:t>
      </w:r>
      <w:r>
        <w:rPr>
          <w:color w:val="005DA1"/>
          <w:u w:val="single" w:color="005DA1"/>
          <w:vertAlign w:val="superscript"/>
        </w:rPr>
        <w:t>243</w:t>
      </w:r>
      <w:r>
        <w:rPr>
          <w:color w:val="005DA1"/>
          <w:vertAlign w:val="baseline"/>
        </w:rPr>
        <w:t> </w:t>
      </w:r>
      <w:r>
        <w:rPr>
          <w:vertAlign w:val="baseline"/>
        </w:rPr>
        <w:t>But where the principle (whatever its precise scope may turn out to be) does apply, its effect is to put C into the position in which he would have been if the contract between A and B had been properly performed. Such cases are, however, </w:t>
      </w:r>
      <w:bookmarkStart w:name="_bookmark360" w:id="362"/>
      <w:bookmarkEnd w:id="362"/>
      <w:r>
        <w:rPr>
          <w:vertAlign w:val="baseline"/>
        </w:rPr>
        <w:t>distinguishable</w:t>
      </w:r>
      <w:r>
        <w:rPr>
          <w:vertAlign w:val="baseline"/>
        </w:rPr>
        <w:t> in several respects from those which hold that building contractors are not liable to third</w:t>
      </w:r>
      <w:r>
        <w:rPr>
          <w:spacing w:val="-2"/>
          <w:vertAlign w:val="baseline"/>
        </w:rPr>
        <w:t> </w:t>
      </w:r>
      <w:r>
        <w:rPr>
          <w:vertAlign w:val="baseline"/>
        </w:rPr>
        <w:t>parties</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purely</w:t>
      </w:r>
      <w:r>
        <w:rPr>
          <w:spacing w:val="-2"/>
          <w:vertAlign w:val="baseline"/>
        </w:rPr>
        <w:t> </w:t>
      </w:r>
      <w:r>
        <w:rPr>
          <w:vertAlign w:val="baseline"/>
        </w:rPr>
        <w:t>economic</w:t>
      </w:r>
      <w:r>
        <w:rPr>
          <w:spacing w:val="-2"/>
          <w:vertAlign w:val="baseline"/>
        </w:rPr>
        <w:t> </w:t>
      </w:r>
      <w:r>
        <w:rPr>
          <w:vertAlign w:val="baseline"/>
        </w:rPr>
        <w:t>loss</w:t>
      </w:r>
      <w:r>
        <w:rPr>
          <w:spacing w:val="-2"/>
          <w:vertAlign w:val="baseline"/>
        </w:rPr>
        <w:t> </w:t>
      </w:r>
      <w:r>
        <w:rPr>
          <w:vertAlign w:val="baseline"/>
        </w:rPr>
        <w:t>caused</w:t>
      </w:r>
      <w:r>
        <w:rPr>
          <w:spacing w:val="-2"/>
          <w:vertAlign w:val="baseline"/>
        </w:rPr>
        <w:t> </w:t>
      </w:r>
      <w:r>
        <w:rPr>
          <w:vertAlign w:val="baseline"/>
        </w:rPr>
        <w:t>by</w:t>
      </w:r>
      <w:r>
        <w:rPr>
          <w:spacing w:val="-2"/>
          <w:vertAlign w:val="baseline"/>
        </w:rPr>
        <w:t> </w:t>
      </w:r>
      <w:r>
        <w:rPr>
          <w:vertAlign w:val="baseline"/>
        </w:rPr>
        <w:t>defective</w:t>
      </w:r>
      <w:r>
        <w:rPr>
          <w:spacing w:val="-2"/>
          <w:vertAlign w:val="baseline"/>
        </w:rPr>
        <w:t> </w:t>
      </w:r>
      <w:r>
        <w:rPr>
          <w:vertAlign w:val="baseline"/>
        </w:rPr>
        <w:t>work.</w:t>
      </w:r>
      <w:r>
        <w:rPr>
          <w:spacing w:val="-3"/>
          <w:vertAlign w:val="baseline"/>
        </w:rPr>
        <w:t> </w:t>
      </w:r>
      <w:r>
        <w:rPr>
          <w:color w:val="005DA1"/>
          <w:u w:val="single" w:color="005DA1"/>
          <w:vertAlign w:val="superscript"/>
        </w:rPr>
        <w:t>244</w:t>
      </w:r>
      <w:r>
        <w:rPr>
          <w:color w:val="005DA1"/>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building</w:t>
      </w:r>
      <w:r>
        <w:rPr>
          <w:spacing w:val="-2"/>
          <w:vertAlign w:val="baseline"/>
        </w:rPr>
        <w:t> </w:t>
      </w:r>
      <w:r>
        <w:rPr>
          <w:vertAlign w:val="baseline"/>
        </w:rPr>
        <w:t>cases,</w:t>
      </w:r>
      <w:r>
        <w:rPr>
          <w:spacing w:val="-2"/>
          <w:vertAlign w:val="baseline"/>
        </w:rPr>
        <w:t> </w:t>
      </w:r>
      <w:r>
        <w:rPr>
          <w:vertAlign w:val="baseline"/>
        </w:rPr>
        <w:t>the third party’s complaint is that he has not received the benefit of the contractor’s performance. In the disappointed beneficiary cases, the benefit of which the third party is deprived is not that of the solicitor’s work: the lost benefit was to be provided, not by the solicitor, but by the testator; it was not to be created by the solicitor’s work, but existed independently of it. The third party is not entitled to </w:t>
      </w:r>
      <w:bookmarkStart w:name="_bookmark361" w:id="363"/>
      <w:bookmarkEnd w:id="363"/>
      <w:r>
        <w:rPr>
          <w:vertAlign w:val="baseline"/>
        </w:rPr>
        <w:t>the</w:t>
      </w:r>
      <w:r>
        <w:rPr>
          <w:vertAlign w:val="baseline"/>
        </w:rPr>
        <w:t> cost of curing the defects in the solicitor’s work (e.g. to the cost of employing another solicitor to </w:t>
      </w:r>
      <w:bookmarkStart w:name="_bookmark362" w:id="364"/>
      <w:bookmarkEnd w:id="364"/>
      <w:r>
        <w:rPr>
          <w:vertAlign w:val="baseline"/>
        </w:rPr>
        <w:t>give</w:t>
      </w:r>
      <w:r>
        <w:rPr>
          <w:vertAlign w:val="baseline"/>
        </w:rPr>
        <w:t> effect to the testator’s intention </w:t>
      </w:r>
      <w:r>
        <w:rPr>
          <w:color w:val="005DA1"/>
          <w:u w:val="single" w:color="005DA1"/>
          <w:vertAlign w:val="superscript"/>
        </w:rPr>
        <w:t>245</w:t>
      </w:r>
      <w:r>
        <w:rPr>
          <w:vertAlign w:val="baseline"/>
        </w:rPr>
        <w:t>). On the contrary, it has been held that, if the defect is discovered when cure is still possible, the solicitor owes no duty to the beneficiary. </w:t>
      </w:r>
      <w:r>
        <w:rPr>
          <w:color w:val="005DA1"/>
          <w:u w:val="single" w:color="005DA1"/>
          <w:vertAlign w:val="superscript"/>
        </w:rPr>
        <w:t>246</w:t>
      </w:r>
      <w:r>
        <w:rPr>
          <w:color w:val="005DA1"/>
          <w:vertAlign w:val="baseline"/>
        </w:rPr>
        <w:t> </w:t>
      </w:r>
      <w:r>
        <w:rPr>
          <w:vertAlign w:val="baseline"/>
        </w:rPr>
        <w:t>There are also the points that, if any duty is to be imposed on the solicitor to the disappointed beneficiary, the only realistic measure of damages is the value of the lost benefit; and that no more than nominal damages could be recovered from the solicitor by the client’s estate, since it would have suffered no loss. The negligent solicitor would thus escape all substantial liability if he were not held liable to the disappointed beneficiary for the value of the lost benefit. In the building contract cases, on the other hand, the employer will usually have a substantial remedy against the defaulting builder for damages, amounting either to the cost of curing the defects in the work or to the difference between the value of the work which was done and that which should have been done; and such a remedy may be </w:t>
      </w:r>
      <w:bookmarkStart w:name="_bookmark363" w:id="365"/>
      <w:bookmarkEnd w:id="365"/>
      <w:r>
        <w:rPr>
          <w:vertAlign w:val="baseline"/>
        </w:rPr>
        <w:t>available</w:t>
      </w:r>
      <w:r>
        <w:rPr>
          <w:vertAlign w:val="baseline"/>
        </w:rPr>
        <w:t> to the employer, not only in respect of his own loss, but also (in appropriate circumstances) in respect of loss suffered by the third party. </w:t>
      </w:r>
      <w:r>
        <w:rPr>
          <w:color w:val="005DA1"/>
          <w:u w:val="single" w:color="005DA1"/>
          <w:vertAlign w:val="superscript"/>
        </w:rPr>
        <w:t>247</w:t>
      </w:r>
      <w:r>
        <w:rPr>
          <w:color w:val="005DA1"/>
          <w:vertAlign w:val="baseline"/>
        </w:rPr>
        <w:t> </w:t>
      </w:r>
      <w:r>
        <w:rPr>
          <w:vertAlign w:val="baseline"/>
        </w:rPr>
        <w:t>For these reasons, it is submitted that the building contract cases can be distinguished from disappointed beneficiary cases such as </w:t>
      </w:r>
      <w:r>
        <w:rPr>
          <w:rFonts w:ascii="Arial" w:hAnsi="Arial"/>
          <w:i/>
          <w:vertAlign w:val="baseline"/>
        </w:rPr>
        <w:t>White v Jones</w:t>
      </w:r>
      <w:r>
        <w:rPr>
          <w:vertAlign w:val="baseline"/>
        </w:rPr>
        <w:t>.</w:t>
      </w:r>
    </w:p>
    <w:p>
      <w:pPr>
        <w:pStyle w:val="BodyText"/>
      </w:pPr>
    </w:p>
    <w:p>
      <w:pPr>
        <w:pStyle w:val="BodyText"/>
        <w:spacing w:before="24"/>
      </w:pPr>
    </w:p>
    <w:p>
      <w:pPr>
        <w:spacing w:before="0"/>
        <w:ind w:left="165" w:right="0" w:firstLine="0"/>
        <w:jc w:val="both"/>
        <w:rPr>
          <w:rFonts w:ascii="Arial"/>
          <w:b/>
          <w:sz w:val="18"/>
        </w:rPr>
      </w:pPr>
      <w:r>
        <w:rPr>
          <w:rFonts w:ascii="Arial"/>
          <w:b/>
          <w:sz w:val="18"/>
        </w:rPr>
        <w:t>Analogous </w:t>
      </w:r>
      <w:r>
        <w:rPr>
          <w:rFonts w:ascii="Arial"/>
          <w:b/>
          <w:spacing w:val="-2"/>
          <w:sz w:val="18"/>
        </w:rPr>
        <w:t>situations</w:t>
      </w:r>
    </w:p>
    <w:p>
      <w:pPr>
        <w:pStyle w:val="BodyText"/>
        <w:spacing w:before="41"/>
        <w:rPr>
          <w:rFonts w:ascii="Arial"/>
          <w:b/>
          <w:sz w:val="18"/>
        </w:rPr>
      </w:pPr>
    </w:p>
    <w:p>
      <w:pPr>
        <w:pStyle w:val="Heading2"/>
      </w:pPr>
      <w:r>
        <w:rPr/>
        <w:t>18-</w:t>
      </w:r>
      <w:r>
        <w:rPr>
          <w:spacing w:val="-5"/>
        </w:rPr>
        <w:t>040</w:t>
      </w:r>
    </w:p>
    <w:p>
      <w:pPr>
        <w:pStyle w:val="BodyText"/>
        <w:spacing w:line="235" w:lineRule="auto" w:before="203"/>
        <w:ind w:left="164" w:right="167"/>
        <w:jc w:val="both"/>
      </w:pPr>
      <w:bookmarkStart w:name="_bookmark364" w:id="366"/>
      <w:bookmarkEnd w:id="366"/>
      <w:r>
        <w:rPr/>
      </w:r>
      <w:bookmarkStart w:name="_bookmark365" w:id="367"/>
      <w:bookmarkEnd w:id="367"/>
      <w:r>
        <w:rPr/>
      </w:r>
      <w:r>
        <w:rPr/>
        <w:t>The principle of the “disappointed beneficiary” cases </w:t>
      </w:r>
      <w:r>
        <w:rPr>
          <w:color w:val="005DA1"/>
          <w:u w:val="single" w:color="005DA1"/>
          <w:vertAlign w:val="superscript"/>
        </w:rPr>
        <w:t>248</w:t>
      </w:r>
      <w:r>
        <w:rPr>
          <w:color w:val="005DA1"/>
          <w:vertAlign w:val="baseline"/>
        </w:rPr>
        <w:t> </w:t>
      </w:r>
      <w:r>
        <w:rPr>
          <w:vertAlign w:val="baseline"/>
        </w:rPr>
        <w:t>has been extended to a number of closely analogous situations. One such extension was made in </w:t>
      </w:r>
      <w:r>
        <w:rPr>
          <w:rFonts w:ascii="Arial" w:hAnsi="Arial"/>
          <w:i/>
          <w:vertAlign w:val="baseline"/>
        </w:rPr>
        <w:t>Carr-Glynn v Frearsons </w:t>
      </w:r>
      <w:r>
        <w:rPr>
          <w:color w:val="005DA1"/>
          <w:u w:val="single" w:color="005DA1"/>
          <w:vertAlign w:val="superscript"/>
        </w:rPr>
        <w:t>249</w:t>
      </w:r>
      <w:r>
        <w:rPr>
          <w:color w:val="005DA1"/>
          <w:vertAlign w:val="baseline"/>
        </w:rPr>
        <w:t> </w:t>
      </w:r>
      <w:r>
        <w:rPr>
          <w:vertAlign w:val="baseline"/>
        </w:rPr>
        <w:t>where the solicitors’ negligence took the form, not of failing to secure the proper execution of the will, but of </w:t>
      </w:r>
      <w:bookmarkStart w:name="_bookmark366" w:id="368"/>
      <w:bookmarkEnd w:id="368"/>
      <w:r>
        <w:rPr>
          <w:vertAlign w:val="baseline"/>
        </w:rPr>
        <w:t>failing</w:t>
      </w:r>
      <w:r>
        <w:rPr>
          <w:vertAlign w:val="baseline"/>
        </w:rPr>
        <w:t> to take steps to ensure that property specifically bequeathed to the beneficiary remained within the client’s estate after her death. </w:t>
      </w:r>
      <w:r>
        <w:rPr>
          <w:color w:val="005DA1"/>
          <w:u w:val="single" w:color="005DA1"/>
          <w:vertAlign w:val="superscript"/>
        </w:rPr>
        <w:t>250</w:t>
      </w:r>
      <w:r>
        <w:rPr>
          <w:color w:val="005DA1"/>
          <w:vertAlign w:val="baseline"/>
        </w:rPr>
        <w:t> </w:t>
      </w:r>
      <w:r>
        <w:rPr>
          <w:vertAlign w:val="baseline"/>
        </w:rPr>
        <w:t>Loss was thus suffered by the estate but the solicitors were </w:t>
      </w:r>
      <w:bookmarkStart w:name="_bookmark367" w:id="369"/>
      <w:bookmarkEnd w:id="369"/>
      <w:r>
        <w:rPr>
          <w:vertAlign w:val="baseline"/>
        </w:rPr>
        <w:t>nevertheless</w:t>
      </w:r>
      <w:r>
        <w:rPr>
          <w:vertAlign w:val="baseline"/>
        </w:rPr>
        <w:t> held liable to the intended legatee since the proceeds of any claim by the estate would </w:t>
      </w:r>
      <w:bookmarkStart w:name="_bookmark368" w:id="370"/>
      <w:bookmarkEnd w:id="370"/>
      <w:r>
        <w:rPr>
          <w:vertAlign w:val="baseline"/>
        </w:rPr>
        <w:t>have</w:t>
      </w:r>
      <w:r>
        <w:rPr>
          <w:vertAlign w:val="baseline"/>
        </w:rPr>
        <w:t> benefited, not that legatee, but the person entitled under the will to the residuary estate, </w:t>
      </w:r>
      <w:r>
        <w:rPr>
          <w:color w:val="005DA1"/>
          <w:u w:val="single" w:color="005DA1"/>
          <w:vertAlign w:val="superscript"/>
        </w:rPr>
        <w:t>251</w:t>
      </w:r>
      <w:r>
        <w:rPr>
          <w:color w:val="005DA1"/>
          <w:vertAlign w:val="baseline"/>
        </w:rPr>
        <w:t> </w:t>
      </w:r>
      <w:r>
        <w:rPr>
          <w:vertAlign w:val="baseline"/>
        </w:rPr>
        <w:t>thus defeating the intention of the testatrix. </w:t>
      </w:r>
      <w:r>
        <w:rPr>
          <w:color w:val="005DA1"/>
          <w:u w:val="single" w:color="005DA1"/>
          <w:vertAlign w:val="superscript"/>
        </w:rPr>
        <w:t>252</w:t>
      </w:r>
      <w:r>
        <w:rPr>
          <w:color w:val="005DA1"/>
          <w:vertAlign w:val="baseline"/>
        </w:rPr>
        <w:t> </w:t>
      </w:r>
      <w:r>
        <w:rPr>
          <w:vertAlign w:val="baseline"/>
        </w:rPr>
        <w:t>The decision can be explained on the ground that </w:t>
      </w:r>
      <w:r>
        <w:rPr>
          <w:vertAlign w:val="baseline"/>
        </w:rPr>
        <w:t>“the estate” is something of a legal abstraction, the loss being in fact suffered by the individual who under the</w:t>
      </w:r>
      <w:r>
        <w:rPr>
          <w:spacing w:val="28"/>
          <w:vertAlign w:val="baseline"/>
        </w:rPr>
        <w:t> </w:t>
      </w:r>
      <w:r>
        <w:rPr>
          <w:vertAlign w:val="baseline"/>
        </w:rPr>
        <w:t>will</w:t>
      </w:r>
      <w:r>
        <w:rPr>
          <w:spacing w:val="28"/>
          <w:vertAlign w:val="baseline"/>
        </w:rPr>
        <w:t> </w:t>
      </w:r>
      <w:r>
        <w:rPr>
          <w:vertAlign w:val="baseline"/>
        </w:rPr>
        <w:t>would,</w:t>
      </w:r>
      <w:r>
        <w:rPr>
          <w:spacing w:val="28"/>
          <w:vertAlign w:val="baseline"/>
        </w:rPr>
        <w:t> </w:t>
      </w:r>
      <w:r>
        <w:rPr>
          <w:vertAlign w:val="baseline"/>
        </w:rPr>
        <w:t>but</w:t>
      </w:r>
      <w:r>
        <w:rPr>
          <w:spacing w:val="28"/>
          <w:vertAlign w:val="baseline"/>
        </w:rPr>
        <w:t> </w:t>
      </w:r>
      <w:r>
        <w:rPr>
          <w:vertAlign w:val="baseline"/>
        </w:rPr>
        <w:t>for</w:t>
      </w:r>
      <w:r>
        <w:rPr>
          <w:spacing w:val="28"/>
          <w:vertAlign w:val="baseline"/>
        </w:rPr>
        <w:t> </w:t>
      </w:r>
      <w:r>
        <w:rPr>
          <w:vertAlign w:val="baseline"/>
        </w:rPr>
        <w:t>the</w:t>
      </w:r>
      <w:r>
        <w:rPr>
          <w:spacing w:val="28"/>
          <w:vertAlign w:val="baseline"/>
        </w:rPr>
        <w:t> </w:t>
      </w:r>
      <w:r>
        <w:rPr>
          <w:vertAlign w:val="baseline"/>
        </w:rPr>
        <w:t>solicitors’</w:t>
      </w:r>
      <w:r>
        <w:rPr>
          <w:spacing w:val="28"/>
          <w:vertAlign w:val="baseline"/>
        </w:rPr>
        <w:t> </w:t>
      </w:r>
      <w:r>
        <w:rPr>
          <w:vertAlign w:val="baseline"/>
        </w:rPr>
        <w:t>negligence,</w:t>
      </w:r>
      <w:r>
        <w:rPr>
          <w:spacing w:val="28"/>
          <w:vertAlign w:val="baseline"/>
        </w:rPr>
        <w:t> </w:t>
      </w:r>
      <w:r>
        <w:rPr>
          <w:vertAlign w:val="baseline"/>
        </w:rPr>
        <w:t>have</w:t>
      </w:r>
      <w:r>
        <w:rPr>
          <w:spacing w:val="28"/>
          <w:vertAlign w:val="baseline"/>
        </w:rPr>
        <w:t> </w:t>
      </w:r>
      <w:r>
        <w:rPr>
          <w:vertAlign w:val="baseline"/>
        </w:rPr>
        <w:t>received</w:t>
      </w:r>
      <w:r>
        <w:rPr>
          <w:spacing w:val="28"/>
          <w:vertAlign w:val="baseline"/>
        </w:rPr>
        <w:t> </w:t>
      </w:r>
      <w:r>
        <w:rPr>
          <w:vertAlign w:val="baseline"/>
        </w:rPr>
        <w:t>the</w:t>
      </w:r>
      <w:r>
        <w:rPr>
          <w:spacing w:val="28"/>
          <w:vertAlign w:val="baseline"/>
        </w:rPr>
        <w:t> </w:t>
      </w:r>
      <w:r>
        <w:rPr>
          <w:vertAlign w:val="baseline"/>
        </w:rPr>
        <w:t>property</w:t>
      </w:r>
      <w:r>
        <w:rPr>
          <w:spacing w:val="28"/>
          <w:vertAlign w:val="baseline"/>
        </w:rPr>
        <w:t> </w:t>
      </w:r>
      <w:r>
        <w:rPr>
          <w:vertAlign w:val="baseline"/>
        </w:rPr>
        <w:t>which</w:t>
      </w:r>
      <w:r>
        <w:rPr>
          <w:spacing w:val="28"/>
          <w:vertAlign w:val="baseline"/>
        </w:rPr>
        <w:t> </w:t>
      </w:r>
      <w:r>
        <w:rPr>
          <w:vertAlign w:val="baseline"/>
        </w:rPr>
        <w:t>was</w:t>
      </w:r>
      <w:r>
        <w:rPr>
          <w:spacing w:val="28"/>
          <w:vertAlign w:val="baseline"/>
        </w:rPr>
        <w:t> </w:t>
      </w:r>
      <w:r>
        <w:rPr>
          <w:vertAlign w:val="baseline"/>
        </w:rPr>
        <w:t>lost</w:t>
      </w:r>
      <w:r>
        <w:rPr>
          <w:spacing w:val="28"/>
          <w:vertAlign w:val="baseline"/>
        </w:rPr>
        <w:t> </w:t>
      </w:r>
      <w:r>
        <w:rPr>
          <w:vertAlign w:val="baseline"/>
        </w:rPr>
        <w:t>to</w:t>
      </w:r>
      <w:r>
        <w:rPr>
          <w:spacing w:val="28"/>
          <w:vertAlign w:val="baseline"/>
        </w:rPr>
        <w:t> </w:t>
      </w:r>
      <w:r>
        <w:rPr>
          <w:spacing w:val="-4"/>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369" w:id="371"/>
      <w:bookmarkEnd w:id="371"/>
      <w:r>
        <w:rPr/>
      </w:r>
      <w:r>
        <w:rPr/>
        <w:t>estate”; and that the court looked behind that abstraction </w:t>
      </w:r>
      <w:r>
        <w:rPr>
          <w:color w:val="005DA1"/>
          <w:u w:val="single" w:color="005DA1"/>
          <w:vertAlign w:val="superscript"/>
        </w:rPr>
        <w:t>253</w:t>
      </w:r>
      <w:r>
        <w:rPr>
          <w:color w:val="005DA1"/>
          <w:vertAlign w:val="baseline"/>
        </w:rPr>
        <w:t> </w:t>
      </w:r>
      <w:r>
        <w:rPr>
          <w:vertAlign w:val="baseline"/>
        </w:rPr>
        <w:t>so as to fashion a remedy for that </w:t>
      </w:r>
      <w:bookmarkStart w:name="_bookmark370" w:id="372"/>
      <w:bookmarkEnd w:id="372"/>
      <w:r>
        <w:rPr>
          <w:vertAlign w:val="baseline"/>
        </w:rPr>
        <w:t>individual.</w:t>
      </w:r>
      <w:r>
        <w:rPr>
          <w:vertAlign w:val="baseline"/>
        </w:rPr>
        <w:t> The alternative possibility that the estate might have had a claim against the solicitors in </w:t>
      </w:r>
      <w:bookmarkStart w:name="_bookmark371" w:id="373"/>
      <w:bookmarkEnd w:id="373"/>
      <w:r>
        <w:rPr>
          <w:vertAlign w:val="baseline"/>
        </w:rPr>
        <w:t>respect</w:t>
      </w:r>
      <w:r>
        <w:rPr>
          <w:vertAlign w:val="baseline"/>
        </w:rPr>
        <w:t> of the intended legatee’s loss </w:t>
      </w:r>
      <w:r>
        <w:rPr>
          <w:color w:val="005DA1"/>
          <w:u w:val="single" w:color="005DA1"/>
          <w:vertAlign w:val="superscript"/>
        </w:rPr>
        <w:t>254</w:t>
      </w:r>
      <w:r>
        <w:rPr>
          <w:color w:val="005DA1"/>
          <w:vertAlign w:val="baseline"/>
        </w:rPr>
        <w:t> </w:t>
      </w:r>
      <w:r>
        <w:rPr>
          <w:vertAlign w:val="baseline"/>
        </w:rPr>
        <w:t>was not considered, nor was any attempt made to </w:t>
      </w:r>
      <w:r>
        <w:rPr>
          <w:vertAlign w:val="baseline"/>
        </w:rPr>
        <w:t>reconcile the result with those building contract cases (discussed above </w:t>
      </w:r>
      <w:r>
        <w:rPr>
          <w:color w:val="005DA1"/>
          <w:u w:val="single" w:color="005DA1"/>
          <w:vertAlign w:val="superscript"/>
        </w:rPr>
        <w:t>255</w:t>
      </w:r>
      <w:r>
        <w:rPr>
          <w:vertAlign w:val="baseline"/>
        </w:rPr>
        <w:t>) in which a third party was held to have no remedy in tort against the contractor for pure economic loss. The principle of the “disappointed beneficiary” cases has also been extended to the situation in which the benefit of which the</w:t>
      </w:r>
      <w:r>
        <w:rPr>
          <w:spacing w:val="-1"/>
          <w:vertAlign w:val="baseline"/>
        </w:rPr>
        <w:t> </w:t>
      </w:r>
      <w:r>
        <w:rPr>
          <w:vertAlign w:val="baseline"/>
        </w:rPr>
        <w:t>claimant</w:t>
      </w:r>
      <w:r>
        <w:rPr>
          <w:spacing w:val="-1"/>
          <w:vertAlign w:val="baseline"/>
        </w:rPr>
        <w:t> </w:t>
      </w:r>
      <w:r>
        <w:rPr>
          <w:vertAlign w:val="baseline"/>
        </w:rPr>
        <w:t>was</w:t>
      </w:r>
      <w:r>
        <w:rPr>
          <w:spacing w:val="-1"/>
          <w:vertAlign w:val="baseline"/>
        </w:rPr>
        <w:t> </w:t>
      </w:r>
      <w:r>
        <w:rPr>
          <w:vertAlign w:val="baseline"/>
        </w:rPr>
        <w:t>deprived</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result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defendant’s</w:t>
      </w:r>
      <w:r>
        <w:rPr>
          <w:spacing w:val="-1"/>
          <w:vertAlign w:val="baseline"/>
        </w:rPr>
        <w:t> </w:t>
      </w:r>
      <w:r>
        <w:rPr>
          <w:vertAlign w:val="baseline"/>
        </w:rPr>
        <w:t>negligence</w:t>
      </w:r>
      <w:r>
        <w:rPr>
          <w:spacing w:val="-1"/>
          <w:vertAlign w:val="baseline"/>
        </w:rPr>
        <w:t> </w:t>
      </w:r>
      <w:r>
        <w:rPr>
          <w:vertAlign w:val="baseline"/>
        </w:rPr>
        <w:t>was</w:t>
      </w:r>
      <w:r>
        <w:rPr>
          <w:spacing w:val="-1"/>
          <w:vertAlign w:val="baseline"/>
        </w:rPr>
        <w:t> </w:t>
      </w:r>
      <w:r>
        <w:rPr>
          <w:vertAlign w:val="baseline"/>
        </w:rPr>
        <w:t>one</w:t>
      </w:r>
      <w:r>
        <w:rPr>
          <w:spacing w:val="-1"/>
          <w:vertAlign w:val="baseline"/>
        </w:rPr>
        <w:t> </w:t>
      </w:r>
      <w:r>
        <w:rPr>
          <w:vertAlign w:val="baseline"/>
        </w:rPr>
        <w:t>which</w:t>
      </w:r>
      <w:r>
        <w:rPr>
          <w:spacing w:val="-1"/>
          <w:vertAlign w:val="baseline"/>
        </w:rPr>
        <w:t> </w:t>
      </w:r>
      <w:r>
        <w:rPr>
          <w:vertAlign w:val="baseline"/>
        </w:rPr>
        <w:t>would</w:t>
      </w:r>
      <w:r>
        <w:rPr>
          <w:spacing w:val="-1"/>
          <w:vertAlign w:val="baseline"/>
        </w:rPr>
        <w:t> </w:t>
      </w:r>
      <w:r>
        <w:rPr>
          <w:vertAlign w:val="baseline"/>
        </w:rPr>
        <w:t>have</w:t>
      </w:r>
      <w:r>
        <w:rPr>
          <w:spacing w:val="-1"/>
          <w:vertAlign w:val="baseline"/>
        </w:rPr>
        <w:t> </w:t>
      </w:r>
      <w:r>
        <w:rPr>
          <w:vertAlign w:val="baseline"/>
        </w:rPr>
        <w:t>arisen </w:t>
      </w:r>
      <w:bookmarkStart w:name="_bookmark372" w:id="374"/>
      <w:bookmarkEnd w:id="374"/>
      <w:r>
        <w:rPr>
          <w:vertAlign w:val="baseline"/>
        </w:rPr>
        <w:t>on</w:t>
      </w:r>
      <w:r>
        <w:rPr>
          <w:vertAlign w:val="baseline"/>
        </w:rPr>
        <w:t> the death of the other contracting party, not under a will, but under a pension scheme. This was</w:t>
      </w:r>
      <w:r>
        <w:rPr>
          <w:spacing w:val="40"/>
          <w:vertAlign w:val="baseline"/>
        </w:rPr>
        <w:t> </w:t>
      </w:r>
      <w:r>
        <w:rPr>
          <w:vertAlign w:val="baseline"/>
        </w:rPr>
        <w:t>the position in </w:t>
      </w:r>
      <w:r>
        <w:rPr>
          <w:rFonts w:ascii="Arial" w:hAnsi="Arial"/>
          <w:i/>
          <w:vertAlign w:val="baseline"/>
        </w:rPr>
        <w:t>Gorham v British Telecommunications plc</w:t>
      </w:r>
      <w:r>
        <w:rPr>
          <w:vertAlign w:val="baseline"/>
        </w:rPr>
        <w:t>, </w:t>
      </w:r>
      <w:r>
        <w:rPr>
          <w:color w:val="005DA1"/>
          <w:u w:val="single" w:color="005DA1"/>
          <w:vertAlign w:val="superscript"/>
        </w:rPr>
        <w:t>256</w:t>
      </w:r>
      <w:r>
        <w:rPr>
          <w:color w:val="005DA1"/>
          <w:vertAlign w:val="baseline"/>
        </w:rPr>
        <w:t> </w:t>
      </w:r>
      <w:r>
        <w:rPr>
          <w:vertAlign w:val="baseline"/>
        </w:rPr>
        <w:t>where an insurance company sold a policy to a customer who had made it clear to the company that he was buying the policy to provide for his wife and dependent children in the event of his predeceasing them. The company negligently failed to advise the customer that these dependants would in that event have been better off if he had joined</w:t>
      </w:r>
      <w:r>
        <w:rPr>
          <w:spacing w:val="-2"/>
          <w:vertAlign w:val="baseline"/>
        </w:rPr>
        <w:t> </w:t>
      </w:r>
      <w:r>
        <w:rPr>
          <w:vertAlign w:val="baseline"/>
        </w:rPr>
        <w:t>his</w:t>
      </w:r>
      <w:r>
        <w:rPr>
          <w:spacing w:val="-2"/>
          <w:vertAlign w:val="baseline"/>
        </w:rPr>
        <w:t> </w:t>
      </w:r>
      <w:r>
        <w:rPr>
          <w:vertAlign w:val="baseline"/>
        </w:rPr>
        <w:t>employers’</w:t>
      </w:r>
      <w:r>
        <w:rPr>
          <w:spacing w:val="-2"/>
          <w:vertAlign w:val="baseline"/>
        </w:rPr>
        <w:t> </w:t>
      </w:r>
      <w:r>
        <w:rPr>
          <w:vertAlign w:val="baseline"/>
        </w:rPr>
        <w:t>pension</w:t>
      </w:r>
      <w:r>
        <w:rPr>
          <w:spacing w:val="-2"/>
          <w:vertAlign w:val="baseline"/>
        </w:rPr>
        <w:t> </w:t>
      </w:r>
      <w:r>
        <w:rPr>
          <w:vertAlign w:val="baseline"/>
        </w:rPr>
        <w:t>scheme;</w:t>
      </w:r>
      <w:r>
        <w:rPr>
          <w:spacing w:val="-2"/>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company</w:t>
      </w:r>
      <w:r>
        <w:rPr>
          <w:spacing w:val="-2"/>
          <w:vertAlign w:val="baseline"/>
        </w:rPr>
        <w:t> </w:t>
      </w:r>
      <w:r>
        <w:rPr>
          <w:vertAlign w:val="baseline"/>
        </w:rPr>
        <w:t>was</w:t>
      </w:r>
      <w:r>
        <w:rPr>
          <w:spacing w:val="-2"/>
          <w:vertAlign w:val="baseline"/>
        </w:rPr>
        <w:t> </w:t>
      </w:r>
      <w:r>
        <w:rPr>
          <w:vertAlign w:val="baseline"/>
        </w:rPr>
        <w:t>liable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dependants </w:t>
      </w:r>
      <w:bookmarkStart w:name="_bookmark373" w:id="375"/>
      <w:bookmarkEnd w:id="375"/>
      <w:r>
        <w:rPr>
          <w:vertAlign w:val="baseline"/>
        </w:rPr>
        <w:t>for</w:t>
      </w:r>
      <w:r>
        <w:rPr>
          <w:vertAlign w:val="baseline"/>
        </w:rPr>
        <w:t> loss of benefits under the employers’ scheme up to (but not beyond) the time when the company had corrected its original advice. The principle of </w:t>
      </w:r>
      <w:r>
        <w:rPr>
          <w:rFonts w:ascii="Arial" w:hAnsi="Arial"/>
          <w:i/>
          <w:vertAlign w:val="baseline"/>
        </w:rPr>
        <w:t>White v Jones </w:t>
      </w:r>
      <w:r>
        <w:rPr>
          <w:color w:val="005DA1"/>
          <w:u w:val="single" w:color="005DA1"/>
          <w:vertAlign w:val="superscript"/>
        </w:rPr>
        <w:t>257</w:t>
      </w:r>
      <w:r>
        <w:rPr>
          <w:color w:val="005DA1"/>
          <w:vertAlign w:val="baseline"/>
        </w:rPr>
        <w:t> </w:t>
      </w:r>
      <w:r>
        <w:rPr>
          <w:vertAlign w:val="baseline"/>
        </w:rPr>
        <w:t>applied because (as in that case) the customer had not himself suffered any loss, so that, if the dependants’ claims had been rejected, then neither the persons who had suffered loss nor anyone else would have had any claim for </w:t>
      </w:r>
      <w:bookmarkStart w:name="_bookmark374" w:id="376"/>
      <w:bookmarkEnd w:id="376"/>
      <w:r>
        <w:rPr>
          <w:vertAlign w:val="baseline"/>
        </w:rPr>
        <w:t>established</w:t>
      </w:r>
      <w:r>
        <w:rPr>
          <w:vertAlign w:val="baseline"/>
        </w:rPr>
        <w:t> negligence; and because the advice had been given “in a context in which the interests of </w:t>
      </w:r>
      <w:bookmarkStart w:name="_bookmark375" w:id="377"/>
      <w:bookmarkEnd w:id="377"/>
      <w:r>
        <w:rPr>
          <w:vertAlign w:val="baseline"/>
        </w:rPr>
        <w:t>the</w:t>
      </w:r>
      <w:r>
        <w:rPr>
          <w:vertAlign w:val="baseline"/>
        </w:rPr>
        <w:t> dependants were fundamental to the transaction.” </w:t>
      </w:r>
      <w:r>
        <w:rPr>
          <w:color w:val="005DA1"/>
          <w:u w:val="single" w:color="005DA1"/>
          <w:vertAlign w:val="superscript"/>
        </w:rPr>
        <w:t>258</w:t>
      </w:r>
      <w:r>
        <w:rPr>
          <w:color w:val="005DA1"/>
          <w:vertAlign w:val="baseline"/>
        </w:rPr>
        <w:t> </w:t>
      </w:r>
      <w:r>
        <w:rPr>
          <w:vertAlign w:val="baseline"/>
        </w:rPr>
        <w:t>In both these respects, the case was closely analogous to that of a disappointed testamentary beneficiary. </w:t>
      </w:r>
      <w:r>
        <w:rPr>
          <w:color w:val="005DA1"/>
          <w:u w:val="single" w:color="005DA1"/>
          <w:vertAlign w:val="superscript"/>
        </w:rPr>
        <w:t>259</w:t>
      </w:r>
      <w:r>
        <w:rPr>
          <w:color w:val="005DA1"/>
          <w:vertAlign w:val="baseline"/>
        </w:rPr>
        <w:t> </w:t>
      </w:r>
      <w:r>
        <w:rPr>
          <w:vertAlign w:val="baseline"/>
        </w:rPr>
        <w:t>The principle of those cases may also apply by analogy in favour of a claimant who has been deprived by the defendant’s breach of a </w:t>
      </w:r>
      <w:bookmarkStart w:name="_bookmark376" w:id="378"/>
      <w:bookmarkEnd w:id="378"/>
      <w:r>
        <w:rPr>
          <w:vertAlign w:val="baseline"/>
        </w:rPr>
        <w:t>contract</w:t>
      </w:r>
      <w:r>
        <w:rPr>
          <w:vertAlign w:val="baseline"/>
        </w:rPr>
        <w:t> to which the claimant was not a party of benefits which the claimant would, but for the</w:t>
      </w:r>
      <w:r>
        <w:rPr>
          <w:spacing w:val="40"/>
          <w:vertAlign w:val="baseline"/>
        </w:rPr>
        <w:t> </w:t>
      </w:r>
      <w:r>
        <w:rPr>
          <w:vertAlign w:val="baseline"/>
        </w:rPr>
        <w:t>breach, have obtained where those benefits would have arisen, not under a will, but under a trust. </w:t>
      </w:r>
      <w:r>
        <w:rPr>
          <w:color w:val="005DA1"/>
          <w:u w:val="single" w:color="005DA1"/>
          <w:vertAlign w:val="superscript"/>
        </w:rPr>
        <w:t>260</w:t>
      </w:r>
      <w:r>
        <w:rPr>
          <w:color w:val="005DA1"/>
          <w:vertAlign w:val="baseline"/>
        </w:rPr>
        <w:t> </w:t>
      </w:r>
      <w:r>
        <w:rPr>
          <w:vertAlign w:val="baseline"/>
        </w:rPr>
        <w:t>By way of further extension of the “disappointed beneficiary” cases, solicitors might also be liable to a person other than one of their own clients for losses suffered by that person as a result of the </w:t>
      </w:r>
      <w:bookmarkStart w:name="_bookmark377" w:id="379"/>
      <w:bookmarkEnd w:id="379"/>
      <w:r>
        <w:rPr>
          <w:vertAlign w:val="baseline"/>
        </w:rPr>
        <w:t>solicitors’</w:t>
      </w:r>
      <w:r>
        <w:rPr>
          <w:vertAlign w:val="baseline"/>
        </w:rPr>
        <w:t> negligence in relation, not to the making of a will, but to the giving of inheritance tax advice to the client. </w:t>
      </w:r>
      <w:r>
        <w:rPr>
          <w:color w:val="005DA1"/>
          <w:u w:val="single" w:color="005DA1"/>
          <w:vertAlign w:val="superscript"/>
        </w:rPr>
        <w:t>261</w:t>
      </w:r>
    </w:p>
    <w:p>
      <w:pPr>
        <w:pStyle w:val="BodyText"/>
        <w:spacing w:before="71"/>
      </w:pPr>
    </w:p>
    <w:p>
      <w:pPr>
        <w:pStyle w:val="Heading2"/>
        <w:ind w:left="164"/>
      </w:pPr>
      <w:r>
        <w:rPr/>
        <w:t>18-</w:t>
      </w:r>
      <w:r>
        <w:rPr>
          <w:spacing w:val="-5"/>
        </w:rPr>
        <w:t>041</w:t>
      </w:r>
    </w:p>
    <w:p>
      <w:pPr>
        <w:pStyle w:val="BodyText"/>
        <w:spacing w:line="235" w:lineRule="auto" w:before="202"/>
        <w:ind w:left="164" w:right="167"/>
        <w:jc w:val="both"/>
      </w:pPr>
      <w:bookmarkStart w:name="_bookmark378" w:id="380"/>
      <w:bookmarkEnd w:id="380"/>
      <w:r>
        <w:rPr/>
      </w:r>
      <w:r>
        <w:rPr/>
        <w:t>The “disappointed beneficiary” and analogous cases</w:t>
      </w:r>
      <w:r>
        <w:rPr>
          <w:spacing w:val="-1"/>
        </w:rPr>
        <w:t> </w:t>
      </w:r>
      <w:r>
        <w:rPr>
          <w:color w:val="005DA1"/>
          <w:u w:val="single" w:color="005DA1"/>
          <w:vertAlign w:val="superscript"/>
        </w:rPr>
        <w:t>262</w:t>
      </w:r>
      <w:r>
        <w:rPr>
          <w:color w:val="005DA1"/>
          <w:vertAlign w:val="baseline"/>
        </w:rPr>
        <w:t> </w:t>
      </w:r>
      <w:r>
        <w:rPr>
          <w:vertAlign w:val="baseline"/>
        </w:rPr>
        <w:t>go further than any other group of negligence </w:t>
      </w:r>
      <w:bookmarkStart w:name="_bookmark379" w:id="381"/>
      <w:bookmarkEnd w:id="381"/>
      <w:r>
        <w:rPr>
          <w:vertAlign w:val="baseline"/>
        </w:rPr>
        <w:t>cases</w:t>
      </w:r>
      <w:r>
        <w:rPr>
          <w:vertAlign w:val="baseline"/>
        </w:rPr>
        <w:t> in encroaching on the common law doctrine of privity of contract. Perhaps for this reason, they were described as “an unusual class of cases” in </w:t>
      </w:r>
      <w:r>
        <w:rPr>
          <w:rFonts w:ascii="Arial" w:hAnsi="Arial"/>
          <w:i/>
          <w:vertAlign w:val="baseline"/>
        </w:rPr>
        <w:t>Goodwill v Pregnancy Advisory Service</w:t>
      </w:r>
      <w:r>
        <w:rPr>
          <w:vertAlign w:val="baseline"/>
        </w:rPr>
        <w:t>. </w:t>
      </w:r>
      <w:r>
        <w:rPr>
          <w:color w:val="005DA1"/>
          <w:u w:val="single" w:color="005DA1"/>
          <w:vertAlign w:val="superscript"/>
        </w:rPr>
        <w:t>263</w:t>
      </w:r>
      <w:r>
        <w:rPr>
          <w:color w:val="005DA1"/>
          <w:vertAlign w:val="baseline"/>
        </w:rPr>
        <w:t> </w:t>
      </w:r>
      <w:r>
        <w:rPr>
          <w:vertAlign w:val="baseline"/>
        </w:rPr>
        <w:t>In that case, the defendant had arranged for one M to have a vasectomy and, after the operation had </w:t>
      </w:r>
      <w:r>
        <w:rPr>
          <w:vertAlign w:val="baseline"/>
        </w:rPr>
        <w:t>been carried out, told him that it had been successful and that he no longer needed to use any other method of contraception. Some three years later, M formed a sexual relationship with the claimant, to whom he communicated the information given to him by the defendant relating to the vasectomy; she ceased to use any method of contraception after having consulted her own general practitioner who told her that there was only a minute chance of her becoming pregnant. The vasectomy having undergone a spontaneous reversal, the claimant became pregnant by M and one reason for holding that the defendant was not liable to her in damages was that a doctor performing a vasectomy could not realistically be described as having been employed to confer a benefit on his patient’s future </w:t>
      </w:r>
      <w:bookmarkStart w:name="_bookmark380" w:id="382"/>
      <w:bookmarkEnd w:id="382"/>
      <w:r>
        <w:rPr>
          <w:vertAlign w:val="baseline"/>
        </w:rPr>
        <w:t>sexual</w:t>
      </w:r>
      <w:r>
        <w:rPr>
          <w:vertAlign w:val="baseline"/>
        </w:rPr>
        <w:t> partners. The case was also said to be unlike the “disappointed beneficiary” cases in that dismissal of the claim would not produce the “rank injustice” </w:t>
      </w:r>
      <w:r>
        <w:rPr>
          <w:color w:val="005DA1"/>
          <w:u w:val="single" w:color="005DA1"/>
          <w:vertAlign w:val="superscript"/>
        </w:rPr>
        <w:t>264</w:t>
      </w:r>
      <w:r>
        <w:rPr>
          <w:color w:val="005DA1"/>
          <w:vertAlign w:val="baseline"/>
        </w:rPr>
        <w:t> </w:t>
      </w:r>
      <w:r>
        <w:rPr>
          <w:vertAlign w:val="baseline"/>
        </w:rPr>
        <w:t>that would arise in those cases if in them the only person with a claim against the negligent solicitor were the testator’s estate, which would have suffered no loss. In a sterilisation case, a substantial remedy for negligence (if </w:t>
      </w:r>
      <w:bookmarkStart w:name="_bookmark381" w:id="383"/>
      <w:bookmarkEnd w:id="383"/>
      <w:r>
        <w:rPr>
          <w:vertAlign w:val="baseline"/>
        </w:rPr>
        <w:t>established)</w:t>
      </w:r>
      <w:r>
        <w:rPr>
          <w:vertAlign w:val="baseline"/>
        </w:rPr>
        <w:t> would normally be available to the patient him (or her) self. Such damages may be recoverable </w:t>
      </w:r>
      <w:r>
        <w:rPr>
          <w:color w:val="005DA1"/>
          <w:u w:val="single" w:color="005DA1"/>
          <w:vertAlign w:val="superscript"/>
        </w:rPr>
        <w:t>265</w:t>
      </w:r>
      <w:r>
        <w:rPr>
          <w:color w:val="005DA1"/>
          <w:vertAlign w:val="baseline"/>
        </w:rPr>
        <w:t> </w:t>
      </w:r>
      <w:r>
        <w:rPr>
          <w:vertAlign w:val="baseline"/>
        </w:rPr>
        <w:t>even though, because the operation is carried out under the National Health Service ( NHS)</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contract</w:t>
      </w:r>
      <w:r>
        <w:rPr>
          <w:spacing w:val="-1"/>
          <w:vertAlign w:val="baseline"/>
        </w:rPr>
        <w:t> </w:t>
      </w:r>
      <w:r>
        <w:rPr>
          <w:vertAlign w:val="baseline"/>
        </w:rPr>
        <w:t>between</w:t>
      </w:r>
      <w:r>
        <w:rPr>
          <w:spacing w:val="-1"/>
          <w:vertAlign w:val="baseline"/>
        </w:rPr>
        <w:t> </w:t>
      </w:r>
      <w:r>
        <w:rPr>
          <w:vertAlign w:val="baseline"/>
        </w:rPr>
        <w:t>the</w:t>
      </w:r>
      <w:r>
        <w:rPr>
          <w:spacing w:val="-1"/>
          <w:vertAlign w:val="baseline"/>
        </w:rPr>
        <w:t> </w:t>
      </w:r>
      <w:r>
        <w:rPr>
          <w:vertAlign w:val="baseline"/>
        </w:rPr>
        <w:t>patient</w:t>
      </w:r>
      <w:r>
        <w:rPr>
          <w:spacing w:val="-1"/>
          <w:vertAlign w:val="baseline"/>
        </w:rPr>
        <w:t> </w:t>
      </w:r>
      <w:r>
        <w:rPr>
          <w:vertAlign w:val="baseline"/>
        </w:rPr>
        <w:t>and</w:t>
      </w:r>
      <w:r>
        <w:rPr>
          <w:spacing w:val="-1"/>
          <w:vertAlign w:val="baseline"/>
        </w:rPr>
        <w:t> </w:t>
      </w:r>
      <w:r>
        <w:rPr>
          <w:vertAlign w:val="baseline"/>
        </w:rPr>
        <w:t>either</w:t>
      </w:r>
      <w:r>
        <w:rPr>
          <w:spacing w:val="-1"/>
          <w:vertAlign w:val="baseline"/>
        </w:rPr>
        <w:t> </w:t>
      </w:r>
      <w:r>
        <w:rPr>
          <w:vertAlign w:val="baseline"/>
        </w:rPr>
        <w:t>the</w:t>
      </w:r>
      <w:r>
        <w:rPr>
          <w:spacing w:val="-1"/>
          <w:vertAlign w:val="baseline"/>
        </w:rPr>
        <w:t> </w:t>
      </w:r>
      <w:r>
        <w:rPr>
          <w:vertAlign w:val="baseline"/>
        </w:rPr>
        <w:t>doctor</w:t>
      </w:r>
      <w:r>
        <w:rPr>
          <w:spacing w:val="-1"/>
          <w:vertAlign w:val="baseline"/>
        </w:rPr>
        <w:t> </w:t>
      </w:r>
      <w:r>
        <w:rPr>
          <w:vertAlign w:val="baseline"/>
        </w:rPr>
        <w:t>who</w:t>
      </w:r>
      <w:r>
        <w:rPr>
          <w:spacing w:val="-1"/>
          <w:vertAlign w:val="baseline"/>
        </w:rPr>
        <w:t> </w:t>
      </w:r>
      <w:r>
        <w:rPr>
          <w:vertAlign w:val="baseline"/>
        </w:rPr>
        <w:t>performs</w:t>
      </w:r>
      <w:r>
        <w:rPr>
          <w:spacing w:val="-1"/>
          <w:vertAlign w:val="baseline"/>
        </w:rPr>
        <w:t> </w:t>
      </w:r>
      <w:r>
        <w:rPr>
          <w:vertAlign w:val="baseline"/>
        </w:rPr>
        <w:t>the</w:t>
      </w:r>
      <w:r>
        <w:rPr>
          <w:spacing w:val="-1"/>
          <w:vertAlign w:val="baseline"/>
        </w:rPr>
        <w:t> </w:t>
      </w:r>
      <w:r>
        <w:rPr>
          <w:vertAlign w:val="baseline"/>
        </w:rPr>
        <w:t>operation</w:t>
      </w:r>
      <w:r>
        <w:rPr>
          <w:spacing w:val="-1"/>
          <w:vertAlign w:val="baseline"/>
        </w:rPr>
        <w:t> </w:t>
      </w:r>
      <w:r>
        <w:rPr>
          <w:vertAlign w:val="baseline"/>
        </w:rPr>
        <w:t>or</w:t>
      </w:r>
      <w:r>
        <w:rPr>
          <w:spacing w:val="-1"/>
          <w:vertAlign w:val="baseline"/>
        </w:rPr>
        <w:t> </w:t>
      </w:r>
      <w:r>
        <w:rPr>
          <w:vertAlign w:val="baseline"/>
        </w:rPr>
        <w:t>the hospital in which it is performed. Such liability is generally thought to arise, independently of contract, under</w:t>
      </w:r>
      <w:r>
        <w:rPr>
          <w:spacing w:val="-1"/>
          <w:vertAlign w:val="baseline"/>
        </w:rPr>
        <w:t> </w:t>
      </w:r>
      <w:r>
        <w:rPr>
          <w:vertAlign w:val="baseline"/>
        </w:rPr>
        <w:t>the</w:t>
      </w:r>
      <w:r>
        <w:rPr>
          <w:spacing w:val="-1"/>
          <w:vertAlign w:val="baseline"/>
        </w:rPr>
        <w:t> </w:t>
      </w:r>
      <w:r>
        <w:rPr>
          <w:vertAlign w:val="baseline"/>
        </w:rPr>
        <w:t>normal</w:t>
      </w:r>
      <w:r>
        <w:rPr>
          <w:spacing w:val="-1"/>
          <w:vertAlign w:val="baseline"/>
        </w:rPr>
        <w:t> </w:t>
      </w:r>
      <w:r>
        <w:rPr>
          <w:vertAlign w:val="baseline"/>
        </w:rPr>
        <w:t>principles</w:t>
      </w:r>
      <w:r>
        <w:rPr>
          <w:spacing w:val="-1"/>
          <w:vertAlign w:val="baseline"/>
        </w:rPr>
        <w:t> </w:t>
      </w:r>
      <w:r>
        <w:rPr>
          <w:vertAlign w:val="baseline"/>
        </w:rPr>
        <w:t>which</w:t>
      </w:r>
      <w:r>
        <w:rPr>
          <w:spacing w:val="-1"/>
          <w:vertAlign w:val="baseline"/>
        </w:rPr>
        <w:t> </w:t>
      </w:r>
      <w:r>
        <w:rPr>
          <w:vertAlign w:val="baseline"/>
        </w:rPr>
        <w:t>determine</w:t>
      </w:r>
      <w:r>
        <w:rPr>
          <w:spacing w:val="-1"/>
          <w:vertAlign w:val="baseline"/>
        </w:rPr>
        <w:t> </w:t>
      </w:r>
      <w:r>
        <w:rPr>
          <w:vertAlign w:val="baseline"/>
        </w:rPr>
        <w:t>when</w:t>
      </w:r>
      <w:r>
        <w:rPr>
          <w:spacing w:val="-1"/>
          <w:vertAlign w:val="baseline"/>
        </w:rPr>
        <w:t> </w:t>
      </w:r>
      <w:r>
        <w:rPr>
          <w:vertAlign w:val="baseline"/>
        </w:rPr>
        <w:t>the</w:t>
      </w:r>
      <w:r>
        <w:rPr>
          <w:spacing w:val="-1"/>
          <w:vertAlign w:val="baseline"/>
        </w:rPr>
        <w:t> </w:t>
      </w:r>
      <w:r>
        <w:rPr>
          <w:vertAlign w:val="baseline"/>
        </w:rPr>
        <w:t>relationship</w:t>
      </w:r>
      <w:r>
        <w:rPr>
          <w:spacing w:val="-1"/>
          <w:vertAlign w:val="baseline"/>
        </w:rPr>
        <w:t> </w:t>
      </w:r>
      <w:r>
        <w:rPr>
          <w:vertAlign w:val="baseline"/>
        </w:rPr>
        <w:t>between</w:t>
      </w:r>
      <w:r>
        <w:rPr>
          <w:spacing w:val="-1"/>
          <w:vertAlign w:val="baseline"/>
        </w:rPr>
        <w:t> </w:t>
      </w:r>
      <w:r>
        <w:rPr>
          <w:vertAlign w:val="baseline"/>
        </w:rPr>
        <w:t>two</w:t>
      </w:r>
      <w:r>
        <w:rPr>
          <w:spacing w:val="-1"/>
          <w:vertAlign w:val="baseline"/>
        </w:rPr>
        <w:t> </w:t>
      </w:r>
      <w:r>
        <w:rPr>
          <w:vertAlign w:val="baseline"/>
        </w:rPr>
        <w:t>persons</w:t>
      </w:r>
      <w:r>
        <w:rPr>
          <w:spacing w:val="-1"/>
          <w:vertAlign w:val="baseline"/>
        </w:rPr>
        <w:t> </w:t>
      </w:r>
      <w:r>
        <w:rPr>
          <w:vertAlign w:val="baseline"/>
        </w:rPr>
        <w:t>is</w:t>
      </w:r>
      <w:r>
        <w:rPr>
          <w:spacing w:val="-1"/>
          <w:vertAlign w:val="baseline"/>
        </w:rPr>
        <w:t> </w:t>
      </w:r>
      <w:r>
        <w:rPr>
          <w:vertAlign w:val="baseline"/>
        </w:rPr>
        <w:t>such</w:t>
      </w:r>
      <w:r>
        <w:rPr>
          <w:spacing w:val="-1"/>
          <w:vertAlign w:val="baseline"/>
        </w:rPr>
        <w:t> </w:t>
      </w:r>
      <w:r>
        <w:rPr>
          <w:vertAlign w:val="baseline"/>
        </w:rPr>
        <w:t>as</w:t>
      </w:r>
      <w:r>
        <w:rPr>
          <w:spacing w:val="-1"/>
          <w:vertAlign w:val="baseline"/>
        </w:rPr>
        <w:t> </w:t>
      </w:r>
      <w:r>
        <w:rPr>
          <w:vertAlign w:val="baseline"/>
        </w:rPr>
        <w:t>to </w:t>
      </w:r>
      <w:bookmarkStart w:name="_bookmark382" w:id="384"/>
      <w:bookmarkEnd w:id="384"/>
      <w:r>
        <w:rPr>
          <w:vertAlign w:val="baseline"/>
        </w:rPr>
        <w:t>impose</w:t>
      </w:r>
      <w:r>
        <w:rPr>
          <w:vertAlign w:val="baseline"/>
        </w:rPr>
        <w:t> on one of them a duty of care owed to the other, the breach of which is actionable in tort. In </w:t>
      </w:r>
      <w:r>
        <w:rPr>
          <w:rFonts w:ascii="Arial" w:hAnsi="Arial"/>
          <w:i/>
          <w:vertAlign w:val="baseline"/>
        </w:rPr>
        <w:t>Rees v Darlington Memorial Hospital NHS Trust</w:t>
      </w:r>
      <w:r>
        <w:rPr>
          <w:vertAlign w:val="baseline"/>
        </w:rPr>
        <w:t>, </w:t>
      </w:r>
      <w:r>
        <w:rPr>
          <w:color w:val="005DA1"/>
          <w:u w:val="single" w:color="005DA1"/>
          <w:vertAlign w:val="superscript"/>
        </w:rPr>
        <w:t>266</w:t>
      </w:r>
      <w:r>
        <w:rPr>
          <w:color w:val="005DA1"/>
          <w:vertAlign w:val="baseline"/>
        </w:rPr>
        <w:t> </w:t>
      </w:r>
      <w:r>
        <w:rPr>
          <w:vertAlign w:val="baseline"/>
        </w:rPr>
        <w:t>Lord Scott did indeed suggest that such liability </w:t>
      </w:r>
      <w:bookmarkStart w:name="_bookmark383" w:id="385"/>
      <w:bookmarkEnd w:id="385"/>
      <w:r>
        <w:rPr>
          <w:vertAlign w:val="baseline"/>
        </w:rPr>
        <w:t>could</w:t>
      </w:r>
      <w:r>
        <w:rPr>
          <w:vertAlign w:val="baseline"/>
        </w:rPr>
        <w:t> be explained on the ground that “The NHS patient is entitled to the benefit of the contractual duty owed by the doctor pursuant to his contract with his NHS employers (cf. </w:t>
      </w:r>
      <w:r>
        <w:rPr>
          <w:rFonts w:ascii="Arial" w:hAnsi="Arial"/>
          <w:i/>
          <w:vertAlign w:val="baseline"/>
        </w:rPr>
        <w:t>White v Jones</w:t>
      </w:r>
      <w:r>
        <w:rPr>
          <w:vertAlign w:val="baseline"/>
        </w:rPr>
        <w:t>) …“ </w:t>
      </w:r>
      <w:r>
        <w:rPr>
          <w:color w:val="005DA1"/>
          <w:u w:val="single" w:color="005DA1"/>
          <w:vertAlign w:val="superscript"/>
        </w:rPr>
        <w:t>267</w:t>
      </w:r>
      <w:r>
        <w:rPr>
          <w:color w:val="005DA1"/>
          <w:vertAlign w:val="baseline"/>
        </w:rPr>
        <w:t> </w:t>
      </w:r>
      <w:r>
        <w:rPr>
          <w:vertAlign w:val="baseline"/>
        </w:rPr>
        <w:t>But no reference was made to this point by any of the other members of the House of Lords, a majority of whom awarded damages to the claimant on the basis that the hospital trust was liable on </w:t>
      </w:r>
      <w:bookmarkStart w:name="_bookmark384" w:id="386"/>
      <w:bookmarkEnd w:id="386"/>
      <w:r>
        <w:rPr>
          <w:vertAlign w:val="baseline"/>
        </w:rPr>
        <w:t>ordinary</w:t>
      </w:r>
      <w:r>
        <w:rPr>
          <w:vertAlign w:val="baseline"/>
        </w:rPr>
        <w:t> principles of tortious negligence, which Lord Scott was also prepared to apply as an </w:t>
      </w:r>
      <w:bookmarkStart w:name="_bookmark385" w:id="387"/>
      <w:bookmarkEnd w:id="387"/>
      <w:r>
        <w:rPr>
          <w:vertAlign w:val="baseline"/>
        </w:rPr>
        <w:t>alternative</w:t>
      </w:r>
      <w:r>
        <w:rPr>
          <w:vertAlign w:val="baseline"/>
        </w:rPr>
        <w:t> basis </w:t>
      </w:r>
      <w:r>
        <w:rPr>
          <w:color w:val="005DA1"/>
          <w:u w:val="single" w:color="005DA1"/>
          <w:vertAlign w:val="superscript"/>
        </w:rPr>
        <w:t>268</w:t>
      </w:r>
      <w:r>
        <w:rPr>
          <w:color w:val="005DA1"/>
          <w:vertAlign w:val="baseline"/>
        </w:rPr>
        <w:t> </w:t>
      </w:r>
      <w:r>
        <w:rPr>
          <w:vertAlign w:val="baseline"/>
        </w:rPr>
        <w:t>for the award. It is not clear whether the “conventional” </w:t>
      </w:r>
      <w:r>
        <w:rPr>
          <w:color w:val="005DA1"/>
          <w:u w:val="single" w:color="005DA1"/>
          <w:vertAlign w:val="superscript"/>
        </w:rPr>
        <w:t>269</w:t>
      </w:r>
      <w:r>
        <w:rPr>
          <w:color w:val="005DA1"/>
          <w:vertAlign w:val="baseline"/>
        </w:rPr>
        <w:t> </w:t>
      </w:r>
      <w:r>
        <w:rPr>
          <w:vertAlign w:val="baseline"/>
        </w:rPr>
        <w:t>sum awarded by the </w:t>
      </w:r>
      <w:bookmarkStart w:name="_bookmark386" w:id="388"/>
      <w:bookmarkEnd w:id="388"/>
      <w:r>
        <w:rPr>
          <w:vertAlign w:val="baseline"/>
        </w:rPr>
        <w:t>majority</w:t>
      </w:r>
      <w:r>
        <w:rPr>
          <w:vertAlign w:val="baseline"/>
        </w:rPr>
        <w:t> was intended to be compensatory </w:t>
      </w:r>
      <w:r>
        <w:rPr>
          <w:color w:val="005DA1"/>
          <w:u w:val="single" w:color="005DA1"/>
          <w:vertAlign w:val="superscript"/>
        </w:rPr>
        <w:t>270</w:t>
      </w:r>
      <w:r>
        <w:rPr>
          <w:color w:val="005DA1"/>
          <w:vertAlign w:val="baseline"/>
        </w:rPr>
        <w:t> </w:t>
      </w:r>
      <w:r>
        <w:rPr>
          <w:vertAlign w:val="baseline"/>
        </w:rPr>
        <w:t>or to be based instead simply, as Lord Bingham said,</w:t>
      </w:r>
      <w:r>
        <w:rPr>
          <w:spacing w:val="40"/>
          <w:vertAlign w:val="baseline"/>
        </w:rPr>
        <w:t> </w:t>
      </w:r>
      <w:r>
        <w:rPr>
          <w:vertAlign w:val="baseline"/>
        </w:rPr>
        <w:t>on</w:t>
      </w:r>
      <w:r>
        <w:rPr>
          <w:spacing w:val="6"/>
          <w:vertAlign w:val="baseline"/>
        </w:rPr>
        <w:t> </w:t>
      </w:r>
      <w:r>
        <w:rPr>
          <w:vertAlign w:val="baseline"/>
        </w:rPr>
        <w:t>“some</w:t>
      </w:r>
      <w:r>
        <w:rPr>
          <w:spacing w:val="7"/>
          <w:vertAlign w:val="baseline"/>
        </w:rPr>
        <w:t> </w:t>
      </w:r>
      <w:r>
        <w:rPr>
          <w:vertAlign w:val="baseline"/>
        </w:rPr>
        <w:t>measure</w:t>
      </w:r>
      <w:r>
        <w:rPr>
          <w:spacing w:val="7"/>
          <w:vertAlign w:val="baseline"/>
        </w:rPr>
        <w:t> </w:t>
      </w:r>
      <w:r>
        <w:rPr>
          <w:vertAlign w:val="baseline"/>
        </w:rPr>
        <w:t>of</w:t>
      </w:r>
      <w:r>
        <w:rPr>
          <w:spacing w:val="7"/>
          <w:vertAlign w:val="baseline"/>
        </w:rPr>
        <w:t> </w:t>
      </w:r>
      <w:r>
        <w:rPr>
          <w:vertAlign w:val="baseline"/>
        </w:rPr>
        <w:t>recognition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wrong</w:t>
      </w:r>
      <w:r>
        <w:rPr>
          <w:spacing w:val="7"/>
          <w:vertAlign w:val="baseline"/>
        </w:rPr>
        <w:t> </w:t>
      </w:r>
      <w:r>
        <w:rPr>
          <w:vertAlign w:val="baseline"/>
        </w:rPr>
        <w:t>done”.</w:t>
      </w:r>
      <w:r>
        <w:rPr>
          <w:spacing w:val="6"/>
          <w:vertAlign w:val="baseline"/>
        </w:rPr>
        <w:t> </w:t>
      </w:r>
      <w:r>
        <w:rPr>
          <w:color w:val="005DA1"/>
          <w:u w:val="single" w:color="005DA1"/>
          <w:vertAlign w:val="superscript"/>
        </w:rPr>
        <w:t>271</w:t>
      </w:r>
      <w:r>
        <w:rPr>
          <w:color w:val="005DA1"/>
          <w:spacing w:val="7"/>
          <w:vertAlign w:val="baseline"/>
        </w:rPr>
        <w:t> </w:t>
      </w:r>
      <w:r>
        <w:rPr>
          <w:vertAlign w:val="baseline"/>
        </w:rPr>
        <w:t>The</w:t>
      </w:r>
      <w:r>
        <w:rPr>
          <w:spacing w:val="7"/>
          <w:vertAlign w:val="baseline"/>
        </w:rPr>
        <w:t> </w:t>
      </w:r>
      <w:r>
        <w:rPr>
          <w:vertAlign w:val="baseline"/>
        </w:rPr>
        <w:t>case</w:t>
      </w:r>
      <w:r>
        <w:rPr>
          <w:spacing w:val="7"/>
          <w:vertAlign w:val="baseline"/>
        </w:rPr>
        <w:t> </w:t>
      </w:r>
      <w:r>
        <w:rPr>
          <w:vertAlign w:val="baseline"/>
        </w:rPr>
        <w:t>is</w:t>
      </w:r>
      <w:r>
        <w:rPr>
          <w:spacing w:val="7"/>
          <w:vertAlign w:val="baseline"/>
        </w:rPr>
        <w:t> </w:t>
      </w:r>
      <w:r>
        <w:rPr>
          <w:vertAlign w:val="baseline"/>
        </w:rPr>
        <w:t>therefore</w:t>
      </w:r>
      <w:r>
        <w:rPr>
          <w:spacing w:val="7"/>
          <w:vertAlign w:val="baseline"/>
        </w:rPr>
        <w:t> </w:t>
      </w:r>
      <w:r>
        <w:rPr>
          <w:vertAlign w:val="baseline"/>
        </w:rPr>
        <w:t>not</w:t>
      </w:r>
      <w:r>
        <w:rPr>
          <w:spacing w:val="7"/>
          <w:vertAlign w:val="baseline"/>
        </w:rPr>
        <w:t> </w:t>
      </w:r>
      <w:r>
        <w:rPr>
          <w:vertAlign w:val="baseline"/>
        </w:rPr>
        <w:t>direct</w:t>
      </w:r>
      <w:r>
        <w:rPr>
          <w:spacing w:val="7"/>
          <w:vertAlign w:val="baseline"/>
        </w:rPr>
        <w:t> </w:t>
      </w:r>
      <w:r>
        <w:rPr>
          <w:vertAlign w:val="baseline"/>
        </w:rPr>
        <w:t>authority</w:t>
      </w:r>
      <w:r>
        <w:rPr>
          <w:spacing w:val="7"/>
          <w:vertAlign w:val="baseline"/>
        </w:rPr>
        <w:t> </w:t>
      </w:r>
      <w:r>
        <w:rPr>
          <w:spacing w:val="-5"/>
          <w:vertAlign w:val="baseline"/>
        </w:rPr>
        <w:t>on</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8"/>
      </w:pPr>
      <w:bookmarkStart w:name="_bookmark387" w:id="389"/>
      <w:bookmarkEnd w:id="389"/>
      <w:r>
        <w:rPr/>
      </w:r>
      <w:bookmarkStart w:name="_bookmark388" w:id="390"/>
      <w:bookmarkEnd w:id="390"/>
      <w:r>
        <w:rPr/>
      </w:r>
      <w:r>
        <w:rPr/>
        <w:t>whether such an award is more closely analogous to damages for breach of contract </w:t>
      </w:r>
      <w:r>
        <w:rPr>
          <w:color w:val="005DA1"/>
          <w:u w:val="single" w:color="005DA1"/>
          <w:vertAlign w:val="superscript"/>
        </w:rPr>
        <w:t>272</w:t>
      </w:r>
      <w:r>
        <w:rPr>
          <w:color w:val="005DA1"/>
          <w:vertAlign w:val="baseline"/>
        </w:rPr>
        <w:t> </w:t>
      </w:r>
      <w:r>
        <w:rPr>
          <w:vertAlign w:val="baseline"/>
        </w:rPr>
        <w:t>than to one for tort. </w:t>
      </w:r>
      <w:r>
        <w:rPr>
          <w:color w:val="005DA1"/>
          <w:u w:val="single" w:color="005DA1"/>
          <w:vertAlign w:val="superscript"/>
        </w:rPr>
        <w:t>273</w:t>
      </w:r>
    </w:p>
    <w:p>
      <w:pPr>
        <w:pStyle w:val="BodyText"/>
      </w:pPr>
    </w:p>
    <w:p>
      <w:pPr>
        <w:pStyle w:val="BodyText"/>
        <w:spacing w:before="39"/>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186112</wp:posOffset>
                </wp:positionV>
                <wp:extent cx="572452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4554pt;width:450.75pt;height:.1pt;mso-position-horizontal-relative:page;mso-position-vertical-relative:paragraph;z-index:-15709184;mso-wrap-distance-left:0;mso-wrap-distance-right:0" id="docshape15"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51968">
                <wp:simplePos x="0" y="0"/>
                <wp:positionH relativeFrom="page">
                  <wp:posOffset>914400</wp:posOffset>
                </wp:positionH>
                <wp:positionV relativeFrom="paragraph">
                  <wp:posOffset>97116</wp:posOffset>
                </wp:positionV>
                <wp:extent cx="4953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4512"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9"/>
      </w:pPr>
    </w:p>
    <w:p>
      <w:pPr>
        <w:tabs>
          <w:tab w:pos="705" w:val="left" w:leader="none"/>
        </w:tabs>
        <w:spacing w:line="235" w:lineRule="auto" w:before="0"/>
        <w:ind w:left="705" w:right="168" w:hanging="541"/>
        <w:jc w:val="left"/>
        <w:rPr>
          <w:sz w:val="20"/>
        </w:rPr>
      </w:pPr>
      <w:bookmarkStart w:name="_bookmark389" w:id="391"/>
      <w:bookmarkEnd w:id="391"/>
      <w:r>
        <w:rPr/>
      </w:r>
      <w:hyperlink w:history="true" w:anchor="_bookmark266">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Austin</w:t>
      </w:r>
      <w:r>
        <w:rPr>
          <w:rFonts w:ascii="Arial"/>
          <w:i/>
          <w:spacing w:val="-1"/>
          <w:sz w:val="20"/>
        </w:rPr>
        <w:t> </w:t>
      </w:r>
      <w:r>
        <w:rPr>
          <w:rFonts w:ascii="Arial"/>
          <w:i/>
          <w:sz w:val="20"/>
        </w:rPr>
        <w:t>v</w:t>
      </w:r>
      <w:r>
        <w:rPr>
          <w:rFonts w:ascii="Arial"/>
          <w:i/>
          <w:spacing w:val="-1"/>
          <w:sz w:val="20"/>
        </w:rPr>
        <w:t> </w:t>
      </w:r>
      <w:r>
        <w:rPr>
          <w:rFonts w:ascii="Arial"/>
          <w:i/>
          <w:sz w:val="20"/>
        </w:rPr>
        <w:t>G.W.</w:t>
      </w:r>
      <w:r>
        <w:rPr>
          <w:rFonts w:ascii="Arial"/>
          <w:i/>
          <w:spacing w:val="-1"/>
          <w:sz w:val="20"/>
        </w:rPr>
        <w:t> </w:t>
      </w:r>
      <w:r>
        <w:rPr>
          <w:rFonts w:ascii="Arial"/>
          <w:i/>
          <w:sz w:val="20"/>
        </w:rPr>
        <w:t>Ry</w:t>
      </w:r>
      <w:r>
        <w:rPr>
          <w:rFonts w:ascii="Arial"/>
          <w:i/>
          <w:spacing w:val="-1"/>
          <w:sz w:val="20"/>
        </w:rPr>
        <w:t> </w:t>
      </w:r>
      <w:r>
        <w:rPr>
          <w:rFonts w:ascii="Arial"/>
          <w:i/>
          <w:sz w:val="20"/>
        </w:rPr>
        <w:t>(1867)</w:t>
      </w:r>
      <w:r>
        <w:rPr>
          <w:rFonts w:ascii="Arial"/>
          <w:i/>
          <w:spacing w:val="-1"/>
          <w:sz w:val="20"/>
        </w:rPr>
        <w:t> </w:t>
      </w:r>
      <w:r>
        <w:rPr>
          <w:rFonts w:ascii="Arial"/>
          <w:i/>
          <w:sz w:val="20"/>
        </w:rPr>
        <w:t>L.R.</w:t>
      </w:r>
      <w:r>
        <w:rPr>
          <w:rFonts w:ascii="Arial"/>
          <w:i/>
          <w:spacing w:val="-1"/>
          <w:sz w:val="20"/>
        </w:rPr>
        <w:t> </w:t>
      </w:r>
      <w:r>
        <w:rPr>
          <w:rFonts w:ascii="Arial"/>
          <w:i/>
          <w:sz w:val="20"/>
        </w:rPr>
        <w:t>2</w:t>
      </w:r>
      <w:r>
        <w:rPr>
          <w:rFonts w:ascii="Arial"/>
          <w:i/>
          <w:spacing w:val="-1"/>
          <w:sz w:val="20"/>
        </w:rPr>
        <w:t> </w:t>
      </w:r>
      <w:r>
        <w:rPr>
          <w:rFonts w:ascii="Arial"/>
          <w:i/>
          <w:sz w:val="20"/>
        </w:rPr>
        <w:t>Q.B.</w:t>
      </w:r>
      <w:r>
        <w:rPr>
          <w:rFonts w:ascii="Arial"/>
          <w:i/>
          <w:spacing w:val="-1"/>
          <w:sz w:val="20"/>
        </w:rPr>
        <w:t> </w:t>
      </w:r>
      <w:r>
        <w:rPr>
          <w:rFonts w:ascii="Arial"/>
          <w:i/>
          <w:sz w:val="20"/>
        </w:rPr>
        <w:t>442</w:t>
      </w:r>
      <w:r>
        <w:rPr>
          <w:sz w:val="20"/>
        </w:rPr>
        <w:t>;</w:t>
      </w:r>
      <w:r>
        <w:rPr>
          <w:spacing w:val="-1"/>
          <w:sz w:val="20"/>
        </w:rPr>
        <w:t> </w:t>
      </w:r>
      <w:r>
        <w:rPr>
          <w:rFonts w:ascii="Arial"/>
          <w:i/>
          <w:sz w:val="20"/>
        </w:rPr>
        <w:t>Sammick</w:t>
      </w:r>
      <w:r>
        <w:rPr>
          <w:rFonts w:ascii="Arial"/>
          <w:i/>
          <w:spacing w:val="-1"/>
          <w:sz w:val="20"/>
        </w:rPr>
        <w:t> </w:t>
      </w:r>
      <w:r>
        <w:rPr>
          <w:rFonts w:ascii="Arial"/>
          <w:i/>
          <w:sz w:val="20"/>
        </w:rPr>
        <w:t>Lines</w:t>
      </w:r>
      <w:r>
        <w:rPr>
          <w:rFonts w:ascii="Arial"/>
          <w:i/>
          <w:spacing w:val="-1"/>
          <w:sz w:val="20"/>
        </w:rPr>
        <w:t> </w:t>
      </w:r>
      <w:r>
        <w:rPr>
          <w:rFonts w:ascii="Arial"/>
          <w:i/>
          <w:sz w:val="20"/>
        </w:rPr>
        <w:t>Co</w:t>
      </w:r>
      <w:r>
        <w:rPr>
          <w:rFonts w:ascii="Arial"/>
          <w:i/>
          <w:spacing w:val="-1"/>
          <w:sz w:val="20"/>
        </w:rPr>
        <w:t> </w:t>
      </w:r>
      <w:r>
        <w:rPr>
          <w:rFonts w:ascii="Arial"/>
          <w:i/>
          <w:sz w:val="20"/>
        </w:rPr>
        <w:t>v</w:t>
      </w:r>
      <w:r>
        <w:rPr>
          <w:rFonts w:ascii="Arial"/>
          <w:i/>
          <w:spacing w:val="-1"/>
          <w:sz w:val="20"/>
        </w:rPr>
        <w:t> </w:t>
      </w:r>
      <w:r>
        <w:rPr>
          <w:rFonts w:ascii="Arial"/>
          <w:i/>
          <w:sz w:val="20"/>
        </w:rPr>
        <w:t>Owners</w:t>
      </w:r>
      <w:r>
        <w:rPr>
          <w:rFonts w:ascii="Arial"/>
          <w:i/>
          <w:spacing w:val="-1"/>
          <w:sz w:val="20"/>
        </w:rPr>
        <w:t> </w:t>
      </w:r>
      <w:r>
        <w:rPr>
          <w:rFonts w:ascii="Arial"/>
          <w:i/>
          <w:sz w:val="20"/>
        </w:rPr>
        <w:t>of</w:t>
      </w:r>
      <w:r>
        <w:rPr>
          <w:rFonts w:ascii="Arial"/>
          <w:i/>
          <w:spacing w:val="-1"/>
          <w:sz w:val="20"/>
        </w:rPr>
        <w:t> </w:t>
      </w:r>
      <w:r>
        <w:rPr>
          <w:rFonts w:ascii="Arial"/>
          <w:i/>
          <w:sz w:val="20"/>
        </w:rPr>
        <w:t>the</w:t>
      </w:r>
      <w:r>
        <w:rPr>
          <w:rFonts w:ascii="Arial"/>
          <w:i/>
          <w:spacing w:val="-1"/>
          <w:sz w:val="20"/>
        </w:rPr>
        <w:t> </w:t>
      </w:r>
      <w:r>
        <w:rPr>
          <w:rFonts w:ascii="Arial"/>
          <w:i/>
          <w:sz w:val="20"/>
        </w:rPr>
        <w:t>Antonis</w:t>
      </w:r>
      <w:r>
        <w:rPr>
          <w:rFonts w:ascii="Arial"/>
          <w:i/>
          <w:spacing w:val="-1"/>
          <w:sz w:val="20"/>
        </w:rPr>
        <w:t> </w:t>
      </w:r>
      <w:r>
        <w:rPr>
          <w:rFonts w:ascii="Arial"/>
          <w:i/>
          <w:sz w:val="20"/>
        </w:rPr>
        <w:t>P.</w:t>
      </w:r>
      <w:r>
        <w:rPr>
          <w:rFonts w:ascii="Arial"/>
          <w:i/>
          <w:spacing w:val="-1"/>
          <w:sz w:val="20"/>
        </w:rPr>
        <w:t> </w:t>
      </w:r>
      <w:r>
        <w:rPr>
          <w:rFonts w:ascii="Arial"/>
          <w:i/>
          <w:sz w:val="20"/>
        </w:rPr>
        <w:t>Lemos (The Antonis P. Lemos) [1985] A.C. 771</w:t>
      </w:r>
      <w:r>
        <w:rPr>
          <w:sz w:val="20"/>
        </w:rPr>
        <w:t>.</w:t>
      </w:r>
    </w:p>
    <w:p>
      <w:pPr>
        <w:pStyle w:val="BodyText"/>
        <w:spacing w:before="9"/>
      </w:pPr>
    </w:p>
    <w:p>
      <w:pPr>
        <w:spacing w:line="235" w:lineRule="auto" w:before="0"/>
        <w:ind w:left="705" w:right="167" w:hanging="541"/>
        <w:jc w:val="both"/>
        <w:rPr>
          <w:sz w:val="20"/>
        </w:rPr>
      </w:pPr>
      <w:bookmarkStart w:name="_bookmark390" w:id="392"/>
      <w:bookmarkEnd w:id="392"/>
      <w:r>
        <w:rPr/>
      </w:r>
      <w:hyperlink w:history="true" w:anchor="_bookmark267">
        <w:r>
          <w:rPr>
            <w:color w:val="005DA1"/>
            <w:position w:val="5"/>
            <w:sz w:val="14"/>
            <w:u w:val="single" w:color="005DA1"/>
          </w:rPr>
          <w:t>142</w:t>
        </w:r>
      </w:hyperlink>
      <w:r>
        <w:rPr>
          <w:position w:val="5"/>
          <w:sz w:val="14"/>
        </w:rPr>
        <w:t>.</w:t>
      </w:r>
      <w:r>
        <w:rPr>
          <w:spacing w:val="40"/>
          <w:position w:val="5"/>
          <w:sz w:val="14"/>
        </w:rPr>
        <w:t>  </w:t>
      </w:r>
      <w:r>
        <w:rPr>
          <w:rFonts w:ascii="Arial" w:hAnsi="Arial"/>
          <w:i/>
          <w:sz w:val="20"/>
        </w:rPr>
        <w:t>Moukataff v B.O.A.C. [1967] 1 Lloyd’s Rep. 396</w:t>
      </w:r>
      <w:r>
        <w:rPr>
          <w:sz w:val="20"/>
        </w:rPr>
        <w:t>; </w:t>
      </w:r>
      <w:r>
        <w:rPr>
          <w:rFonts w:ascii="Arial" w:hAnsi="Arial"/>
          <w:i/>
          <w:sz w:val="20"/>
        </w:rPr>
        <w:t>Bart v B.W.I.A. [1967] 1 Lloyd’s Rep. 239</w:t>
      </w:r>
      <w:r>
        <w:rPr>
          <w:rFonts w:ascii="Arial" w:hAnsi="Arial"/>
          <w:i/>
          <w:spacing w:val="40"/>
          <w:sz w:val="20"/>
        </w:rPr>
        <w:t> </w:t>
      </w:r>
      <w:r>
        <w:rPr>
          <w:sz w:val="20"/>
        </w:rPr>
        <w:t>(where the claim failed as the sub-bailee’s duty was limited to one to keep safely, and did not extend to transmission of the package); </w:t>
      </w:r>
      <w:r>
        <w:rPr>
          <w:rFonts w:ascii="Arial" w:hAnsi="Arial"/>
          <w:i/>
          <w:sz w:val="20"/>
        </w:rPr>
        <w:t>Hispanica de Petroles SA v Vencedora Oceanica Navegacion</w:t>
      </w:r>
      <w:r>
        <w:rPr>
          <w:rFonts w:ascii="Arial" w:hAnsi="Arial"/>
          <w:i/>
          <w:spacing w:val="79"/>
          <w:sz w:val="20"/>
        </w:rPr>
        <w:t> </w:t>
      </w:r>
      <w:r>
        <w:rPr>
          <w:rFonts w:ascii="Arial" w:hAnsi="Arial"/>
          <w:i/>
          <w:sz w:val="20"/>
        </w:rPr>
        <w:t>SA</w:t>
      </w:r>
      <w:r>
        <w:rPr>
          <w:rFonts w:ascii="Arial" w:hAnsi="Arial"/>
          <w:i/>
          <w:spacing w:val="79"/>
          <w:sz w:val="20"/>
        </w:rPr>
        <w:t> </w:t>
      </w:r>
      <w:r>
        <w:rPr>
          <w:rFonts w:ascii="Arial" w:hAnsi="Arial"/>
          <w:i/>
          <w:sz w:val="20"/>
        </w:rPr>
        <w:t>(The</w:t>
      </w:r>
      <w:r>
        <w:rPr>
          <w:rFonts w:ascii="Arial" w:hAnsi="Arial"/>
          <w:i/>
          <w:spacing w:val="79"/>
          <w:sz w:val="20"/>
        </w:rPr>
        <w:t> </w:t>
      </w:r>
      <w:r>
        <w:rPr>
          <w:rFonts w:ascii="Arial" w:hAnsi="Arial"/>
          <w:i/>
          <w:sz w:val="20"/>
        </w:rPr>
        <w:t>Kapetan</w:t>
      </w:r>
      <w:r>
        <w:rPr>
          <w:rFonts w:ascii="Arial" w:hAnsi="Arial"/>
          <w:i/>
          <w:spacing w:val="79"/>
          <w:sz w:val="20"/>
        </w:rPr>
        <w:t> </w:t>
      </w:r>
      <w:r>
        <w:rPr>
          <w:rFonts w:ascii="Arial" w:hAnsi="Arial"/>
          <w:i/>
          <w:sz w:val="20"/>
        </w:rPr>
        <w:t>Markos</w:t>
      </w:r>
      <w:r>
        <w:rPr>
          <w:rFonts w:ascii="Arial" w:hAnsi="Arial"/>
          <w:i/>
          <w:spacing w:val="79"/>
          <w:sz w:val="20"/>
        </w:rPr>
        <w:t> </w:t>
      </w:r>
      <w:r>
        <w:rPr>
          <w:rFonts w:ascii="Arial" w:hAnsi="Arial"/>
          <w:i/>
          <w:sz w:val="20"/>
        </w:rPr>
        <w:t>NL)</w:t>
      </w:r>
      <w:r>
        <w:rPr>
          <w:rFonts w:ascii="Arial" w:hAnsi="Arial"/>
          <w:i/>
          <w:spacing w:val="79"/>
          <w:sz w:val="20"/>
        </w:rPr>
        <w:t> </w:t>
      </w:r>
      <w:r>
        <w:rPr>
          <w:rFonts w:ascii="Arial" w:hAnsi="Arial"/>
          <w:i/>
          <w:sz w:val="20"/>
        </w:rPr>
        <w:t>(No.2)</w:t>
      </w:r>
      <w:r>
        <w:rPr>
          <w:rFonts w:ascii="Arial" w:hAnsi="Arial"/>
          <w:i/>
          <w:spacing w:val="79"/>
          <w:sz w:val="20"/>
        </w:rPr>
        <w:t> </w:t>
      </w:r>
      <w:r>
        <w:rPr>
          <w:rFonts w:ascii="Arial" w:hAnsi="Arial"/>
          <w:i/>
          <w:sz w:val="20"/>
        </w:rPr>
        <w:t>[1987]</w:t>
      </w:r>
      <w:r>
        <w:rPr>
          <w:rFonts w:ascii="Arial" w:hAnsi="Arial"/>
          <w:i/>
          <w:spacing w:val="79"/>
          <w:sz w:val="20"/>
        </w:rPr>
        <w:t> </w:t>
      </w:r>
      <w:r>
        <w:rPr>
          <w:rFonts w:ascii="Arial" w:hAnsi="Arial"/>
          <w:i/>
          <w:sz w:val="20"/>
        </w:rPr>
        <w:t>2</w:t>
      </w:r>
      <w:r>
        <w:rPr>
          <w:rFonts w:ascii="Arial" w:hAnsi="Arial"/>
          <w:i/>
          <w:spacing w:val="79"/>
          <w:sz w:val="20"/>
        </w:rPr>
        <w:t> </w:t>
      </w:r>
      <w:r>
        <w:rPr>
          <w:rFonts w:ascii="Arial" w:hAnsi="Arial"/>
          <w:i/>
          <w:sz w:val="20"/>
        </w:rPr>
        <w:t>Lloyd’s</w:t>
      </w:r>
      <w:r>
        <w:rPr>
          <w:rFonts w:ascii="Arial" w:hAnsi="Arial"/>
          <w:i/>
          <w:spacing w:val="79"/>
          <w:sz w:val="20"/>
        </w:rPr>
        <w:t> </w:t>
      </w:r>
      <w:r>
        <w:rPr>
          <w:rFonts w:ascii="Arial" w:hAnsi="Arial"/>
          <w:i/>
          <w:sz w:val="20"/>
        </w:rPr>
        <w:t>Rep.</w:t>
      </w:r>
      <w:r>
        <w:rPr>
          <w:rFonts w:ascii="Arial" w:hAnsi="Arial"/>
          <w:i/>
          <w:spacing w:val="79"/>
          <w:sz w:val="20"/>
        </w:rPr>
        <w:t> </w:t>
      </w:r>
      <w:r>
        <w:rPr>
          <w:rFonts w:ascii="Arial" w:hAnsi="Arial"/>
          <w:i/>
          <w:sz w:val="20"/>
        </w:rPr>
        <w:t>321</w:t>
      </w:r>
      <w:r>
        <w:rPr>
          <w:sz w:val="20"/>
        </w:rPr>
        <w:t>.</w:t>
      </w:r>
      <w:r>
        <w:rPr>
          <w:spacing w:val="79"/>
          <w:sz w:val="20"/>
        </w:rPr>
        <w:t> </w:t>
      </w:r>
      <w:r>
        <w:rPr>
          <w:sz w:val="20"/>
        </w:rPr>
        <w:t>Such</w:t>
      </w:r>
      <w:r>
        <w:rPr>
          <w:spacing w:val="79"/>
          <w:sz w:val="20"/>
        </w:rPr>
        <w:t> </w:t>
      </w:r>
      <w:r>
        <w:rPr>
          <w:sz w:val="20"/>
        </w:rPr>
        <w:t>a sub-bailment may also operate to the disadvantage of C (the head bailor) in that he may be bound by an exemption or lien clause in the contract between A (the head bailee) and B (the sub-bailee): see </w:t>
      </w:r>
      <w:r>
        <w:rPr>
          <w:rFonts w:ascii="Arial" w:hAnsi="Arial"/>
          <w:i/>
          <w:sz w:val="20"/>
        </w:rPr>
        <w:t>Morris v C.W. Martin Ltd [1966] 1 Q.B. 716, 719</w:t>
      </w:r>
      <w:r>
        <w:rPr>
          <w:sz w:val="20"/>
        </w:rPr>
        <w:t>; </w:t>
      </w:r>
      <w:r>
        <w:rPr>
          <w:rFonts w:ascii="Arial" w:hAnsi="Arial"/>
          <w:i/>
          <w:sz w:val="20"/>
        </w:rPr>
        <w:t>K.H. Enterprise v Pioneer Container (The Pioneer Container) [1994] 2 A.C. 324</w:t>
      </w:r>
      <w:r>
        <w:rPr>
          <w:sz w:val="20"/>
        </w:rPr>
        <w:t>; </w:t>
      </w:r>
      <w:r>
        <w:rPr>
          <w:rFonts w:ascii="Arial" w:hAnsi="Arial"/>
          <w:i/>
          <w:sz w:val="20"/>
        </w:rPr>
        <w:t>Spectra International plc v Hayesoak </w:t>
      </w:r>
      <w:r>
        <w:rPr>
          <w:rFonts w:ascii="Arial" w:hAnsi="Arial"/>
          <w:i/>
          <w:sz w:val="20"/>
        </w:rPr>
        <w:t>Ltd [1997] 1 Lloyd’s Rep. 153; reversed on another ground [1998] 1 Lloyd’s Rep. 162</w:t>
      </w:r>
      <w:r>
        <w:rPr>
          <w:sz w:val="20"/>
        </w:rPr>
        <w:t>; </w:t>
      </w:r>
      <w:r>
        <w:rPr>
          <w:rFonts w:ascii="Arial" w:hAnsi="Arial"/>
          <w:i/>
          <w:sz w:val="20"/>
        </w:rPr>
        <w:t>Sonicare International Ltd v EAFT Ltd [1997] 2 Lloyd’s Rep. 48</w:t>
      </w:r>
      <w:r>
        <w:rPr>
          <w:sz w:val="20"/>
        </w:rPr>
        <w:t>; </w:t>
      </w:r>
      <w:r>
        <w:rPr>
          <w:rFonts w:ascii="Arial" w:hAnsi="Arial"/>
          <w:i/>
          <w:sz w:val="20"/>
        </w:rPr>
        <w:t>T. Comedy (UK) Ltd v Easy Managed Transport Ltd [2007] EWHC 611, [2007] 2 Lloyd’s Rep. 397 </w:t>
      </w:r>
      <w:r>
        <w:rPr>
          <w:sz w:val="20"/>
        </w:rPr>
        <w:t>at [64]. This application of the principle of sub-bailment results in the head bailor’s being </w:t>
      </w:r>
      <w:r>
        <w:rPr>
          <w:rFonts w:ascii="Arial" w:hAnsi="Arial"/>
          <w:i/>
          <w:sz w:val="20"/>
        </w:rPr>
        <w:t>bound </w:t>
      </w:r>
      <w:r>
        <w:rPr>
          <w:sz w:val="20"/>
        </w:rPr>
        <w:t>by terms in the contract between</w:t>
      </w:r>
      <w:r>
        <w:rPr>
          <w:spacing w:val="-2"/>
          <w:sz w:val="20"/>
        </w:rPr>
        <w:t> </w:t>
      </w:r>
      <w:r>
        <w:rPr>
          <w:sz w:val="20"/>
        </w:rPr>
        <w:t>the</w:t>
      </w:r>
      <w:r>
        <w:rPr>
          <w:spacing w:val="-2"/>
          <w:sz w:val="20"/>
        </w:rPr>
        <w:t> </w:t>
      </w:r>
      <w:r>
        <w:rPr>
          <w:sz w:val="20"/>
        </w:rPr>
        <w:t>head</w:t>
      </w:r>
      <w:r>
        <w:rPr>
          <w:spacing w:val="-2"/>
          <w:sz w:val="20"/>
        </w:rPr>
        <w:t> </w:t>
      </w:r>
      <w:r>
        <w:rPr>
          <w:sz w:val="20"/>
        </w:rPr>
        <w:t>bailee</w:t>
      </w:r>
      <w:r>
        <w:rPr>
          <w:spacing w:val="-2"/>
          <w:sz w:val="20"/>
        </w:rPr>
        <w:t> </w:t>
      </w:r>
      <w:r>
        <w:rPr>
          <w:sz w:val="20"/>
        </w:rPr>
        <w:t>and</w:t>
      </w:r>
      <w:r>
        <w:rPr>
          <w:spacing w:val="-2"/>
          <w:sz w:val="20"/>
        </w:rPr>
        <w:t> </w:t>
      </w:r>
      <w:r>
        <w:rPr>
          <w:sz w:val="20"/>
        </w:rPr>
        <w:t>the</w:t>
      </w:r>
      <w:r>
        <w:rPr>
          <w:spacing w:val="-2"/>
          <w:sz w:val="20"/>
        </w:rPr>
        <w:t> </w:t>
      </w:r>
      <w:r>
        <w:rPr>
          <w:sz w:val="20"/>
        </w:rPr>
        <w:t>sub-bailee.</w:t>
      </w:r>
      <w:r>
        <w:rPr>
          <w:spacing w:val="-2"/>
          <w:sz w:val="20"/>
        </w:rPr>
        <w:t> </w:t>
      </w:r>
      <w:r>
        <w:rPr>
          <w:sz w:val="20"/>
        </w:rPr>
        <w:t>It</w:t>
      </w:r>
      <w:r>
        <w:rPr>
          <w:spacing w:val="-2"/>
          <w:sz w:val="20"/>
        </w:rPr>
        <w:t> </w:t>
      </w:r>
      <w:r>
        <w:rPr>
          <w:sz w:val="20"/>
        </w:rPr>
        <w:t>must</w:t>
      </w:r>
      <w:r>
        <w:rPr>
          <w:spacing w:val="-2"/>
          <w:sz w:val="20"/>
        </w:rPr>
        <w:t> </w:t>
      </w:r>
      <w:r>
        <w:rPr>
          <w:sz w:val="20"/>
        </w:rPr>
        <w:t>be</w:t>
      </w:r>
      <w:r>
        <w:rPr>
          <w:spacing w:val="-2"/>
          <w:sz w:val="20"/>
        </w:rPr>
        <w:t> </w:t>
      </w:r>
      <w:r>
        <w:rPr>
          <w:sz w:val="20"/>
        </w:rPr>
        <w:t>distinguished</w:t>
      </w:r>
      <w:r>
        <w:rPr>
          <w:spacing w:val="-2"/>
          <w:sz w:val="20"/>
        </w:rPr>
        <w:t> </w:t>
      </w:r>
      <w:r>
        <w:rPr>
          <w:sz w:val="20"/>
        </w:rPr>
        <w:t>from</w:t>
      </w:r>
      <w:r>
        <w:rPr>
          <w:spacing w:val="-2"/>
          <w:sz w:val="20"/>
        </w:rPr>
        <w:t> </w:t>
      </w:r>
      <w:r>
        <w:rPr>
          <w:sz w:val="20"/>
        </w:rPr>
        <w:t>the</w:t>
      </w:r>
      <w:r>
        <w:rPr>
          <w:spacing w:val="-2"/>
          <w:sz w:val="20"/>
        </w:rPr>
        <w:t> </w:t>
      </w:r>
      <w:r>
        <w:rPr>
          <w:sz w:val="20"/>
        </w:rPr>
        <w:t>situation</w:t>
      </w:r>
      <w:r>
        <w:rPr>
          <w:spacing w:val="-2"/>
          <w:sz w:val="20"/>
        </w:rPr>
        <w:t> </w:t>
      </w:r>
      <w:r>
        <w:rPr>
          <w:sz w:val="20"/>
        </w:rPr>
        <w:t>in</w:t>
      </w:r>
      <w:r>
        <w:rPr>
          <w:spacing w:val="-2"/>
          <w:sz w:val="20"/>
        </w:rPr>
        <w:t> </w:t>
      </w:r>
      <w:r>
        <w:rPr>
          <w:sz w:val="20"/>
        </w:rPr>
        <w:t>which the sub-bailee claims the</w:t>
      </w:r>
      <w:r>
        <w:rPr>
          <w:spacing w:val="-1"/>
          <w:sz w:val="20"/>
        </w:rPr>
        <w:t> </w:t>
      </w:r>
      <w:r>
        <w:rPr>
          <w:rFonts w:ascii="Arial" w:hAnsi="Arial"/>
          <w:i/>
          <w:sz w:val="20"/>
        </w:rPr>
        <w:t>benefit </w:t>
      </w:r>
      <w:r>
        <w:rPr>
          <w:sz w:val="20"/>
        </w:rPr>
        <w:t>of a term in the contract between the head bailor and the head bailee, as in the </w:t>
      </w:r>
      <w:r>
        <w:rPr>
          <w:rFonts w:ascii="Arial" w:hAnsi="Arial"/>
          <w:i/>
          <w:sz w:val="20"/>
        </w:rPr>
        <w:t>Elder Dempster </w:t>
      </w:r>
      <w:r>
        <w:rPr>
          <w:sz w:val="20"/>
        </w:rPr>
        <w:t>case, above n.133: see </w:t>
      </w:r>
      <w:r>
        <w:rPr>
          <w:rFonts w:ascii="Arial" w:hAnsi="Arial"/>
          <w:i/>
          <w:sz w:val="20"/>
        </w:rPr>
        <w:t>The Mahkutai [1996] A.C. 650, 667–668</w:t>
      </w:r>
      <w:r>
        <w:rPr>
          <w:sz w:val="20"/>
        </w:rPr>
        <w:t>, Carver on Bills of Lading, 3rd ed. (2011) paras 7–099, 7–100. No sub-bailment arises merely because a sub-agent has received the proceeds of the sale of the principal’s property from the buyer: </w:t>
      </w:r>
      <w:r>
        <w:rPr>
          <w:rFonts w:ascii="Arial" w:hAnsi="Arial"/>
          <w:i/>
          <w:sz w:val="20"/>
        </w:rPr>
        <w:t>Balsamo v Medici [1984] 1 W.L.R. 951</w:t>
      </w:r>
      <w:r>
        <w:rPr>
          <w:sz w:val="20"/>
        </w:rPr>
        <w:t>.</w:t>
      </w:r>
    </w:p>
    <w:p>
      <w:pPr>
        <w:pStyle w:val="BodyText"/>
        <w:spacing w:before="3"/>
      </w:pPr>
    </w:p>
    <w:p>
      <w:pPr>
        <w:spacing w:line="235" w:lineRule="auto" w:before="0"/>
        <w:ind w:left="705" w:right="167" w:hanging="541"/>
        <w:jc w:val="both"/>
        <w:rPr>
          <w:sz w:val="20"/>
        </w:rPr>
      </w:pPr>
      <w:bookmarkStart w:name="_bookmark391" w:id="393"/>
      <w:bookmarkEnd w:id="393"/>
      <w:r>
        <w:rPr/>
      </w:r>
      <w:hyperlink w:history="true" w:anchor="_bookmark267">
        <w:r>
          <w:rPr>
            <w:color w:val="005DA1"/>
            <w:position w:val="5"/>
            <w:sz w:val="14"/>
            <w:u w:val="single" w:color="005DA1"/>
          </w:rPr>
          <w:t>143</w:t>
        </w:r>
      </w:hyperlink>
      <w:r>
        <w:rPr>
          <w:position w:val="5"/>
          <w:sz w:val="14"/>
        </w:rPr>
        <w:t>.</w:t>
      </w:r>
      <w:r>
        <w:rPr>
          <w:spacing w:val="80"/>
          <w:w w:val="150"/>
          <w:position w:val="5"/>
          <w:sz w:val="14"/>
        </w:rPr>
        <w:t> </w:t>
      </w:r>
      <w:r>
        <w:rPr>
          <w:rFonts w:ascii="Arial" w:hAnsi="Arial"/>
          <w:i/>
          <w:sz w:val="20"/>
        </w:rPr>
        <w:t>British Telecommunications plc v James Thomson &amp; Sons (Engineers) Ltd [1999] 1 W.L.R. 9 </w:t>
      </w:r>
      <w:r>
        <w:rPr>
          <w:sz w:val="20"/>
        </w:rPr>
        <w:t>where the loss caused by the subcontractor’s negligence was physical damage to property </w:t>
      </w:r>
      <w:r>
        <w:rPr>
          <w:sz w:val="20"/>
        </w:rPr>
        <w:t>of the owner </w:t>
      </w:r>
      <w:r>
        <w:rPr>
          <w:rFonts w:ascii="Arial" w:hAnsi="Arial"/>
          <w:i/>
          <w:sz w:val="20"/>
        </w:rPr>
        <w:t>other </w:t>
      </w:r>
      <w:r>
        <w:rPr>
          <w:sz w:val="20"/>
        </w:rPr>
        <w:t>than the very thing supplied by the sub-contractor, so that the various</w:t>
      </w:r>
      <w:r>
        <w:rPr>
          <w:spacing w:val="40"/>
          <w:sz w:val="20"/>
        </w:rPr>
        <w:t> </w:t>
      </w:r>
      <w:r>
        <w:rPr>
          <w:sz w:val="20"/>
        </w:rPr>
        <w:t>difficulties</w:t>
      </w:r>
      <w:r>
        <w:rPr>
          <w:spacing w:val="40"/>
          <w:sz w:val="20"/>
        </w:rPr>
        <w:t> </w:t>
      </w:r>
      <w:r>
        <w:rPr>
          <w:sz w:val="20"/>
        </w:rPr>
        <w:t>discussed</w:t>
      </w:r>
      <w:r>
        <w:rPr>
          <w:spacing w:val="40"/>
          <w:sz w:val="20"/>
        </w:rPr>
        <w:t> </w:t>
      </w:r>
      <w:r>
        <w:rPr>
          <w:sz w:val="20"/>
        </w:rPr>
        <w:t>in</w:t>
      </w:r>
      <w:r>
        <w:rPr>
          <w:spacing w:val="40"/>
          <w:sz w:val="20"/>
        </w:rPr>
        <w:t> </w:t>
      </w:r>
      <w:r>
        <w:rPr>
          <w:sz w:val="20"/>
        </w:rPr>
        <w:t>relation</w:t>
      </w:r>
      <w:r>
        <w:rPr>
          <w:spacing w:val="40"/>
          <w:sz w:val="20"/>
        </w:rPr>
        <w:t> </w:t>
      </w:r>
      <w:r>
        <w:rPr>
          <w:sz w:val="20"/>
        </w:rPr>
        <w:t>to</w:t>
      </w:r>
      <w:r>
        <w:rPr>
          <w:spacing w:val="40"/>
          <w:sz w:val="20"/>
        </w:rPr>
        <w:t> </w:t>
      </w:r>
      <w:r>
        <w:rPr>
          <w:sz w:val="20"/>
        </w:rPr>
        <w:t>the</w:t>
      </w:r>
      <w:r>
        <w:rPr>
          <w:spacing w:val="40"/>
          <w:sz w:val="20"/>
        </w:rPr>
        <w:t> </w:t>
      </w:r>
      <w:r>
        <w:rPr>
          <w:rFonts w:ascii="Arial" w:hAnsi="Arial"/>
          <w:i/>
          <w:sz w:val="20"/>
        </w:rPr>
        <w:t>Junior</w:t>
      </w:r>
      <w:r>
        <w:rPr>
          <w:rFonts w:ascii="Arial" w:hAnsi="Arial"/>
          <w:i/>
          <w:spacing w:val="40"/>
          <w:sz w:val="20"/>
        </w:rPr>
        <w:t> </w:t>
      </w:r>
      <w:r>
        <w:rPr>
          <w:rFonts w:ascii="Arial" w:hAnsi="Arial"/>
          <w:i/>
          <w:sz w:val="20"/>
        </w:rPr>
        <w:t>Books</w:t>
      </w:r>
      <w:r>
        <w:rPr>
          <w:rFonts w:ascii="Arial" w:hAnsi="Arial"/>
          <w:i/>
          <w:spacing w:val="40"/>
          <w:sz w:val="20"/>
        </w:rPr>
        <w:t> </w:t>
      </w:r>
      <w:r>
        <w:rPr>
          <w:rFonts w:ascii="Arial" w:hAnsi="Arial"/>
          <w:i/>
          <w:sz w:val="20"/>
        </w:rPr>
        <w:t>case</w:t>
      </w:r>
      <w:r>
        <w:rPr>
          <w:rFonts w:ascii="Arial" w:hAnsi="Arial"/>
          <w:i/>
          <w:spacing w:val="40"/>
          <w:sz w:val="20"/>
        </w:rPr>
        <w:t> </w:t>
      </w:r>
      <w:r>
        <w:rPr>
          <w:rFonts w:ascii="Arial" w:hAnsi="Arial"/>
          <w:i/>
          <w:sz w:val="20"/>
        </w:rPr>
        <w:t>[1983]</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520</w:t>
      </w:r>
      <w:r>
        <w:rPr>
          <w:rFonts w:ascii="Arial" w:hAnsi="Arial"/>
          <w:i/>
          <w:spacing w:val="40"/>
          <w:sz w:val="20"/>
        </w:rPr>
        <w:t> </w:t>
      </w:r>
      <w:r>
        <w:rPr>
          <w:sz w:val="20"/>
        </w:rPr>
        <w:t>(below,</w:t>
      </w:r>
      <w:r>
        <w:rPr>
          <w:spacing w:val="40"/>
          <w:sz w:val="20"/>
        </w:rPr>
        <w:t> </w:t>
      </w:r>
      <w:r>
        <w:rPr>
          <w:sz w:val="20"/>
        </w:rPr>
        <w:t>paras 18-025 to 18-029 and 18-038) did not arise.</w:t>
      </w:r>
    </w:p>
    <w:p>
      <w:pPr>
        <w:pStyle w:val="BodyText"/>
        <w:spacing w:before="5"/>
      </w:pPr>
    </w:p>
    <w:p>
      <w:pPr>
        <w:tabs>
          <w:tab w:pos="705" w:val="left" w:leader="none"/>
        </w:tabs>
        <w:spacing w:before="0"/>
        <w:ind w:left="165" w:right="0" w:firstLine="0"/>
        <w:jc w:val="left"/>
        <w:rPr>
          <w:sz w:val="20"/>
        </w:rPr>
      </w:pPr>
      <w:bookmarkStart w:name="_bookmark392" w:id="394"/>
      <w:bookmarkEnd w:id="394"/>
      <w:r>
        <w:rPr/>
      </w:r>
      <w:hyperlink w:history="true" w:anchor="_bookmark268">
        <w:r>
          <w:rPr>
            <w:color w:val="005DA1"/>
            <w:spacing w:val="-4"/>
            <w:position w:val="5"/>
            <w:sz w:val="14"/>
            <w:u w:val="single" w:color="005DA1"/>
          </w:rPr>
          <w:t>144</w:t>
        </w:r>
      </w:hyperlink>
      <w:r>
        <w:rPr>
          <w:spacing w:val="-4"/>
          <w:position w:val="5"/>
          <w:sz w:val="14"/>
        </w:rPr>
        <w:t>.</w:t>
      </w:r>
      <w:r>
        <w:rPr>
          <w:position w:val="5"/>
          <w:sz w:val="14"/>
        </w:rPr>
        <w:tab/>
      </w:r>
      <w:r>
        <w:rPr>
          <w:rFonts w:ascii="Arial"/>
          <w:i/>
          <w:sz w:val="20"/>
        </w:rPr>
        <w:t>Chandler v Cape plc [2012] EWCA Civ 525, [2012] 1 W.L.R. 3111</w:t>
      </w:r>
      <w:r>
        <w:rPr>
          <w:rFonts w:ascii="Arial"/>
          <w:i/>
          <w:spacing w:val="-1"/>
          <w:sz w:val="20"/>
        </w:rPr>
        <w:t> </w:t>
      </w:r>
      <w:r>
        <w:rPr>
          <w:sz w:val="20"/>
        </w:rPr>
        <w:t>at </w:t>
      </w:r>
      <w:r>
        <w:rPr>
          <w:spacing w:val="-2"/>
          <w:sz w:val="20"/>
        </w:rPr>
        <w:t>[79].</w:t>
      </w:r>
    </w:p>
    <w:p>
      <w:pPr>
        <w:pStyle w:val="BodyText"/>
        <w:spacing w:before="5"/>
      </w:pPr>
    </w:p>
    <w:p>
      <w:pPr>
        <w:pStyle w:val="BodyText"/>
        <w:tabs>
          <w:tab w:pos="705" w:val="left" w:leader="none"/>
        </w:tabs>
        <w:ind w:left="165"/>
      </w:pPr>
      <w:bookmarkStart w:name="_bookmark393" w:id="395"/>
      <w:bookmarkEnd w:id="395"/>
      <w:r>
        <w:rPr/>
      </w:r>
      <w:hyperlink w:history="true" w:anchor="_bookmark269">
        <w:r>
          <w:rPr>
            <w:color w:val="005DA1"/>
            <w:spacing w:val="-4"/>
            <w:position w:val="5"/>
            <w:sz w:val="14"/>
            <w:u w:val="single" w:color="005DA1"/>
          </w:rPr>
          <w:t>145</w:t>
        </w:r>
      </w:hyperlink>
      <w:r>
        <w:rPr>
          <w:spacing w:val="-4"/>
          <w:position w:val="5"/>
          <w:sz w:val="14"/>
        </w:rPr>
        <w:t>.</w:t>
      </w:r>
      <w:r>
        <w:rPr>
          <w:position w:val="5"/>
          <w:sz w:val="14"/>
        </w:rPr>
        <w:tab/>
      </w:r>
      <w:r>
        <w:rPr/>
        <w:t>See the authorities cited in n.148 </w:t>
      </w:r>
      <w:r>
        <w:rPr>
          <w:spacing w:val="-2"/>
        </w:rPr>
        <w:t>below.</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394" w:id="396"/>
      <w:bookmarkEnd w:id="396"/>
      <w:r>
        <w:rPr/>
      </w:r>
      <w:hyperlink w:history="true" w:anchor="_bookmark270">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Punjab</w:t>
      </w:r>
      <w:r>
        <w:rPr>
          <w:rFonts w:ascii="Arial"/>
          <w:i/>
          <w:spacing w:val="40"/>
          <w:sz w:val="20"/>
        </w:rPr>
        <w:t> </w:t>
      </w:r>
      <w:r>
        <w:rPr>
          <w:rFonts w:ascii="Arial"/>
          <w:i/>
          <w:sz w:val="20"/>
        </w:rPr>
        <w:t>National</w:t>
      </w:r>
      <w:r>
        <w:rPr>
          <w:rFonts w:ascii="Arial"/>
          <w:i/>
          <w:spacing w:val="43"/>
          <w:sz w:val="20"/>
        </w:rPr>
        <w:t> </w:t>
      </w:r>
      <w:r>
        <w:rPr>
          <w:rFonts w:ascii="Arial"/>
          <w:i/>
          <w:sz w:val="20"/>
        </w:rPr>
        <w:t>Bank</w:t>
      </w:r>
      <w:r>
        <w:rPr>
          <w:rFonts w:ascii="Arial"/>
          <w:i/>
          <w:spacing w:val="43"/>
          <w:sz w:val="20"/>
        </w:rPr>
        <w:t> </w:t>
      </w:r>
      <w:r>
        <w:rPr>
          <w:rFonts w:ascii="Arial"/>
          <w:i/>
          <w:sz w:val="20"/>
        </w:rPr>
        <w:t>v</w:t>
      </w:r>
      <w:r>
        <w:rPr>
          <w:rFonts w:ascii="Arial"/>
          <w:i/>
          <w:spacing w:val="43"/>
          <w:sz w:val="20"/>
        </w:rPr>
        <w:t> </w:t>
      </w:r>
      <w:r>
        <w:rPr>
          <w:rFonts w:ascii="Arial"/>
          <w:i/>
          <w:sz w:val="20"/>
        </w:rPr>
        <w:t>de</w:t>
      </w:r>
      <w:r>
        <w:rPr>
          <w:rFonts w:ascii="Arial"/>
          <w:i/>
          <w:spacing w:val="43"/>
          <w:sz w:val="20"/>
        </w:rPr>
        <w:t> </w:t>
      </w:r>
      <w:r>
        <w:rPr>
          <w:rFonts w:ascii="Arial"/>
          <w:i/>
          <w:sz w:val="20"/>
        </w:rPr>
        <w:t>Boinville</w:t>
      </w:r>
      <w:r>
        <w:rPr>
          <w:rFonts w:ascii="Arial"/>
          <w:i/>
          <w:spacing w:val="43"/>
          <w:sz w:val="20"/>
        </w:rPr>
        <w:t> </w:t>
      </w:r>
      <w:r>
        <w:rPr>
          <w:rFonts w:ascii="Arial"/>
          <w:i/>
          <w:sz w:val="20"/>
        </w:rPr>
        <w:t>[1992]</w:t>
      </w:r>
      <w:r>
        <w:rPr>
          <w:rFonts w:ascii="Arial"/>
          <w:i/>
          <w:spacing w:val="43"/>
          <w:sz w:val="20"/>
        </w:rPr>
        <w:t> </w:t>
      </w:r>
      <w:r>
        <w:rPr>
          <w:rFonts w:ascii="Arial"/>
          <w:i/>
          <w:sz w:val="20"/>
        </w:rPr>
        <w:t>1</w:t>
      </w:r>
      <w:r>
        <w:rPr>
          <w:rFonts w:ascii="Arial"/>
          <w:i/>
          <w:spacing w:val="43"/>
          <w:sz w:val="20"/>
        </w:rPr>
        <w:t> </w:t>
      </w:r>
      <w:r>
        <w:rPr>
          <w:rFonts w:ascii="Arial"/>
          <w:i/>
          <w:sz w:val="20"/>
        </w:rPr>
        <w:t>W.L.R.</w:t>
      </w:r>
      <w:r>
        <w:rPr>
          <w:rFonts w:ascii="Arial"/>
          <w:i/>
          <w:spacing w:val="43"/>
          <w:sz w:val="20"/>
        </w:rPr>
        <w:t> </w:t>
      </w:r>
      <w:r>
        <w:rPr>
          <w:rFonts w:ascii="Arial"/>
          <w:i/>
          <w:sz w:val="20"/>
        </w:rPr>
        <w:t>1138,</w:t>
      </w:r>
      <w:r>
        <w:rPr>
          <w:rFonts w:ascii="Arial"/>
          <w:i/>
          <w:spacing w:val="43"/>
          <w:sz w:val="20"/>
        </w:rPr>
        <w:t> </w:t>
      </w:r>
      <w:r>
        <w:rPr>
          <w:rFonts w:ascii="Arial"/>
          <w:i/>
          <w:sz w:val="20"/>
        </w:rPr>
        <w:t>1152</w:t>
      </w:r>
      <w:r>
        <w:rPr>
          <w:sz w:val="20"/>
        </w:rPr>
        <w:t>;</w:t>
      </w:r>
      <w:r>
        <w:rPr>
          <w:spacing w:val="43"/>
          <w:sz w:val="20"/>
        </w:rPr>
        <w:t> </w:t>
      </w:r>
      <w:r>
        <w:rPr>
          <w:sz w:val="20"/>
        </w:rPr>
        <w:t>cf.</w:t>
      </w:r>
      <w:r>
        <w:rPr>
          <w:spacing w:val="43"/>
          <w:sz w:val="20"/>
        </w:rPr>
        <w:t> </w:t>
      </w:r>
      <w:r>
        <w:rPr>
          <w:rFonts w:ascii="Arial"/>
          <w:i/>
          <w:sz w:val="20"/>
        </w:rPr>
        <w:t>Henderson</w:t>
      </w:r>
      <w:r>
        <w:rPr>
          <w:rFonts w:ascii="Arial"/>
          <w:i/>
          <w:spacing w:val="43"/>
          <w:sz w:val="20"/>
        </w:rPr>
        <w:t> </w:t>
      </w:r>
      <w:r>
        <w:rPr>
          <w:rFonts w:ascii="Arial"/>
          <w:i/>
          <w:sz w:val="20"/>
        </w:rPr>
        <w:t>v</w:t>
      </w:r>
      <w:r>
        <w:rPr>
          <w:rFonts w:ascii="Arial"/>
          <w:i/>
          <w:spacing w:val="43"/>
          <w:sz w:val="20"/>
        </w:rPr>
        <w:t> </w:t>
      </w:r>
      <w:r>
        <w:rPr>
          <w:rFonts w:ascii="Arial"/>
          <w:i/>
          <w:spacing w:val="-2"/>
          <w:sz w:val="20"/>
        </w:rPr>
        <w:t>Merrett</w:t>
      </w:r>
    </w:p>
    <w:p>
      <w:pPr>
        <w:spacing w:line="225" w:lineRule="exact" w:before="0"/>
        <w:ind w:left="0" w:right="168" w:firstLine="0"/>
        <w:jc w:val="right"/>
        <w:rPr>
          <w:rFonts w:ascii="Arial"/>
          <w:i/>
          <w:sz w:val="20"/>
        </w:rPr>
      </w:pPr>
      <w:r>
        <w:rPr>
          <w:rFonts w:ascii="Arial"/>
          <w:i/>
          <w:sz w:val="20"/>
        </w:rPr>
        <w:t>Syndicates</w:t>
      </w:r>
      <w:r>
        <w:rPr>
          <w:rFonts w:ascii="Arial"/>
          <w:i/>
          <w:spacing w:val="25"/>
          <w:sz w:val="20"/>
        </w:rPr>
        <w:t> </w:t>
      </w:r>
      <w:r>
        <w:rPr>
          <w:rFonts w:ascii="Arial"/>
          <w:i/>
          <w:sz w:val="20"/>
        </w:rPr>
        <w:t>Ltd</w:t>
      </w:r>
      <w:r>
        <w:rPr>
          <w:rFonts w:ascii="Arial"/>
          <w:i/>
          <w:spacing w:val="26"/>
          <w:sz w:val="20"/>
        </w:rPr>
        <w:t> </w:t>
      </w:r>
      <w:r>
        <w:rPr>
          <w:rFonts w:ascii="Arial"/>
          <w:i/>
          <w:sz w:val="20"/>
        </w:rPr>
        <w:t>[1995]</w:t>
      </w:r>
      <w:r>
        <w:rPr>
          <w:rFonts w:ascii="Arial"/>
          <w:i/>
          <w:spacing w:val="26"/>
          <w:sz w:val="20"/>
        </w:rPr>
        <w:t> </w:t>
      </w:r>
      <w:r>
        <w:rPr>
          <w:rFonts w:ascii="Arial"/>
          <w:i/>
          <w:sz w:val="20"/>
        </w:rPr>
        <w:t>2</w:t>
      </w:r>
      <w:r>
        <w:rPr>
          <w:rFonts w:ascii="Arial"/>
          <w:i/>
          <w:spacing w:val="26"/>
          <w:sz w:val="20"/>
        </w:rPr>
        <w:t> </w:t>
      </w:r>
      <w:r>
        <w:rPr>
          <w:rFonts w:ascii="Arial"/>
          <w:i/>
          <w:sz w:val="20"/>
        </w:rPr>
        <w:t>A.C.</w:t>
      </w:r>
      <w:r>
        <w:rPr>
          <w:rFonts w:ascii="Arial"/>
          <w:i/>
          <w:spacing w:val="26"/>
          <w:sz w:val="20"/>
        </w:rPr>
        <w:t> </w:t>
      </w:r>
      <w:r>
        <w:rPr>
          <w:rFonts w:ascii="Arial"/>
          <w:i/>
          <w:sz w:val="20"/>
        </w:rPr>
        <w:t>145</w:t>
      </w:r>
      <w:r>
        <w:rPr>
          <w:sz w:val="20"/>
        </w:rPr>
        <w:t>;</w:t>
      </w:r>
      <w:r>
        <w:rPr>
          <w:spacing w:val="26"/>
          <w:sz w:val="20"/>
        </w:rPr>
        <w:t> </w:t>
      </w:r>
      <w:r>
        <w:rPr>
          <w:rFonts w:ascii="Arial"/>
          <w:i/>
          <w:sz w:val="20"/>
        </w:rPr>
        <w:t>Aiken</w:t>
      </w:r>
      <w:r>
        <w:rPr>
          <w:rFonts w:ascii="Arial"/>
          <w:i/>
          <w:spacing w:val="26"/>
          <w:sz w:val="20"/>
        </w:rPr>
        <w:t> </w:t>
      </w:r>
      <w:r>
        <w:rPr>
          <w:rFonts w:ascii="Arial"/>
          <w:i/>
          <w:sz w:val="20"/>
        </w:rPr>
        <w:t>v</w:t>
      </w:r>
      <w:r>
        <w:rPr>
          <w:rFonts w:ascii="Arial"/>
          <w:i/>
          <w:spacing w:val="26"/>
          <w:sz w:val="20"/>
        </w:rPr>
        <w:t> </w:t>
      </w:r>
      <w:r>
        <w:rPr>
          <w:rFonts w:ascii="Arial"/>
          <w:i/>
          <w:sz w:val="20"/>
        </w:rPr>
        <w:t>Stewart</w:t>
      </w:r>
      <w:r>
        <w:rPr>
          <w:rFonts w:ascii="Arial"/>
          <w:i/>
          <w:spacing w:val="26"/>
          <w:sz w:val="20"/>
        </w:rPr>
        <w:t> </w:t>
      </w:r>
      <w:r>
        <w:rPr>
          <w:rFonts w:ascii="Arial"/>
          <w:i/>
          <w:sz w:val="20"/>
        </w:rPr>
        <w:t>Wrightson</w:t>
      </w:r>
      <w:r>
        <w:rPr>
          <w:rFonts w:ascii="Arial"/>
          <w:i/>
          <w:spacing w:val="26"/>
          <w:sz w:val="20"/>
        </w:rPr>
        <w:t> </w:t>
      </w:r>
      <w:r>
        <w:rPr>
          <w:rFonts w:ascii="Arial"/>
          <w:i/>
          <w:sz w:val="20"/>
        </w:rPr>
        <w:t>Members</w:t>
      </w:r>
      <w:r>
        <w:rPr>
          <w:rFonts w:ascii="Arial"/>
          <w:i/>
          <w:spacing w:val="26"/>
          <w:sz w:val="20"/>
        </w:rPr>
        <w:t> </w:t>
      </w:r>
      <w:r>
        <w:rPr>
          <w:rFonts w:ascii="Arial"/>
          <w:i/>
          <w:sz w:val="20"/>
        </w:rPr>
        <w:t>Agency</w:t>
      </w:r>
      <w:r>
        <w:rPr>
          <w:rFonts w:ascii="Arial"/>
          <w:i/>
          <w:spacing w:val="26"/>
          <w:sz w:val="20"/>
        </w:rPr>
        <w:t> </w:t>
      </w:r>
      <w:r>
        <w:rPr>
          <w:rFonts w:ascii="Arial"/>
          <w:i/>
          <w:sz w:val="20"/>
        </w:rPr>
        <w:t>Ltd</w:t>
      </w:r>
      <w:r>
        <w:rPr>
          <w:rFonts w:ascii="Arial"/>
          <w:i/>
          <w:spacing w:val="26"/>
          <w:sz w:val="20"/>
        </w:rPr>
        <w:t> </w:t>
      </w:r>
      <w:r>
        <w:rPr>
          <w:rFonts w:ascii="Arial"/>
          <w:i/>
          <w:sz w:val="20"/>
        </w:rPr>
        <w:t>[1995]</w:t>
      </w:r>
      <w:r>
        <w:rPr>
          <w:rFonts w:ascii="Arial"/>
          <w:i/>
          <w:spacing w:val="26"/>
          <w:sz w:val="20"/>
        </w:rPr>
        <w:t> </w:t>
      </w:r>
      <w:r>
        <w:rPr>
          <w:rFonts w:ascii="Arial"/>
          <w:i/>
          <w:spacing w:val="-10"/>
          <w:sz w:val="20"/>
        </w:rPr>
        <w:t>1</w:t>
      </w:r>
    </w:p>
    <w:p>
      <w:pPr>
        <w:spacing w:line="225" w:lineRule="exact" w:before="0"/>
        <w:ind w:left="0" w:right="168" w:firstLine="0"/>
        <w:jc w:val="right"/>
        <w:rPr>
          <w:rFonts w:ascii="Arial"/>
          <w:i/>
          <w:sz w:val="20"/>
        </w:rPr>
      </w:pPr>
      <w:r>
        <w:rPr>
          <w:rFonts w:ascii="Arial"/>
          <w:i/>
          <w:sz w:val="20"/>
        </w:rPr>
        <w:t>W.L.R.</w:t>
      </w:r>
      <w:r>
        <w:rPr>
          <w:rFonts w:ascii="Arial"/>
          <w:i/>
          <w:spacing w:val="18"/>
          <w:sz w:val="20"/>
        </w:rPr>
        <w:t> </w:t>
      </w:r>
      <w:r>
        <w:rPr>
          <w:rFonts w:ascii="Arial"/>
          <w:i/>
          <w:sz w:val="20"/>
        </w:rPr>
        <w:t>1281</w:t>
      </w:r>
      <w:r>
        <w:rPr>
          <w:sz w:val="20"/>
        </w:rPr>
        <w:t>;</w:t>
      </w:r>
      <w:r>
        <w:rPr>
          <w:spacing w:val="19"/>
          <w:sz w:val="20"/>
        </w:rPr>
        <w:t> </w:t>
      </w:r>
      <w:r>
        <w:rPr>
          <w:rFonts w:ascii="Arial"/>
          <w:i/>
          <w:sz w:val="20"/>
        </w:rPr>
        <w:t>BP</w:t>
      </w:r>
      <w:r>
        <w:rPr>
          <w:rFonts w:ascii="Arial"/>
          <w:i/>
          <w:spacing w:val="19"/>
          <w:sz w:val="20"/>
        </w:rPr>
        <w:t> </w:t>
      </w:r>
      <w:r>
        <w:rPr>
          <w:rFonts w:ascii="Arial"/>
          <w:i/>
          <w:sz w:val="20"/>
        </w:rPr>
        <w:t>plc</w:t>
      </w:r>
      <w:r>
        <w:rPr>
          <w:rFonts w:ascii="Arial"/>
          <w:i/>
          <w:spacing w:val="19"/>
          <w:sz w:val="20"/>
        </w:rPr>
        <w:t> </w:t>
      </w:r>
      <w:r>
        <w:rPr>
          <w:rFonts w:ascii="Arial"/>
          <w:i/>
          <w:sz w:val="20"/>
        </w:rPr>
        <w:t>v</w:t>
      </w:r>
      <w:r>
        <w:rPr>
          <w:rFonts w:ascii="Arial"/>
          <w:i/>
          <w:spacing w:val="19"/>
          <w:sz w:val="20"/>
        </w:rPr>
        <w:t> </w:t>
      </w:r>
      <w:r>
        <w:rPr>
          <w:rFonts w:ascii="Arial"/>
          <w:i/>
          <w:sz w:val="20"/>
        </w:rPr>
        <w:t>Aon</w:t>
      </w:r>
      <w:r>
        <w:rPr>
          <w:rFonts w:ascii="Arial"/>
          <w:i/>
          <w:spacing w:val="19"/>
          <w:sz w:val="20"/>
        </w:rPr>
        <w:t> </w:t>
      </w:r>
      <w:r>
        <w:rPr>
          <w:rFonts w:ascii="Arial"/>
          <w:i/>
          <w:sz w:val="20"/>
        </w:rPr>
        <w:t>Ltd</w:t>
      </w:r>
      <w:r>
        <w:rPr>
          <w:rFonts w:ascii="Arial"/>
          <w:i/>
          <w:spacing w:val="19"/>
          <w:sz w:val="20"/>
        </w:rPr>
        <w:t> </w:t>
      </w:r>
      <w:r>
        <w:rPr>
          <w:rFonts w:ascii="Arial"/>
          <w:i/>
          <w:sz w:val="20"/>
        </w:rPr>
        <w:t>[2006]</w:t>
      </w:r>
      <w:r>
        <w:rPr>
          <w:rFonts w:ascii="Arial"/>
          <w:i/>
          <w:spacing w:val="19"/>
          <w:sz w:val="20"/>
        </w:rPr>
        <w:t> </w:t>
      </w:r>
      <w:r>
        <w:rPr>
          <w:rFonts w:ascii="Arial"/>
          <w:i/>
          <w:sz w:val="20"/>
        </w:rPr>
        <w:t>EWHC</w:t>
      </w:r>
      <w:r>
        <w:rPr>
          <w:rFonts w:ascii="Arial"/>
          <w:i/>
          <w:spacing w:val="18"/>
          <w:sz w:val="20"/>
        </w:rPr>
        <w:t> </w:t>
      </w:r>
      <w:r>
        <w:rPr>
          <w:rFonts w:ascii="Arial"/>
          <w:i/>
          <w:sz w:val="20"/>
        </w:rPr>
        <w:t>424,</w:t>
      </w:r>
      <w:r>
        <w:rPr>
          <w:rFonts w:ascii="Arial"/>
          <w:i/>
          <w:spacing w:val="19"/>
          <w:sz w:val="20"/>
        </w:rPr>
        <w:t> </w:t>
      </w:r>
      <w:r>
        <w:rPr>
          <w:rFonts w:ascii="Arial"/>
          <w:i/>
          <w:sz w:val="20"/>
        </w:rPr>
        <w:t>[2006]</w:t>
      </w:r>
      <w:r>
        <w:rPr>
          <w:rFonts w:ascii="Arial"/>
          <w:i/>
          <w:spacing w:val="19"/>
          <w:sz w:val="20"/>
        </w:rPr>
        <w:t> </w:t>
      </w:r>
      <w:r>
        <w:rPr>
          <w:rFonts w:ascii="Arial"/>
          <w:i/>
          <w:sz w:val="20"/>
        </w:rPr>
        <w:t>1</w:t>
      </w:r>
      <w:r>
        <w:rPr>
          <w:rFonts w:ascii="Arial"/>
          <w:i/>
          <w:spacing w:val="19"/>
          <w:sz w:val="20"/>
        </w:rPr>
        <w:t> </w:t>
      </w:r>
      <w:r>
        <w:rPr>
          <w:rFonts w:ascii="Arial"/>
          <w:i/>
          <w:sz w:val="20"/>
        </w:rPr>
        <w:t>All</w:t>
      </w:r>
      <w:r>
        <w:rPr>
          <w:rFonts w:ascii="Arial"/>
          <w:i/>
          <w:spacing w:val="19"/>
          <w:sz w:val="20"/>
        </w:rPr>
        <w:t> </w:t>
      </w:r>
      <w:r>
        <w:rPr>
          <w:rFonts w:ascii="Arial"/>
          <w:i/>
          <w:sz w:val="20"/>
        </w:rPr>
        <w:t>E.R.</w:t>
      </w:r>
      <w:r>
        <w:rPr>
          <w:rFonts w:ascii="Arial"/>
          <w:i/>
          <w:spacing w:val="19"/>
          <w:sz w:val="20"/>
        </w:rPr>
        <w:t> </w:t>
      </w:r>
      <w:r>
        <w:rPr>
          <w:rFonts w:ascii="Arial"/>
          <w:i/>
          <w:sz w:val="20"/>
        </w:rPr>
        <w:t>(Comm)</w:t>
      </w:r>
      <w:r>
        <w:rPr>
          <w:rFonts w:ascii="Arial"/>
          <w:i/>
          <w:spacing w:val="19"/>
          <w:sz w:val="20"/>
        </w:rPr>
        <w:t> </w:t>
      </w:r>
      <w:r>
        <w:rPr>
          <w:rFonts w:ascii="Arial"/>
          <w:i/>
          <w:sz w:val="20"/>
        </w:rPr>
        <w:t>789</w:t>
      </w:r>
      <w:r>
        <w:rPr>
          <w:sz w:val="20"/>
        </w:rPr>
        <w:t>;</w:t>
      </w:r>
      <w:r>
        <w:rPr>
          <w:spacing w:val="19"/>
          <w:sz w:val="20"/>
        </w:rPr>
        <w:t> </w:t>
      </w:r>
      <w:r>
        <w:rPr>
          <w:rFonts w:ascii="Arial"/>
          <w:i/>
          <w:sz w:val="20"/>
        </w:rPr>
        <w:t>Crowson</w:t>
      </w:r>
      <w:r>
        <w:rPr>
          <w:rFonts w:ascii="Arial"/>
          <w:i/>
          <w:spacing w:val="19"/>
          <w:sz w:val="20"/>
        </w:rPr>
        <w:t> </w:t>
      </w:r>
      <w:r>
        <w:rPr>
          <w:rFonts w:ascii="Arial"/>
          <w:i/>
          <w:spacing w:val="-10"/>
          <w:sz w:val="20"/>
        </w:rPr>
        <w:t>v</w:t>
      </w:r>
    </w:p>
    <w:p>
      <w:pPr>
        <w:spacing w:line="235" w:lineRule="auto" w:before="1"/>
        <w:ind w:left="705" w:right="168" w:firstLine="0"/>
        <w:jc w:val="left"/>
        <w:rPr>
          <w:sz w:val="20"/>
        </w:rPr>
      </w:pPr>
      <w:r>
        <w:rPr>
          <w:rFonts w:ascii="Arial" w:hAnsi="Arial"/>
          <w:i/>
          <w:sz w:val="20"/>
        </w:rPr>
        <w:t>HSBC Insurance Brokers Ltd [2010] Lloyd’s Rep. I.R. 441</w:t>
      </w:r>
      <w:r>
        <w:rPr>
          <w:rFonts w:ascii="Arial" w:hAnsi="Arial"/>
          <w:i/>
          <w:spacing w:val="-1"/>
          <w:sz w:val="20"/>
        </w:rPr>
        <w:t> </w:t>
      </w:r>
      <w:r>
        <w:rPr>
          <w:sz w:val="20"/>
        </w:rPr>
        <w:t>at [8]; Cane in (ed. Rose) Consensus ad Idem, Essays in the Law of Contract in Honour of Guenter Treitel, 96.</w:t>
      </w:r>
    </w:p>
    <w:p>
      <w:pPr>
        <w:pStyle w:val="BodyText"/>
        <w:spacing w:before="9"/>
      </w:pPr>
    </w:p>
    <w:p>
      <w:pPr>
        <w:spacing w:line="235" w:lineRule="auto" w:before="0"/>
        <w:ind w:left="705" w:right="167" w:hanging="541"/>
        <w:jc w:val="both"/>
        <w:rPr>
          <w:sz w:val="20"/>
        </w:rPr>
      </w:pPr>
      <w:bookmarkStart w:name="_bookmark395" w:id="397"/>
      <w:bookmarkEnd w:id="397"/>
      <w:r>
        <w:rPr/>
      </w:r>
      <w:hyperlink w:history="true" w:anchor="_bookmark270">
        <w:r>
          <w:rPr>
            <w:color w:val="005DA1"/>
            <w:position w:val="5"/>
            <w:sz w:val="14"/>
            <w:u w:val="single" w:color="005DA1"/>
          </w:rPr>
          <w:t>147</w:t>
        </w:r>
      </w:hyperlink>
      <w:r>
        <w:rPr>
          <w:position w:val="5"/>
          <w:sz w:val="14"/>
        </w:rPr>
        <w:t>.</w:t>
      </w:r>
      <w:r>
        <w:rPr>
          <w:spacing w:val="80"/>
          <w:position w:val="5"/>
          <w:sz w:val="14"/>
        </w:rPr>
        <w:t>  </w:t>
      </w:r>
      <w:r>
        <w:rPr>
          <w:rFonts w:ascii="Arial" w:hAnsi="Arial"/>
          <w:i/>
          <w:sz w:val="20"/>
        </w:rPr>
        <w:t>Driver</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William</w:t>
      </w:r>
      <w:r>
        <w:rPr>
          <w:rFonts w:ascii="Arial" w:hAnsi="Arial"/>
          <w:i/>
          <w:spacing w:val="28"/>
          <w:sz w:val="20"/>
        </w:rPr>
        <w:t> </w:t>
      </w:r>
      <w:r>
        <w:rPr>
          <w:rFonts w:ascii="Arial" w:hAnsi="Arial"/>
          <w:i/>
          <w:sz w:val="20"/>
        </w:rPr>
        <w:t>Willett</w:t>
      </w:r>
      <w:r>
        <w:rPr>
          <w:rFonts w:ascii="Arial" w:hAnsi="Arial"/>
          <w:i/>
          <w:spacing w:val="28"/>
          <w:sz w:val="20"/>
        </w:rPr>
        <w:t> </w:t>
      </w:r>
      <w:r>
        <w:rPr>
          <w:rFonts w:ascii="Arial" w:hAnsi="Arial"/>
          <w:i/>
          <w:sz w:val="20"/>
        </w:rPr>
        <w:t>(Contractors)</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[1969]</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All</w:t>
      </w:r>
      <w:r>
        <w:rPr>
          <w:rFonts w:ascii="Arial" w:hAnsi="Arial"/>
          <w:i/>
          <w:spacing w:val="28"/>
          <w:sz w:val="20"/>
        </w:rPr>
        <w:t> </w:t>
      </w:r>
      <w:r>
        <w:rPr>
          <w:rFonts w:ascii="Arial" w:hAnsi="Arial"/>
          <w:i/>
          <w:sz w:val="20"/>
        </w:rPr>
        <w:t>E.R.</w:t>
      </w:r>
      <w:r>
        <w:rPr>
          <w:rFonts w:ascii="Arial" w:hAnsi="Arial"/>
          <w:i/>
          <w:spacing w:val="28"/>
          <w:sz w:val="20"/>
        </w:rPr>
        <w:t> </w:t>
      </w:r>
      <w:r>
        <w:rPr>
          <w:rFonts w:ascii="Arial" w:hAnsi="Arial"/>
          <w:i/>
          <w:sz w:val="20"/>
        </w:rPr>
        <w:t>665</w:t>
      </w:r>
      <w:r>
        <w:rPr>
          <w:sz w:val="20"/>
        </w:rPr>
        <w:t>;</w:t>
      </w:r>
      <w:r>
        <w:rPr>
          <w:spacing w:val="28"/>
          <w:sz w:val="20"/>
        </w:rPr>
        <w:t> </w:t>
      </w:r>
      <w:r>
        <w:rPr>
          <w:sz w:val="20"/>
        </w:rPr>
        <w:t>cf.</w:t>
      </w:r>
      <w:r>
        <w:rPr>
          <w:spacing w:val="28"/>
          <w:sz w:val="20"/>
        </w:rPr>
        <w:t> </w:t>
      </w:r>
      <w:r>
        <w:rPr>
          <w:rFonts w:ascii="Arial" w:hAnsi="Arial"/>
          <w:i/>
          <w:sz w:val="20"/>
        </w:rPr>
        <w:t>Dove</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Banham’s</w:t>
      </w:r>
      <w:r>
        <w:rPr>
          <w:rFonts w:ascii="Arial" w:hAnsi="Arial"/>
          <w:i/>
          <w:spacing w:val="28"/>
          <w:sz w:val="20"/>
        </w:rPr>
        <w:t> </w:t>
      </w:r>
      <w:r>
        <w:rPr>
          <w:rFonts w:ascii="Arial" w:hAnsi="Arial"/>
          <w:i/>
          <w:sz w:val="20"/>
        </w:rPr>
        <w:t>Patent Lock Ltd [1983] 1 W.L.R. 1436</w:t>
      </w:r>
      <w:r>
        <w:rPr>
          <w:sz w:val="20"/>
        </w:rPr>
        <w:t>; </w:t>
      </w:r>
      <w:r>
        <w:rPr>
          <w:rFonts w:ascii="Arial" w:hAnsi="Arial"/>
          <w:i/>
          <w:sz w:val="20"/>
        </w:rPr>
        <w:t>Bailey v HSS Alarms Ltd, The Times, June 20, 2000</w:t>
      </w:r>
      <w:r>
        <w:rPr>
          <w:sz w:val="20"/>
        </w:rPr>
        <w:t>; contrast </w:t>
      </w:r>
      <w:r>
        <w:rPr>
          <w:rFonts w:ascii="Arial" w:hAnsi="Arial"/>
          <w:i/>
          <w:sz w:val="20"/>
        </w:rPr>
        <w:t>Marc Rich &amp; Co AG v Bishop Rock Marine Co Ltd (The Nicholas H) [1996] A.C. 211</w:t>
      </w:r>
      <w:r>
        <w:rPr>
          <w:sz w:val="20"/>
        </w:rPr>
        <w:t>. And see </w:t>
      </w:r>
      <w:r>
        <w:rPr>
          <w:rFonts w:ascii="Arial" w:hAnsi="Arial"/>
          <w:i/>
          <w:sz w:val="20"/>
        </w:rPr>
        <w:t>Hines v King Sturge LLP [2010] CSIH 86, 2011 S.L.T. 2 </w:t>
      </w:r>
      <w:r>
        <w:rPr>
          <w:sz w:val="20"/>
        </w:rPr>
        <w:t>where C, who had suffered physical harm and economic loss as a result of a fire in a building owned by A, was held to have an arguable claim in tort against B, who had been employed by A as manager of the building, in respect of B’s failure to maintain the building’s fire alarm.</w:t>
      </w:r>
    </w:p>
    <w:p>
      <w:pPr>
        <w:pStyle w:val="BodyText"/>
        <w:spacing w:before="7"/>
      </w:pPr>
    </w:p>
    <w:p>
      <w:pPr>
        <w:spacing w:line="235" w:lineRule="auto" w:before="1"/>
        <w:ind w:left="705" w:right="168" w:hanging="541"/>
        <w:jc w:val="both"/>
        <w:rPr>
          <w:rFonts w:ascii="Arial" w:hAnsi="Arial"/>
          <w:i/>
          <w:sz w:val="20"/>
        </w:rPr>
      </w:pPr>
      <w:bookmarkStart w:name="_bookmark396" w:id="398"/>
      <w:bookmarkEnd w:id="398"/>
      <w:r>
        <w:rPr/>
      </w:r>
      <w:hyperlink w:history="true" w:anchor="_bookmark270">
        <w:r>
          <w:rPr>
            <w:color w:val="005DA1"/>
            <w:position w:val="5"/>
            <w:sz w:val="14"/>
            <w:u w:val="single" w:color="005DA1"/>
          </w:rPr>
          <w:t>148</w:t>
        </w:r>
      </w:hyperlink>
      <w:r>
        <w:rPr>
          <w:position w:val="5"/>
          <w:sz w:val="14"/>
        </w:rPr>
        <w:t>.</w:t>
      </w:r>
      <w:r>
        <w:rPr>
          <w:spacing w:val="80"/>
          <w:position w:val="5"/>
          <w:sz w:val="14"/>
        </w:rPr>
        <w:t>  </w:t>
      </w:r>
      <w:r>
        <w:rPr>
          <w:rFonts w:ascii="Arial" w:hAnsi="Arial"/>
          <w:i/>
          <w:sz w:val="20"/>
        </w:rPr>
        <w:t>Yianni v Edwin Evans &amp; Sons [1982] QB 438</w:t>
      </w:r>
      <w:r>
        <w:rPr>
          <w:sz w:val="20"/>
        </w:rPr>
        <w:t>; cf. </w:t>
      </w:r>
      <w:r>
        <w:rPr>
          <w:rFonts w:ascii="Arial" w:hAnsi="Arial"/>
          <w:i/>
          <w:sz w:val="20"/>
        </w:rPr>
        <w:t>Bourne v McEvoy Timber Preservation (1975) 237 E.G. 496</w:t>
      </w:r>
      <w:r>
        <w:rPr>
          <w:sz w:val="20"/>
        </w:rPr>
        <w:t>; </w:t>
      </w:r>
      <w:r>
        <w:rPr>
          <w:rFonts w:ascii="Arial" w:hAnsi="Arial"/>
          <w:i/>
          <w:sz w:val="20"/>
        </w:rPr>
        <w:t>Davies v Pally [1988] 20 E.G. 74</w:t>
      </w:r>
      <w:r>
        <w:rPr>
          <w:sz w:val="20"/>
        </w:rPr>
        <w:t>; </w:t>
      </w:r>
      <w:r>
        <w:rPr>
          <w:rFonts w:ascii="Arial" w:hAnsi="Arial"/>
          <w:i/>
          <w:sz w:val="20"/>
        </w:rPr>
        <w:t>Roberts v J. Hampson &amp; Co [1990] 1 </w:t>
      </w:r>
      <w:r>
        <w:rPr>
          <w:rFonts w:ascii="Arial" w:hAnsi="Arial"/>
          <w:i/>
          <w:sz w:val="20"/>
        </w:rPr>
        <w:t>W.L.R. 94</w:t>
      </w:r>
      <w:r>
        <w:rPr>
          <w:sz w:val="20"/>
        </w:rPr>
        <w:t>; </w:t>
      </w:r>
      <w:r>
        <w:rPr>
          <w:rFonts w:ascii="Arial" w:hAnsi="Arial"/>
          <w:i/>
          <w:sz w:val="20"/>
        </w:rPr>
        <w:t>Smith v Eric S. Bush [1990] 1 A.C. 831 </w:t>
      </w:r>
      <w:r>
        <w:rPr>
          <w:sz w:val="20"/>
        </w:rPr>
        <w:t>(where </w:t>
      </w:r>
      <w:r>
        <w:rPr>
          <w:rFonts w:ascii="Arial" w:hAnsi="Arial"/>
          <w:i/>
          <w:sz w:val="20"/>
        </w:rPr>
        <w:t>Yianni’s </w:t>
      </w:r>
      <w:r>
        <w:rPr>
          <w:sz w:val="20"/>
        </w:rPr>
        <w:t>case is cited with approval at 852–853,</w:t>
      </w:r>
      <w:r>
        <w:rPr>
          <w:spacing w:val="31"/>
          <w:sz w:val="20"/>
        </w:rPr>
        <w:t> </w:t>
      </w:r>
      <w:r>
        <w:rPr>
          <w:sz w:val="20"/>
        </w:rPr>
        <w:t>864,</w:t>
      </w:r>
      <w:r>
        <w:rPr>
          <w:spacing w:val="32"/>
          <w:sz w:val="20"/>
        </w:rPr>
        <w:t> </w:t>
      </w:r>
      <w:r>
        <w:rPr>
          <w:sz w:val="20"/>
        </w:rPr>
        <w:t>875);</w:t>
      </w:r>
      <w:r>
        <w:rPr>
          <w:spacing w:val="32"/>
          <w:sz w:val="20"/>
        </w:rPr>
        <w:t> </w:t>
      </w:r>
      <w:r>
        <w:rPr>
          <w:rFonts w:ascii="Arial" w:hAnsi="Arial"/>
          <w:i/>
          <w:sz w:val="20"/>
        </w:rPr>
        <w:t>Merrett</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Babb</w:t>
      </w:r>
      <w:r>
        <w:rPr>
          <w:rFonts w:ascii="Arial" w:hAnsi="Arial"/>
          <w:i/>
          <w:spacing w:val="32"/>
          <w:sz w:val="20"/>
        </w:rPr>
        <w:t> </w:t>
      </w:r>
      <w:r>
        <w:rPr>
          <w:rFonts w:ascii="Arial" w:hAnsi="Arial"/>
          <w:i/>
          <w:sz w:val="20"/>
        </w:rPr>
        <w:t>[2001]</w:t>
      </w:r>
      <w:r>
        <w:rPr>
          <w:rFonts w:ascii="Arial" w:hAnsi="Arial"/>
          <w:i/>
          <w:spacing w:val="32"/>
          <w:sz w:val="20"/>
        </w:rPr>
        <w:t> </w:t>
      </w:r>
      <w:r>
        <w:rPr>
          <w:rFonts w:ascii="Arial" w:hAnsi="Arial"/>
          <w:i/>
          <w:sz w:val="20"/>
        </w:rPr>
        <w:t>EWCA</w:t>
      </w:r>
      <w:r>
        <w:rPr>
          <w:rFonts w:ascii="Arial" w:hAnsi="Arial"/>
          <w:i/>
          <w:spacing w:val="32"/>
          <w:sz w:val="20"/>
        </w:rPr>
        <w:t> </w:t>
      </w:r>
      <w:r>
        <w:rPr>
          <w:rFonts w:ascii="Arial" w:hAnsi="Arial"/>
          <w:i/>
          <w:sz w:val="20"/>
        </w:rPr>
        <w:t>Civ,</w:t>
      </w:r>
      <w:r>
        <w:rPr>
          <w:rFonts w:ascii="Arial" w:hAnsi="Arial"/>
          <w:i/>
          <w:spacing w:val="32"/>
          <w:sz w:val="20"/>
        </w:rPr>
        <w:t> </w:t>
      </w:r>
      <w:r>
        <w:rPr>
          <w:rFonts w:ascii="Arial" w:hAnsi="Arial"/>
          <w:i/>
          <w:sz w:val="20"/>
        </w:rPr>
        <w:t>214;</w:t>
      </w:r>
      <w:r>
        <w:rPr>
          <w:rFonts w:ascii="Arial" w:hAnsi="Arial"/>
          <w:i/>
          <w:spacing w:val="32"/>
          <w:sz w:val="20"/>
        </w:rPr>
        <w:t> </w:t>
      </w:r>
      <w:r>
        <w:rPr>
          <w:rFonts w:ascii="Arial" w:hAnsi="Arial"/>
          <w:i/>
          <w:sz w:val="20"/>
        </w:rPr>
        <w:t>[2001]</w:t>
      </w:r>
      <w:r>
        <w:rPr>
          <w:rFonts w:ascii="Arial" w:hAnsi="Arial"/>
          <w:i/>
          <w:spacing w:val="32"/>
          <w:sz w:val="20"/>
        </w:rPr>
        <w:t> </w:t>
      </w:r>
      <w:r>
        <w:rPr>
          <w:rFonts w:ascii="Arial" w:hAnsi="Arial"/>
          <w:i/>
          <w:sz w:val="20"/>
        </w:rPr>
        <w:t>Q.B.</w:t>
      </w:r>
      <w:r>
        <w:rPr>
          <w:rFonts w:ascii="Arial" w:hAnsi="Arial"/>
          <w:i/>
          <w:spacing w:val="32"/>
          <w:sz w:val="20"/>
        </w:rPr>
        <w:t> </w:t>
      </w:r>
      <w:r>
        <w:rPr>
          <w:rFonts w:ascii="Arial" w:hAnsi="Arial"/>
          <w:i/>
          <w:sz w:val="20"/>
        </w:rPr>
        <w:t>1174</w:t>
      </w:r>
      <w:r>
        <w:rPr>
          <w:sz w:val="20"/>
        </w:rPr>
        <w:t>;</w:t>
      </w:r>
      <w:r>
        <w:rPr>
          <w:spacing w:val="33"/>
          <w:sz w:val="20"/>
        </w:rPr>
        <w:t> </w:t>
      </w:r>
      <w:r>
        <w:rPr>
          <w:rFonts w:ascii="Arial" w:hAnsi="Arial"/>
          <w:i/>
          <w:sz w:val="20"/>
        </w:rPr>
        <w:t>Niru</w:t>
      </w:r>
      <w:r>
        <w:rPr>
          <w:rFonts w:ascii="Arial" w:hAnsi="Arial"/>
          <w:i/>
          <w:spacing w:val="32"/>
          <w:sz w:val="20"/>
        </w:rPr>
        <w:t> </w:t>
      </w:r>
      <w:r>
        <w:rPr>
          <w:rFonts w:ascii="Arial" w:hAnsi="Arial"/>
          <w:i/>
          <w:spacing w:val="-2"/>
          <w:sz w:val="20"/>
        </w:rPr>
        <w:t>Battery</w:t>
      </w:r>
    </w:p>
    <w:p>
      <w:pPr>
        <w:spacing w:after="0" w:line="235" w:lineRule="auto"/>
        <w:jc w:val="both"/>
        <w:rPr>
          <w:rFonts w:ascii="Arial" w:hAnsi="Arial"/>
          <w:i/>
          <w:sz w:val="20"/>
        </w:rPr>
        <w:sectPr>
          <w:pgSz w:w="11900" w:h="16840"/>
          <w:pgMar w:header="971" w:footer="0" w:top="1160" w:bottom="280" w:left="1275" w:right="1275"/>
        </w:sectPr>
      </w:pPr>
    </w:p>
    <w:p>
      <w:pPr>
        <w:pStyle w:val="BodyText"/>
        <w:spacing w:before="24"/>
        <w:rPr>
          <w:rFonts w:ascii="Arial"/>
          <w:i/>
        </w:rPr>
      </w:pPr>
    </w:p>
    <w:p>
      <w:pPr>
        <w:spacing w:line="235" w:lineRule="auto" w:before="1"/>
        <w:ind w:left="705" w:right="167" w:firstLine="0"/>
        <w:jc w:val="both"/>
        <w:rPr>
          <w:sz w:val="20"/>
        </w:rPr>
      </w:pPr>
      <w:r>
        <w:rPr>
          <w:rFonts w:ascii="Arial" w:hAnsi="Arial"/>
          <w:i/>
          <w:sz w:val="20"/>
        </w:rPr>
        <w:t>Manufacturing Co v Milestone Training Ltd [2002] EWHC 1425 (Comm); [2002] 2 All E.R. (Comm.) 705, at [60]; affirmed [2003] EWCA Civ 1466, [2004] 1 All E.R. (Comm) 193</w:t>
      </w:r>
      <w:r>
        <w:rPr>
          <w:sz w:val="20"/>
        </w:rPr>
        <w:t>; </w:t>
      </w:r>
      <w:r>
        <w:rPr>
          <w:rFonts w:ascii="Arial" w:hAnsi="Arial"/>
          <w:i/>
          <w:sz w:val="20"/>
        </w:rPr>
        <w:t>J. Jarvis</w:t>
      </w:r>
      <w:r>
        <w:rPr>
          <w:rFonts w:ascii="Arial" w:hAnsi="Arial"/>
          <w:i/>
          <w:spacing w:val="40"/>
          <w:sz w:val="20"/>
        </w:rPr>
        <w:t> </w:t>
      </w:r>
      <w:r>
        <w:rPr>
          <w:rFonts w:ascii="Arial" w:hAnsi="Arial"/>
          <w:i/>
          <w:sz w:val="20"/>
        </w:rPr>
        <w:t>v Sons Ltd v Castle Wharf Developments [2001] EWCA Civ, 19; [2001] Lloyd’s Rep. P.N. </w:t>
      </w:r>
      <w:r>
        <w:rPr>
          <w:rFonts w:ascii="Arial" w:hAnsi="Arial"/>
          <w:i/>
          <w:sz w:val="20"/>
        </w:rPr>
        <w:t>208 </w:t>
      </w:r>
      <w:r>
        <w:rPr>
          <w:sz w:val="20"/>
        </w:rPr>
        <w:t>(quantity surveyor employed by developer held to owe a duty to contractor working on the project, but claim failed for want of reliance); </w:t>
      </w:r>
      <w:r>
        <w:rPr>
          <w:rFonts w:ascii="Arial" w:hAnsi="Arial"/>
          <w:i/>
          <w:sz w:val="20"/>
        </w:rPr>
        <w:t>Bellefield Computer Services Ltd v E Turner &amp; Sons Ltd [2003] EWCA Civ 1283; [2003] Lloyd’s Rep. P.N. 53 </w:t>
      </w:r>
      <w:r>
        <w:rPr>
          <w:sz w:val="20"/>
        </w:rPr>
        <w:t>(architects held to owe duty of care to subsequent occupiers but not to be in breach of it by reason of the limited nature of the services to be provided by them under the contract with their client); cf. </w:t>
      </w:r>
      <w:r>
        <w:rPr>
          <w:rFonts w:ascii="Arial" w:hAnsi="Arial"/>
          <w:i/>
          <w:sz w:val="20"/>
        </w:rPr>
        <w:t>Halifax Building Society v Edell [1992] Ch. 436, 454</w:t>
      </w:r>
      <w:r>
        <w:rPr>
          <w:sz w:val="20"/>
        </w:rPr>
        <w:t>; contrast </w:t>
      </w:r>
      <w:r>
        <w:rPr>
          <w:rFonts w:ascii="Arial" w:hAnsi="Arial"/>
          <w:i/>
          <w:sz w:val="20"/>
        </w:rPr>
        <w:t>Beaumont v Humberts [1989] 29 E.G. 104</w:t>
      </w:r>
      <w:r>
        <w:rPr>
          <w:sz w:val="20"/>
        </w:rPr>
        <w:t>.</w:t>
      </w:r>
    </w:p>
    <w:p>
      <w:pPr>
        <w:pStyle w:val="BodyText"/>
        <w:spacing w:before="2"/>
      </w:pPr>
    </w:p>
    <w:p>
      <w:pPr>
        <w:tabs>
          <w:tab w:pos="705" w:val="left" w:leader="none"/>
        </w:tabs>
        <w:spacing w:line="227" w:lineRule="exact" w:before="1"/>
        <w:ind w:left="165" w:right="0" w:firstLine="0"/>
        <w:jc w:val="left"/>
        <w:rPr>
          <w:rFonts w:ascii="Arial"/>
          <w:i/>
          <w:sz w:val="20"/>
        </w:rPr>
      </w:pPr>
      <w:bookmarkStart w:name="_bookmark397" w:id="399"/>
      <w:bookmarkEnd w:id="399"/>
      <w:r>
        <w:rPr/>
      </w:r>
      <w:hyperlink w:history="true" w:anchor="_bookmark271">
        <w:r>
          <w:rPr>
            <w:color w:val="005DA1"/>
            <w:spacing w:val="-4"/>
            <w:position w:val="5"/>
            <w:sz w:val="14"/>
            <w:u w:val="single" w:color="005DA1"/>
          </w:rPr>
          <w:t>149</w:t>
        </w:r>
      </w:hyperlink>
      <w:r>
        <w:rPr>
          <w:spacing w:val="-4"/>
          <w:position w:val="5"/>
          <w:sz w:val="14"/>
        </w:rPr>
        <w:t>.</w:t>
      </w:r>
      <w:r>
        <w:rPr>
          <w:position w:val="5"/>
          <w:sz w:val="14"/>
        </w:rPr>
        <w:tab/>
      </w:r>
      <w:r>
        <w:rPr>
          <w:sz w:val="20"/>
        </w:rPr>
        <w:t>See</w:t>
      </w:r>
      <w:r>
        <w:rPr>
          <w:spacing w:val="10"/>
          <w:sz w:val="20"/>
        </w:rPr>
        <w:t> </w:t>
      </w:r>
      <w:r>
        <w:rPr>
          <w:sz w:val="20"/>
        </w:rPr>
        <w:t>also</w:t>
      </w:r>
      <w:r>
        <w:rPr>
          <w:spacing w:val="11"/>
          <w:sz w:val="20"/>
        </w:rPr>
        <w:t> </w:t>
      </w:r>
      <w:r>
        <w:rPr>
          <w:rFonts w:ascii="Arial"/>
          <w:i/>
          <w:sz w:val="20"/>
        </w:rPr>
        <w:t>Knight</w:t>
      </w:r>
      <w:r>
        <w:rPr>
          <w:rFonts w:ascii="Arial"/>
          <w:i/>
          <w:spacing w:val="11"/>
          <w:sz w:val="20"/>
        </w:rPr>
        <w:t> </w:t>
      </w:r>
      <w:r>
        <w:rPr>
          <w:rFonts w:ascii="Arial"/>
          <w:i/>
          <w:sz w:val="20"/>
        </w:rPr>
        <w:t>v</w:t>
      </w:r>
      <w:r>
        <w:rPr>
          <w:rFonts w:ascii="Arial"/>
          <w:i/>
          <w:spacing w:val="11"/>
          <w:sz w:val="20"/>
        </w:rPr>
        <w:t> </w:t>
      </w:r>
      <w:r>
        <w:rPr>
          <w:rFonts w:ascii="Arial"/>
          <w:i/>
          <w:sz w:val="20"/>
        </w:rPr>
        <w:t>Lawrence</w:t>
      </w:r>
      <w:r>
        <w:rPr>
          <w:rFonts w:ascii="Arial"/>
          <w:i/>
          <w:spacing w:val="11"/>
          <w:sz w:val="20"/>
        </w:rPr>
        <w:t> </w:t>
      </w:r>
      <w:r>
        <w:rPr>
          <w:rFonts w:ascii="Arial"/>
          <w:i/>
          <w:sz w:val="20"/>
        </w:rPr>
        <w:t>[1991]</w:t>
      </w:r>
      <w:r>
        <w:rPr>
          <w:rFonts w:ascii="Arial"/>
          <w:i/>
          <w:spacing w:val="11"/>
          <w:sz w:val="20"/>
        </w:rPr>
        <w:t> </w:t>
      </w:r>
      <w:r>
        <w:rPr>
          <w:rFonts w:ascii="Arial"/>
          <w:i/>
          <w:sz w:val="20"/>
        </w:rPr>
        <w:t>1</w:t>
      </w:r>
      <w:r>
        <w:rPr>
          <w:rFonts w:ascii="Arial"/>
          <w:i/>
          <w:spacing w:val="11"/>
          <w:sz w:val="20"/>
        </w:rPr>
        <w:t> </w:t>
      </w:r>
      <w:r>
        <w:rPr>
          <w:rFonts w:ascii="Arial"/>
          <w:i/>
          <w:sz w:val="20"/>
        </w:rPr>
        <w:t>E.G.L.R.</w:t>
      </w:r>
      <w:r>
        <w:rPr>
          <w:rFonts w:ascii="Arial"/>
          <w:i/>
          <w:spacing w:val="11"/>
          <w:sz w:val="20"/>
        </w:rPr>
        <w:t> </w:t>
      </w:r>
      <w:r>
        <w:rPr>
          <w:rFonts w:ascii="Arial"/>
          <w:i/>
          <w:sz w:val="20"/>
        </w:rPr>
        <w:t>143</w:t>
      </w:r>
      <w:r>
        <w:rPr>
          <w:sz w:val="20"/>
        </w:rPr>
        <w:t>;</w:t>
      </w:r>
      <w:r>
        <w:rPr>
          <w:spacing w:val="12"/>
          <w:sz w:val="20"/>
        </w:rPr>
        <w:t> </w:t>
      </w:r>
      <w:r>
        <w:rPr>
          <w:rFonts w:ascii="Arial"/>
          <w:i/>
          <w:sz w:val="20"/>
        </w:rPr>
        <w:t>Barings</w:t>
      </w:r>
      <w:r>
        <w:rPr>
          <w:rFonts w:ascii="Arial"/>
          <w:i/>
          <w:spacing w:val="11"/>
          <w:sz w:val="20"/>
        </w:rPr>
        <w:t> </w:t>
      </w:r>
      <w:r>
        <w:rPr>
          <w:rFonts w:ascii="Arial"/>
          <w:i/>
          <w:sz w:val="20"/>
        </w:rPr>
        <w:t>plc</w:t>
      </w:r>
      <w:r>
        <w:rPr>
          <w:rFonts w:ascii="Arial"/>
          <w:i/>
          <w:spacing w:val="11"/>
          <w:sz w:val="20"/>
        </w:rPr>
        <w:t> </w:t>
      </w:r>
      <w:r>
        <w:rPr>
          <w:rFonts w:ascii="Arial"/>
          <w:i/>
          <w:sz w:val="20"/>
        </w:rPr>
        <w:t>v</w:t>
      </w:r>
      <w:r>
        <w:rPr>
          <w:rFonts w:ascii="Arial"/>
          <w:i/>
          <w:spacing w:val="11"/>
          <w:sz w:val="20"/>
        </w:rPr>
        <w:t> </w:t>
      </w:r>
      <w:r>
        <w:rPr>
          <w:rFonts w:ascii="Arial"/>
          <w:i/>
          <w:sz w:val="20"/>
        </w:rPr>
        <w:t>Coopers</w:t>
      </w:r>
      <w:r>
        <w:rPr>
          <w:rFonts w:ascii="Arial"/>
          <w:i/>
          <w:spacing w:val="11"/>
          <w:sz w:val="20"/>
        </w:rPr>
        <w:t> </w:t>
      </w:r>
      <w:r>
        <w:rPr>
          <w:rFonts w:ascii="Arial"/>
          <w:i/>
          <w:sz w:val="20"/>
        </w:rPr>
        <w:t>&amp;</w:t>
      </w:r>
      <w:r>
        <w:rPr>
          <w:rFonts w:ascii="Arial"/>
          <w:i/>
          <w:spacing w:val="11"/>
          <w:sz w:val="20"/>
        </w:rPr>
        <w:t> </w:t>
      </w:r>
      <w:r>
        <w:rPr>
          <w:rFonts w:ascii="Arial"/>
          <w:i/>
          <w:sz w:val="20"/>
        </w:rPr>
        <w:t>Lybrand</w:t>
      </w:r>
      <w:r>
        <w:rPr>
          <w:rFonts w:ascii="Arial"/>
          <w:i/>
          <w:spacing w:val="11"/>
          <w:sz w:val="20"/>
        </w:rPr>
        <w:t> </w:t>
      </w:r>
      <w:r>
        <w:rPr>
          <w:rFonts w:ascii="Arial"/>
          <w:i/>
          <w:sz w:val="20"/>
        </w:rPr>
        <w:t>[1997]</w:t>
      </w:r>
      <w:r>
        <w:rPr>
          <w:rFonts w:ascii="Arial"/>
          <w:i/>
          <w:spacing w:val="11"/>
          <w:sz w:val="20"/>
        </w:rPr>
        <w:t> </w:t>
      </w:r>
      <w:r>
        <w:rPr>
          <w:rFonts w:ascii="Arial"/>
          <w:i/>
          <w:spacing w:val="-10"/>
          <w:sz w:val="20"/>
        </w:rPr>
        <w:t>1</w:t>
      </w:r>
    </w:p>
    <w:p>
      <w:pPr>
        <w:spacing w:line="227" w:lineRule="exact" w:before="0"/>
        <w:ind w:left="705" w:right="0" w:firstLine="0"/>
        <w:jc w:val="left"/>
        <w:rPr>
          <w:sz w:val="20"/>
        </w:rPr>
      </w:pPr>
      <w:r>
        <w:rPr>
          <w:rFonts w:ascii="Arial"/>
          <w:i/>
          <w:sz w:val="20"/>
        </w:rPr>
        <w:t>B.C.L.C.</w:t>
      </w:r>
      <w:r>
        <w:rPr>
          <w:rFonts w:ascii="Arial"/>
          <w:i/>
          <w:spacing w:val="-1"/>
          <w:sz w:val="20"/>
        </w:rPr>
        <w:t> </w:t>
      </w:r>
      <w:r>
        <w:rPr>
          <w:rFonts w:ascii="Arial"/>
          <w:i/>
          <w:sz w:val="20"/>
        </w:rPr>
        <w:t>498</w:t>
      </w:r>
      <w:r>
        <w:rPr>
          <w:sz w:val="20"/>
        </w:rPr>
        <w:t>; </w:t>
      </w:r>
      <w:r>
        <w:rPr>
          <w:rFonts w:ascii="Arial"/>
          <w:i/>
          <w:sz w:val="20"/>
        </w:rPr>
        <w:t>Medforth v Blake [1999] N.L.J. </w:t>
      </w:r>
      <w:r>
        <w:rPr>
          <w:rFonts w:ascii="Arial"/>
          <w:i/>
          <w:spacing w:val="-4"/>
          <w:sz w:val="20"/>
        </w:rPr>
        <w:t>929</w:t>
      </w:r>
      <w:r>
        <w:rPr>
          <w:spacing w:val="-4"/>
          <w:sz w:val="20"/>
        </w:rPr>
        <w:t>.</w:t>
      </w:r>
    </w:p>
    <w:p>
      <w:pPr>
        <w:pStyle w:val="BodyText"/>
        <w:spacing w:before="8"/>
      </w:pPr>
    </w:p>
    <w:p>
      <w:pPr>
        <w:spacing w:line="235" w:lineRule="auto" w:before="0"/>
        <w:ind w:left="705" w:right="168" w:hanging="541"/>
        <w:jc w:val="both"/>
        <w:rPr>
          <w:sz w:val="20"/>
        </w:rPr>
      </w:pPr>
      <w:bookmarkStart w:name="_bookmark398" w:id="400"/>
      <w:bookmarkEnd w:id="400"/>
      <w:r>
        <w:rPr/>
      </w:r>
      <w:hyperlink w:history="true" w:anchor="_bookmark272">
        <w:r>
          <w:rPr>
            <w:color w:val="005DA1"/>
            <w:position w:val="5"/>
            <w:sz w:val="14"/>
            <w:u w:val="single" w:color="005DA1"/>
          </w:rPr>
          <w:t>150</w:t>
        </w:r>
      </w:hyperlink>
      <w:r>
        <w:rPr>
          <w:position w:val="5"/>
          <w:sz w:val="14"/>
        </w:rPr>
        <w:t>.</w:t>
      </w:r>
      <w:r>
        <w:rPr>
          <w:spacing w:val="80"/>
          <w:position w:val="5"/>
          <w:sz w:val="14"/>
        </w:rPr>
        <w:t>  </w:t>
      </w:r>
      <w:r>
        <w:rPr>
          <w:sz w:val="20"/>
        </w:rPr>
        <w:t>Below</w:t>
      </w:r>
      <w:r>
        <w:rPr>
          <w:spacing w:val="33"/>
          <w:sz w:val="20"/>
        </w:rPr>
        <w:t> </w:t>
      </w:r>
      <w:r>
        <w:rPr>
          <w:sz w:val="20"/>
        </w:rPr>
        <w:t>para.18-027;</w:t>
      </w:r>
      <w:r>
        <w:rPr>
          <w:spacing w:val="32"/>
          <w:sz w:val="20"/>
        </w:rPr>
        <w:t> </w:t>
      </w:r>
      <w:r>
        <w:rPr>
          <w:rFonts w:ascii="Arial"/>
          <w:i/>
          <w:sz w:val="20"/>
        </w:rPr>
        <w:t>Ross</w:t>
      </w:r>
      <w:r>
        <w:rPr>
          <w:rFonts w:ascii="Arial"/>
          <w:i/>
          <w:spacing w:val="33"/>
          <w:sz w:val="20"/>
        </w:rPr>
        <w:t> </w:t>
      </w:r>
      <w:r>
        <w:rPr>
          <w:rFonts w:ascii="Arial"/>
          <w:i/>
          <w:sz w:val="20"/>
        </w:rPr>
        <w:t>v</w:t>
      </w:r>
      <w:r>
        <w:rPr>
          <w:rFonts w:ascii="Arial"/>
          <w:i/>
          <w:spacing w:val="33"/>
          <w:sz w:val="20"/>
        </w:rPr>
        <w:t> </w:t>
      </w:r>
      <w:r>
        <w:rPr>
          <w:rFonts w:ascii="Arial"/>
          <w:i/>
          <w:sz w:val="20"/>
        </w:rPr>
        <w:t>Caunters</w:t>
      </w:r>
      <w:r>
        <w:rPr>
          <w:rFonts w:ascii="Arial"/>
          <w:i/>
          <w:spacing w:val="33"/>
          <w:sz w:val="20"/>
        </w:rPr>
        <w:t> </w:t>
      </w:r>
      <w:r>
        <w:rPr>
          <w:rFonts w:ascii="Arial"/>
          <w:i/>
          <w:sz w:val="20"/>
        </w:rPr>
        <w:t>[1980]</w:t>
      </w:r>
      <w:r>
        <w:rPr>
          <w:rFonts w:ascii="Arial"/>
          <w:i/>
          <w:spacing w:val="33"/>
          <w:sz w:val="20"/>
        </w:rPr>
        <w:t> </w:t>
      </w:r>
      <w:r>
        <w:rPr>
          <w:rFonts w:ascii="Arial"/>
          <w:i/>
          <w:sz w:val="20"/>
        </w:rPr>
        <w:t>Ch.</w:t>
      </w:r>
      <w:r>
        <w:rPr>
          <w:rFonts w:ascii="Arial"/>
          <w:i/>
          <w:spacing w:val="33"/>
          <w:sz w:val="20"/>
        </w:rPr>
        <w:t> </w:t>
      </w:r>
      <w:r>
        <w:rPr>
          <w:rFonts w:ascii="Arial"/>
          <w:i/>
          <w:sz w:val="20"/>
        </w:rPr>
        <w:t>287</w:t>
      </w:r>
      <w:r>
        <w:rPr>
          <w:sz w:val="20"/>
        </w:rPr>
        <w:t>;</w:t>
      </w:r>
      <w:r>
        <w:rPr>
          <w:spacing w:val="33"/>
          <w:sz w:val="20"/>
        </w:rPr>
        <w:t> </w:t>
      </w:r>
      <w:r>
        <w:rPr>
          <w:rFonts w:ascii="Arial"/>
          <w:i/>
          <w:sz w:val="20"/>
        </w:rPr>
        <w:t>White</w:t>
      </w:r>
      <w:r>
        <w:rPr>
          <w:rFonts w:ascii="Arial"/>
          <w:i/>
          <w:spacing w:val="33"/>
          <w:sz w:val="20"/>
        </w:rPr>
        <w:t> </w:t>
      </w:r>
      <w:r>
        <w:rPr>
          <w:rFonts w:ascii="Arial"/>
          <w:i/>
          <w:sz w:val="20"/>
        </w:rPr>
        <w:t>v</w:t>
      </w:r>
      <w:r>
        <w:rPr>
          <w:rFonts w:ascii="Arial"/>
          <w:i/>
          <w:spacing w:val="33"/>
          <w:sz w:val="20"/>
        </w:rPr>
        <w:t> </w:t>
      </w:r>
      <w:r>
        <w:rPr>
          <w:rFonts w:ascii="Arial"/>
          <w:i/>
          <w:sz w:val="20"/>
        </w:rPr>
        <w:t>Jones</w:t>
      </w:r>
      <w:r>
        <w:rPr>
          <w:rFonts w:ascii="Arial"/>
          <w:i/>
          <w:spacing w:val="33"/>
          <w:sz w:val="20"/>
        </w:rPr>
        <w:t> </w:t>
      </w:r>
      <w:r>
        <w:rPr>
          <w:rFonts w:ascii="Arial"/>
          <w:i/>
          <w:sz w:val="20"/>
        </w:rPr>
        <w:t>[1995]</w:t>
      </w:r>
      <w:r>
        <w:rPr>
          <w:rFonts w:ascii="Arial"/>
          <w:i/>
          <w:spacing w:val="33"/>
          <w:sz w:val="20"/>
        </w:rPr>
        <w:t> </w:t>
      </w:r>
      <w:r>
        <w:rPr>
          <w:rFonts w:ascii="Arial"/>
          <w:i/>
          <w:sz w:val="20"/>
        </w:rPr>
        <w:t>2</w:t>
      </w:r>
      <w:r>
        <w:rPr>
          <w:rFonts w:ascii="Arial"/>
          <w:i/>
          <w:spacing w:val="33"/>
          <w:sz w:val="20"/>
        </w:rPr>
        <w:t> </w:t>
      </w:r>
      <w:r>
        <w:rPr>
          <w:rFonts w:ascii="Arial"/>
          <w:i/>
          <w:sz w:val="20"/>
        </w:rPr>
        <w:t>A.C.</w:t>
      </w:r>
      <w:r>
        <w:rPr>
          <w:rFonts w:ascii="Arial"/>
          <w:i/>
          <w:spacing w:val="33"/>
          <w:sz w:val="20"/>
        </w:rPr>
        <w:t> </w:t>
      </w:r>
      <w:r>
        <w:rPr>
          <w:rFonts w:ascii="Arial"/>
          <w:i/>
          <w:sz w:val="20"/>
        </w:rPr>
        <w:t>207</w:t>
      </w:r>
      <w:r>
        <w:rPr>
          <w:sz w:val="20"/>
        </w:rPr>
        <w:t>;</w:t>
      </w:r>
      <w:r>
        <w:rPr>
          <w:spacing w:val="33"/>
          <w:sz w:val="20"/>
        </w:rPr>
        <w:t> </w:t>
      </w:r>
      <w:r>
        <w:rPr>
          <w:sz w:val="20"/>
        </w:rPr>
        <w:t>cf. </w:t>
      </w:r>
      <w:r>
        <w:rPr>
          <w:rFonts w:ascii="Arial"/>
          <w:i/>
          <w:sz w:val="20"/>
        </w:rPr>
        <w:t>Smith v Clarement Haynes, The Times, September 3, 1991</w:t>
      </w:r>
      <w:r>
        <w:rPr>
          <w:sz w:val="20"/>
        </w:rPr>
        <w:t>; </w:t>
      </w:r>
      <w:r>
        <w:rPr>
          <w:rFonts w:ascii="Arial"/>
          <w:i/>
          <w:sz w:val="20"/>
        </w:rPr>
        <w:t>Al Kandari v J.R. Brown &amp; </w:t>
      </w:r>
      <w:r>
        <w:rPr>
          <w:rFonts w:ascii="Arial"/>
          <w:i/>
          <w:sz w:val="20"/>
        </w:rPr>
        <w:t>Co [1988]</w:t>
      </w:r>
      <w:r>
        <w:rPr>
          <w:rFonts w:ascii="Arial"/>
          <w:i/>
          <w:spacing w:val="55"/>
          <w:sz w:val="20"/>
        </w:rPr>
        <w:t> </w:t>
      </w:r>
      <w:r>
        <w:rPr>
          <w:rFonts w:ascii="Arial"/>
          <w:i/>
          <w:sz w:val="20"/>
        </w:rPr>
        <w:t>Q.B.</w:t>
      </w:r>
      <w:r>
        <w:rPr>
          <w:rFonts w:ascii="Arial"/>
          <w:i/>
          <w:spacing w:val="55"/>
          <w:sz w:val="20"/>
        </w:rPr>
        <w:t> </w:t>
      </w:r>
      <w:r>
        <w:rPr>
          <w:rFonts w:ascii="Arial"/>
          <w:i/>
          <w:sz w:val="20"/>
        </w:rPr>
        <w:t>665</w:t>
      </w:r>
      <w:r>
        <w:rPr>
          <w:sz w:val="20"/>
        </w:rPr>
        <w:t>;</w:t>
      </w:r>
      <w:r>
        <w:rPr>
          <w:spacing w:val="56"/>
          <w:sz w:val="20"/>
        </w:rPr>
        <w:t> </w:t>
      </w:r>
      <w:r>
        <w:rPr>
          <w:rFonts w:ascii="Arial"/>
          <w:i/>
          <w:sz w:val="20"/>
        </w:rPr>
        <w:t>Rind</w:t>
      </w:r>
      <w:r>
        <w:rPr>
          <w:rFonts w:ascii="Arial"/>
          <w:i/>
          <w:spacing w:val="55"/>
          <w:sz w:val="20"/>
        </w:rPr>
        <w:t> </w:t>
      </w:r>
      <w:r>
        <w:rPr>
          <w:rFonts w:ascii="Arial"/>
          <w:i/>
          <w:sz w:val="20"/>
        </w:rPr>
        <w:t>v</w:t>
      </w:r>
      <w:r>
        <w:rPr>
          <w:rFonts w:ascii="Arial"/>
          <w:i/>
          <w:spacing w:val="56"/>
          <w:sz w:val="20"/>
        </w:rPr>
        <w:t> </w:t>
      </w:r>
      <w:r>
        <w:rPr>
          <w:rFonts w:ascii="Arial"/>
          <w:i/>
          <w:sz w:val="20"/>
        </w:rPr>
        <w:t>Theodore</w:t>
      </w:r>
      <w:r>
        <w:rPr>
          <w:rFonts w:ascii="Arial"/>
          <w:i/>
          <w:spacing w:val="55"/>
          <w:sz w:val="20"/>
        </w:rPr>
        <w:t> </w:t>
      </w:r>
      <w:r>
        <w:rPr>
          <w:rFonts w:ascii="Arial"/>
          <w:i/>
          <w:sz w:val="20"/>
        </w:rPr>
        <w:t>Goddard</w:t>
      </w:r>
      <w:r>
        <w:rPr>
          <w:rFonts w:ascii="Arial"/>
          <w:i/>
          <w:spacing w:val="56"/>
          <w:sz w:val="20"/>
        </w:rPr>
        <w:t> </w:t>
      </w:r>
      <w:r>
        <w:rPr>
          <w:rFonts w:ascii="Arial"/>
          <w:i/>
          <w:sz w:val="20"/>
        </w:rPr>
        <w:t>[2008]</w:t>
      </w:r>
      <w:r>
        <w:rPr>
          <w:rFonts w:ascii="Arial"/>
          <w:i/>
          <w:spacing w:val="55"/>
          <w:sz w:val="20"/>
        </w:rPr>
        <w:t> </w:t>
      </w:r>
      <w:r>
        <w:rPr>
          <w:rFonts w:ascii="Arial"/>
          <w:i/>
          <w:sz w:val="20"/>
        </w:rPr>
        <w:t>EWHC</w:t>
      </w:r>
      <w:r>
        <w:rPr>
          <w:rFonts w:ascii="Arial"/>
          <w:i/>
          <w:spacing w:val="56"/>
          <w:sz w:val="20"/>
        </w:rPr>
        <w:t> </w:t>
      </w:r>
      <w:r>
        <w:rPr>
          <w:rFonts w:ascii="Arial"/>
          <w:i/>
          <w:sz w:val="20"/>
        </w:rPr>
        <w:t>459</w:t>
      </w:r>
      <w:r>
        <w:rPr>
          <w:rFonts w:ascii="Arial"/>
          <w:i/>
          <w:spacing w:val="55"/>
          <w:sz w:val="20"/>
        </w:rPr>
        <w:t> </w:t>
      </w:r>
      <w:r>
        <w:rPr>
          <w:rFonts w:ascii="Arial"/>
          <w:i/>
          <w:sz w:val="20"/>
        </w:rPr>
        <w:t>(Ch),</w:t>
      </w:r>
      <w:r>
        <w:rPr>
          <w:rFonts w:ascii="Arial"/>
          <w:i/>
          <w:spacing w:val="56"/>
          <w:sz w:val="20"/>
        </w:rPr>
        <w:t> </w:t>
      </w:r>
      <w:r>
        <w:rPr>
          <w:rFonts w:ascii="Arial"/>
          <w:i/>
          <w:sz w:val="20"/>
        </w:rPr>
        <w:t>[2008]</w:t>
      </w:r>
      <w:r>
        <w:rPr>
          <w:rFonts w:ascii="Arial"/>
          <w:i/>
          <w:spacing w:val="55"/>
          <w:sz w:val="20"/>
        </w:rPr>
        <w:t> </w:t>
      </w:r>
      <w:r>
        <w:rPr>
          <w:rFonts w:ascii="Arial"/>
          <w:i/>
          <w:sz w:val="20"/>
        </w:rPr>
        <w:t>P.N.L.R.</w:t>
      </w:r>
      <w:r>
        <w:rPr>
          <w:rFonts w:ascii="Arial"/>
          <w:i/>
          <w:spacing w:val="56"/>
          <w:sz w:val="20"/>
        </w:rPr>
        <w:t> </w:t>
      </w:r>
      <w:r>
        <w:rPr>
          <w:rFonts w:ascii="Arial"/>
          <w:i/>
          <w:spacing w:val="-5"/>
          <w:sz w:val="20"/>
        </w:rPr>
        <w:t>24</w:t>
      </w:r>
      <w:r>
        <w:rPr>
          <w:spacing w:val="-5"/>
          <w:sz w:val="20"/>
        </w:rPr>
        <w:t>.</w:t>
      </w:r>
    </w:p>
    <w:p>
      <w:pPr>
        <w:spacing w:line="235" w:lineRule="auto" w:before="0"/>
        <w:ind w:left="705" w:right="167" w:firstLine="0"/>
        <w:jc w:val="both"/>
        <w:rPr>
          <w:rFonts w:ascii="Arial" w:hAnsi="Arial"/>
          <w:i/>
          <w:sz w:val="20"/>
        </w:rPr>
      </w:pPr>
      <w:r>
        <w:rPr>
          <w:sz w:val="20"/>
        </w:rPr>
        <w:t>Contrast </w:t>
      </w:r>
      <w:r>
        <w:rPr>
          <w:rFonts w:ascii="Arial" w:hAnsi="Arial"/>
          <w:i/>
          <w:sz w:val="20"/>
        </w:rPr>
        <w:t>Clarke v Bruce Lance &amp; Co. [1988] 1 W.L.R. 881 </w:t>
      </w:r>
      <w:r>
        <w:rPr>
          <w:sz w:val="20"/>
        </w:rPr>
        <w:t>(solicitor acting for testator in a different transaction held to owe no duty to beneficiary); </w:t>
      </w:r>
      <w:r>
        <w:rPr>
          <w:rFonts w:ascii="Arial" w:hAnsi="Arial"/>
          <w:i/>
          <w:sz w:val="20"/>
        </w:rPr>
        <w:t>Worby v Rosser [2000] P.N.L.R. </w:t>
      </w:r>
      <w:r>
        <w:rPr>
          <w:rFonts w:ascii="Arial" w:hAnsi="Arial"/>
          <w:i/>
          <w:sz w:val="20"/>
        </w:rPr>
        <w:t>140 </w:t>
      </w:r>
      <w:r>
        <w:rPr>
          <w:sz w:val="20"/>
        </w:rPr>
        <w:t>(solicitor engaged by testator to draw up a new will held to owe no duty to beneficiary under an earlier will). For earlier discussion of </w:t>
      </w:r>
      <w:r>
        <w:rPr>
          <w:rFonts w:ascii="Arial" w:hAnsi="Arial"/>
          <w:i/>
          <w:sz w:val="20"/>
        </w:rPr>
        <w:t>Ross v Caunters</w:t>
      </w:r>
      <w:r>
        <w:rPr>
          <w:sz w:val="20"/>
        </w:rPr>
        <w:t>, above, see </w:t>
      </w:r>
      <w:r>
        <w:rPr>
          <w:rFonts w:ascii="Arial" w:hAnsi="Arial"/>
          <w:i/>
          <w:sz w:val="20"/>
        </w:rPr>
        <w:t>Banque Keyser Ullman SA v Skandia (UK) Insurance Co Ltd [1990] Q.B. 659, 794–795; affirmed on other grounds [1990] 2 All E.R. 947</w:t>
      </w:r>
      <w:r>
        <w:rPr>
          <w:sz w:val="20"/>
        </w:rPr>
        <w:t>; </w:t>
      </w:r>
      <w:r>
        <w:rPr>
          <w:rFonts w:ascii="Arial" w:hAnsi="Arial"/>
          <w:i/>
          <w:sz w:val="20"/>
        </w:rPr>
        <w:t>Van Oppen v Clerk of the Bedford Charity Trustees [1989] 1 All E.R. 273, 289; affirmed</w:t>
      </w:r>
      <w:r>
        <w:rPr>
          <w:rFonts w:ascii="Arial" w:hAnsi="Arial"/>
          <w:i/>
          <w:spacing w:val="5"/>
          <w:sz w:val="20"/>
        </w:rPr>
        <w:t> </w:t>
      </w:r>
      <w:r>
        <w:rPr>
          <w:rFonts w:ascii="Arial" w:hAnsi="Arial"/>
          <w:i/>
          <w:sz w:val="20"/>
        </w:rPr>
        <w:t>[1990]</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W.L.R.</w:t>
      </w:r>
      <w:r>
        <w:rPr>
          <w:rFonts w:ascii="Arial" w:hAnsi="Arial"/>
          <w:i/>
          <w:spacing w:val="6"/>
          <w:sz w:val="20"/>
        </w:rPr>
        <w:t> </w:t>
      </w:r>
      <w:r>
        <w:rPr>
          <w:rFonts w:ascii="Arial" w:hAnsi="Arial"/>
          <w:i/>
          <w:sz w:val="20"/>
        </w:rPr>
        <w:t>235</w:t>
      </w:r>
      <w:r>
        <w:rPr>
          <w:sz w:val="20"/>
        </w:rPr>
        <w:t>;</w:t>
      </w:r>
      <w:r>
        <w:rPr>
          <w:spacing w:val="6"/>
          <w:sz w:val="20"/>
        </w:rPr>
        <w:t> </w:t>
      </w:r>
      <w:r>
        <w:rPr>
          <w:rFonts w:ascii="Arial" w:hAnsi="Arial"/>
          <w:i/>
          <w:sz w:val="20"/>
        </w:rPr>
        <w:t>Caparo</w:t>
      </w:r>
      <w:r>
        <w:rPr>
          <w:rFonts w:ascii="Arial" w:hAnsi="Arial"/>
          <w:i/>
          <w:spacing w:val="6"/>
          <w:sz w:val="20"/>
        </w:rPr>
        <w:t> </w:t>
      </w:r>
      <w:r>
        <w:rPr>
          <w:rFonts w:ascii="Arial" w:hAnsi="Arial"/>
          <w:i/>
          <w:sz w:val="20"/>
        </w:rPr>
        <w:t>Industries</w:t>
      </w:r>
      <w:r>
        <w:rPr>
          <w:rFonts w:ascii="Arial" w:hAnsi="Arial"/>
          <w:i/>
          <w:spacing w:val="6"/>
          <w:sz w:val="20"/>
        </w:rPr>
        <w:t> </w:t>
      </w:r>
      <w:r>
        <w:rPr>
          <w:rFonts w:ascii="Arial" w:hAnsi="Arial"/>
          <w:i/>
          <w:sz w:val="20"/>
        </w:rPr>
        <w:t>plc</w:t>
      </w:r>
      <w:r>
        <w:rPr>
          <w:rFonts w:ascii="Arial" w:hAnsi="Arial"/>
          <w:i/>
          <w:spacing w:val="5"/>
          <w:sz w:val="20"/>
        </w:rPr>
        <w:t> </w:t>
      </w:r>
      <w:r>
        <w:rPr>
          <w:rFonts w:ascii="Arial" w:hAnsi="Arial"/>
          <w:i/>
          <w:sz w:val="20"/>
        </w:rPr>
        <w:t>v</w:t>
      </w:r>
      <w:r>
        <w:rPr>
          <w:rFonts w:ascii="Arial" w:hAnsi="Arial"/>
          <w:i/>
          <w:spacing w:val="6"/>
          <w:sz w:val="20"/>
        </w:rPr>
        <w:t> </w:t>
      </w:r>
      <w:r>
        <w:rPr>
          <w:rFonts w:ascii="Arial" w:hAnsi="Arial"/>
          <w:i/>
          <w:sz w:val="20"/>
        </w:rPr>
        <w:t>Dickman</w:t>
      </w:r>
      <w:r>
        <w:rPr>
          <w:rFonts w:ascii="Arial" w:hAnsi="Arial"/>
          <w:i/>
          <w:spacing w:val="6"/>
          <w:sz w:val="20"/>
        </w:rPr>
        <w:t> </w:t>
      </w:r>
      <w:r>
        <w:rPr>
          <w:rFonts w:ascii="Arial" w:hAnsi="Arial"/>
          <w:i/>
          <w:sz w:val="20"/>
        </w:rPr>
        <w:t>[1990]</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A.C.</w:t>
      </w:r>
      <w:r>
        <w:rPr>
          <w:rFonts w:ascii="Arial" w:hAnsi="Arial"/>
          <w:i/>
          <w:spacing w:val="6"/>
          <w:sz w:val="20"/>
        </w:rPr>
        <w:t> </w:t>
      </w:r>
      <w:r>
        <w:rPr>
          <w:rFonts w:ascii="Arial" w:hAnsi="Arial"/>
          <w:i/>
          <w:sz w:val="20"/>
        </w:rPr>
        <w:t>605,</w:t>
      </w:r>
      <w:r>
        <w:rPr>
          <w:rFonts w:ascii="Arial" w:hAnsi="Arial"/>
          <w:i/>
          <w:spacing w:val="6"/>
          <w:sz w:val="20"/>
        </w:rPr>
        <w:t> </w:t>
      </w:r>
      <w:r>
        <w:rPr>
          <w:rFonts w:ascii="Arial" w:hAnsi="Arial"/>
          <w:i/>
          <w:sz w:val="20"/>
        </w:rPr>
        <w:t>635</w:t>
      </w:r>
      <w:r>
        <w:rPr>
          <w:sz w:val="20"/>
        </w:rPr>
        <w:t>;</w:t>
      </w:r>
      <w:r>
        <w:rPr>
          <w:spacing w:val="6"/>
          <w:sz w:val="20"/>
        </w:rPr>
        <w:t> </w:t>
      </w:r>
      <w:r>
        <w:rPr>
          <w:rFonts w:ascii="Arial" w:hAnsi="Arial"/>
          <w:i/>
          <w:spacing w:val="-2"/>
          <w:sz w:val="20"/>
        </w:rPr>
        <w:t>Murphy</w:t>
      </w:r>
    </w:p>
    <w:p>
      <w:pPr>
        <w:spacing w:line="224" w:lineRule="exact" w:before="0"/>
        <w:ind w:left="705" w:right="0" w:firstLine="0"/>
        <w:jc w:val="both"/>
        <w:rPr>
          <w:sz w:val="20"/>
        </w:rPr>
      </w:pPr>
      <w:r>
        <w:rPr>
          <w:rFonts w:ascii="Arial"/>
          <w:i/>
          <w:sz w:val="20"/>
        </w:rPr>
        <w:t>v Brentwood DC [1991] 1 A.C. 398, </w:t>
      </w:r>
      <w:r>
        <w:rPr>
          <w:rFonts w:ascii="Arial"/>
          <w:i/>
          <w:spacing w:val="-4"/>
          <w:sz w:val="20"/>
        </w:rPr>
        <w:t>486</w:t>
      </w:r>
      <w:r>
        <w:rPr>
          <w:spacing w:val="-4"/>
          <w:sz w:val="20"/>
        </w:rPr>
        <w:t>.</w:t>
      </w:r>
    </w:p>
    <w:p>
      <w:pPr>
        <w:pStyle w:val="BodyText"/>
        <w:spacing w:before="8"/>
      </w:pPr>
    </w:p>
    <w:p>
      <w:pPr>
        <w:spacing w:line="235" w:lineRule="auto" w:before="0"/>
        <w:ind w:left="705" w:right="168" w:hanging="541"/>
        <w:jc w:val="both"/>
        <w:rPr>
          <w:sz w:val="20"/>
        </w:rPr>
      </w:pPr>
      <w:bookmarkStart w:name="_bookmark399" w:id="401"/>
      <w:bookmarkEnd w:id="401"/>
      <w:r>
        <w:rPr/>
      </w:r>
      <w:hyperlink w:history="true" w:anchor="_bookmark273">
        <w:r>
          <w:rPr>
            <w:color w:val="005DA1"/>
            <w:position w:val="5"/>
            <w:sz w:val="14"/>
            <w:u w:val="single" w:color="005DA1"/>
          </w:rPr>
          <w:t>151</w:t>
        </w:r>
      </w:hyperlink>
      <w:r>
        <w:rPr>
          <w:position w:val="5"/>
          <w:sz w:val="14"/>
        </w:rPr>
        <w:t>.</w:t>
      </w:r>
      <w:r>
        <w:rPr>
          <w:spacing w:val="80"/>
          <w:w w:val="150"/>
          <w:position w:val="5"/>
          <w:sz w:val="14"/>
        </w:rPr>
        <w:t> </w:t>
      </w:r>
      <w:r>
        <w:rPr>
          <w:sz w:val="20"/>
        </w:rPr>
        <w:t>See</w:t>
      </w:r>
      <w:r>
        <w:rPr>
          <w:spacing w:val="40"/>
          <w:sz w:val="20"/>
        </w:rPr>
        <w:t> </w:t>
      </w:r>
      <w:r>
        <w:rPr>
          <w:sz w:val="20"/>
        </w:rPr>
        <w:t>the</w:t>
      </w:r>
      <w:r>
        <w:rPr>
          <w:spacing w:val="40"/>
          <w:sz w:val="20"/>
        </w:rPr>
        <w:t> </w:t>
      </w:r>
      <w:r>
        <w:rPr>
          <w:sz w:val="20"/>
        </w:rPr>
        <w:t>authorities</w:t>
      </w:r>
      <w:r>
        <w:rPr>
          <w:spacing w:val="40"/>
          <w:sz w:val="20"/>
        </w:rPr>
        <w:t> </w:t>
      </w:r>
      <w:r>
        <w:rPr>
          <w:sz w:val="20"/>
        </w:rPr>
        <w:t>cited</w:t>
      </w:r>
      <w:r>
        <w:rPr>
          <w:spacing w:val="40"/>
          <w:sz w:val="20"/>
        </w:rPr>
        <w:t> </w:t>
      </w:r>
      <w:r>
        <w:rPr>
          <w:sz w:val="20"/>
        </w:rPr>
        <w:t>in</w:t>
      </w:r>
      <w:r>
        <w:rPr>
          <w:spacing w:val="40"/>
          <w:sz w:val="20"/>
        </w:rPr>
        <w:t> </w:t>
      </w:r>
      <w:r>
        <w:rPr>
          <w:sz w:val="20"/>
        </w:rPr>
        <w:t>n.146,</w:t>
      </w:r>
      <w:r>
        <w:rPr>
          <w:spacing w:val="40"/>
          <w:sz w:val="20"/>
        </w:rPr>
        <w:t> </w:t>
      </w:r>
      <w:r>
        <w:rPr>
          <w:sz w:val="20"/>
        </w:rPr>
        <w:t>above;</w:t>
      </w:r>
      <w:r>
        <w:rPr>
          <w:spacing w:val="40"/>
          <w:sz w:val="20"/>
        </w:rPr>
        <w:t> </w:t>
      </w:r>
      <w:r>
        <w:rPr>
          <w:sz w:val="20"/>
        </w:rPr>
        <w:t>cf.</w:t>
      </w:r>
      <w:r>
        <w:rPr>
          <w:spacing w:val="40"/>
          <w:sz w:val="20"/>
        </w:rPr>
        <w:t> </w:t>
      </w:r>
      <w:r>
        <w:rPr>
          <w:rFonts w:ascii="Arial" w:hAnsi="Arial"/>
          <w:i/>
          <w:sz w:val="20"/>
        </w:rPr>
        <w:t>VTB</w:t>
      </w:r>
      <w:r>
        <w:rPr>
          <w:rFonts w:ascii="Arial" w:hAnsi="Arial"/>
          <w:i/>
          <w:spacing w:val="40"/>
          <w:sz w:val="20"/>
        </w:rPr>
        <w:t> </w:t>
      </w:r>
      <w:r>
        <w:rPr>
          <w:rFonts w:ascii="Arial" w:hAnsi="Arial"/>
          <w:i/>
          <w:sz w:val="20"/>
        </w:rPr>
        <w:t>Capital</w:t>
      </w:r>
      <w:r>
        <w:rPr>
          <w:rFonts w:ascii="Arial" w:hAnsi="Arial"/>
          <w:i/>
          <w:spacing w:val="40"/>
          <w:sz w:val="20"/>
        </w:rPr>
        <w:t> </w:t>
      </w:r>
      <w:r>
        <w:rPr>
          <w:rFonts w:ascii="Arial" w:hAnsi="Arial"/>
          <w:i/>
          <w:sz w:val="20"/>
        </w:rPr>
        <w:t>plc</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Nutritek</w:t>
      </w:r>
      <w:r>
        <w:rPr>
          <w:rFonts w:ascii="Arial" w:hAnsi="Arial"/>
          <w:i/>
          <w:spacing w:val="40"/>
          <w:sz w:val="20"/>
        </w:rPr>
        <w:t> </w:t>
      </w:r>
      <w:r>
        <w:rPr>
          <w:rFonts w:ascii="Arial" w:hAnsi="Arial"/>
          <w:i/>
          <w:sz w:val="20"/>
        </w:rPr>
        <w:t>International Corporation [2013] UKSC 5, [2013] 2 A.C. 337 </w:t>
      </w:r>
      <w:r>
        <w:rPr>
          <w:sz w:val="20"/>
        </w:rPr>
        <w:t>at [139], quoted below in para.18-139 </w:t>
      </w:r>
      <w:r>
        <w:rPr>
          <w:sz w:val="20"/>
        </w:rPr>
        <w:t>n.779; contrast </w:t>
      </w:r>
      <w:r>
        <w:rPr>
          <w:rFonts w:ascii="Arial" w:hAnsi="Arial"/>
          <w:i/>
          <w:sz w:val="20"/>
        </w:rPr>
        <w:t>Gran Gelato Ltd v Richcliff Group Ltd [1992] Ch. 560 </w:t>
      </w:r>
      <w:r>
        <w:rPr>
          <w:sz w:val="20"/>
        </w:rPr>
        <w:t>(vendor’s solicitor not liable to purchaser for negligently representing his client’s state of mind).</w:t>
      </w:r>
    </w:p>
    <w:p>
      <w:pPr>
        <w:pStyle w:val="BodyText"/>
        <w:spacing w:before="8"/>
      </w:pPr>
    </w:p>
    <w:p>
      <w:pPr>
        <w:spacing w:line="235" w:lineRule="auto" w:before="0"/>
        <w:ind w:left="705" w:right="167" w:hanging="541"/>
        <w:jc w:val="both"/>
        <w:rPr>
          <w:sz w:val="20"/>
        </w:rPr>
      </w:pPr>
      <w:bookmarkStart w:name="_bookmark400" w:id="402"/>
      <w:bookmarkEnd w:id="402"/>
      <w:r>
        <w:rPr/>
      </w:r>
      <w:hyperlink w:history="true" w:anchor="_bookmark274">
        <w:r>
          <w:rPr>
            <w:color w:val="005DA1"/>
            <w:position w:val="5"/>
            <w:sz w:val="14"/>
            <w:u w:val="single" w:color="005DA1"/>
          </w:rPr>
          <w:t>152</w:t>
        </w:r>
      </w:hyperlink>
      <w:r>
        <w:rPr>
          <w:position w:val="5"/>
          <w:sz w:val="14"/>
        </w:rPr>
        <w:t>.</w:t>
      </w:r>
      <w:r>
        <w:rPr>
          <w:spacing w:val="80"/>
          <w:position w:val="5"/>
          <w:sz w:val="14"/>
        </w:rPr>
        <w:t>  </w:t>
      </w:r>
      <w:r>
        <w:rPr>
          <w:sz w:val="20"/>
        </w:rPr>
        <w:t>See the overruling of </w:t>
      </w:r>
      <w:r>
        <w:rPr>
          <w:rFonts w:ascii="Arial"/>
          <w:i/>
          <w:sz w:val="20"/>
        </w:rPr>
        <w:t>Candler v Crane Christmas &amp; Co [1951] 2 K.B. 164 </w:t>
      </w:r>
      <w:r>
        <w:rPr>
          <w:sz w:val="20"/>
        </w:rPr>
        <w:t>in </w:t>
      </w:r>
      <w:r>
        <w:rPr>
          <w:rFonts w:ascii="Arial"/>
          <w:i/>
          <w:sz w:val="20"/>
        </w:rPr>
        <w:t>Hedley Byrne v Heller &amp; Partners Ltd [1964] A.C. 465</w:t>
      </w:r>
      <w:r>
        <w:rPr>
          <w:sz w:val="20"/>
        </w:rPr>
        <w:t>; cf. </w:t>
      </w:r>
      <w:r>
        <w:rPr>
          <w:rFonts w:ascii="Arial"/>
          <w:i/>
          <w:sz w:val="20"/>
        </w:rPr>
        <w:t>Caparo Industries plc v Dickman [1990] 2 A.C. 605, 625</w:t>
      </w:r>
      <w:r>
        <w:rPr>
          <w:sz w:val="20"/>
        </w:rPr>
        <w:t>; </w:t>
      </w:r>
      <w:r>
        <w:rPr>
          <w:rFonts w:ascii="Arial"/>
          <w:i/>
          <w:sz w:val="20"/>
        </w:rPr>
        <w:t>Morgan Crucible Co plc v Hill Samuel Bank plc [1991] Ch. 295</w:t>
      </w:r>
      <w:r>
        <w:rPr>
          <w:sz w:val="20"/>
        </w:rPr>
        <w:t>; </w:t>
      </w:r>
      <w:r>
        <w:rPr>
          <w:rFonts w:ascii="Arial"/>
          <w:i/>
          <w:sz w:val="20"/>
        </w:rPr>
        <w:t>Killick v Pricewaterhouse Coopers [2001] 1 B.C.L.C. 65</w:t>
      </w:r>
      <w:r>
        <w:rPr>
          <w:sz w:val="20"/>
        </w:rPr>
        <w:t>; </w:t>
      </w:r>
      <w:r>
        <w:rPr>
          <w:rFonts w:ascii="Arial"/>
          <w:i/>
          <w:sz w:val="20"/>
        </w:rPr>
        <w:t>Law Society v KPMG Peat Marwick [2000] 1 W.L.R. 1921 </w:t>
      </w:r>
      <w:r>
        <w:rPr>
          <w:sz w:val="20"/>
        </w:rPr>
        <w:t>(accountants employed by solicitors held to owe a duty of care to Law Society as trustee of </w:t>
      </w:r>
      <w:r>
        <w:rPr>
          <w:sz w:val="20"/>
        </w:rPr>
        <w:t>its compensation fund); contrast </w:t>
      </w:r>
      <w:r>
        <w:rPr>
          <w:rFonts w:ascii="Arial"/>
          <w:i/>
          <w:sz w:val="20"/>
        </w:rPr>
        <w:t>James McNaughton Paper Group v Hicks Anderson &amp; Co [1991]</w:t>
      </w:r>
      <w:r>
        <w:rPr>
          <w:rFonts w:ascii="Arial"/>
          <w:i/>
          <w:spacing w:val="40"/>
          <w:sz w:val="20"/>
        </w:rPr>
        <w:t> </w:t>
      </w:r>
      <w:r>
        <w:rPr>
          <w:rFonts w:ascii="Arial"/>
          <w:i/>
          <w:sz w:val="20"/>
        </w:rPr>
        <w:t>2 Q.B. 113</w:t>
      </w:r>
      <w:r>
        <w:rPr>
          <w:sz w:val="20"/>
        </w:rPr>
        <w:t>, where the circumstances in which the report was prepared negatived the duty.</w:t>
      </w:r>
    </w:p>
    <w:p>
      <w:pPr>
        <w:pStyle w:val="BodyText"/>
        <w:spacing w:before="4"/>
      </w:pPr>
    </w:p>
    <w:p>
      <w:pPr>
        <w:pStyle w:val="BodyText"/>
        <w:tabs>
          <w:tab w:pos="705" w:val="left" w:leader="none"/>
        </w:tabs>
        <w:ind w:left="165"/>
      </w:pPr>
      <w:bookmarkStart w:name="_bookmark401" w:id="403"/>
      <w:bookmarkEnd w:id="403"/>
      <w:r>
        <w:rPr/>
      </w:r>
      <w:hyperlink w:history="true" w:anchor="_bookmark275">
        <w:r>
          <w:rPr>
            <w:color w:val="005DA1"/>
            <w:spacing w:val="-4"/>
            <w:position w:val="5"/>
            <w:sz w:val="14"/>
            <w:u w:val="single" w:color="005DA1"/>
          </w:rPr>
          <w:t>153</w:t>
        </w:r>
      </w:hyperlink>
      <w:r>
        <w:rPr>
          <w:spacing w:val="-4"/>
          <w:position w:val="5"/>
          <w:sz w:val="14"/>
        </w:rPr>
        <w:t>.</w:t>
      </w:r>
      <w:r>
        <w:rPr>
          <w:position w:val="5"/>
          <w:sz w:val="14"/>
        </w:rPr>
        <w:tab/>
      </w:r>
      <w:r>
        <w:rPr/>
        <w:t>Above, paras 7-086 to 7-</w:t>
      </w:r>
      <w:r>
        <w:rPr>
          <w:spacing w:val="-4"/>
        </w:rPr>
        <w:t>094.</w:t>
      </w:r>
    </w:p>
    <w:p>
      <w:pPr>
        <w:pStyle w:val="BodyText"/>
        <w:spacing w:before="5"/>
      </w:pPr>
    </w:p>
    <w:p>
      <w:pPr>
        <w:tabs>
          <w:tab w:pos="705" w:val="left" w:leader="none"/>
        </w:tabs>
        <w:spacing w:line="227" w:lineRule="exact" w:before="0"/>
        <w:ind w:left="165" w:right="0" w:firstLine="0"/>
        <w:jc w:val="left"/>
        <w:rPr>
          <w:sz w:val="20"/>
        </w:rPr>
      </w:pPr>
      <w:bookmarkStart w:name="_bookmark402" w:id="404"/>
      <w:bookmarkEnd w:id="404"/>
      <w:r>
        <w:rPr/>
      </w:r>
      <w:hyperlink w:history="true" w:anchor="_bookmark276">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[1983]</w:t>
      </w:r>
      <w:r>
        <w:rPr>
          <w:rFonts w:ascii="Arial"/>
          <w:i/>
          <w:spacing w:val="15"/>
          <w:sz w:val="20"/>
        </w:rPr>
        <w:t> </w:t>
      </w:r>
      <w:r>
        <w:rPr>
          <w:rFonts w:ascii="Arial"/>
          <w:i/>
          <w:sz w:val="20"/>
        </w:rPr>
        <w:t>1</w:t>
      </w:r>
      <w:r>
        <w:rPr>
          <w:rFonts w:ascii="Arial"/>
          <w:i/>
          <w:spacing w:val="16"/>
          <w:sz w:val="20"/>
        </w:rPr>
        <w:t> </w:t>
      </w:r>
      <w:r>
        <w:rPr>
          <w:rFonts w:ascii="Arial"/>
          <w:i/>
          <w:sz w:val="20"/>
        </w:rPr>
        <w:t>A.C.</w:t>
      </w:r>
      <w:r>
        <w:rPr>
          <w:rFonts w:ascii="Arial"/>
          <w:i/>
          <w:spacing w:val="16"/>
          <w:sz w:val="20"/>
        </w:rPr>
        <w:t> </w:t>
      </w:r>
      <w:r>
        <w:rPr>
          <w:rFonts w:ascii="Arial"/>
          <w:i/>
          <w:sz w:val="20"/>
        </w:rPr>
        <w:t>520</w:t>
      </w:r>
      <w:r>
        <w:rPr>
          <w:sz w:val="20"/>
        </w:rPr>
        <w:t>;</w:t>
      </w:r>
      <w:r>
        <w:rPr>
          <w:spacing w:val="16"/>
          <w:sz w:val="20"/>
        </w:rPr>
        <w:t> </w:t>
      </w:r>
      <w:r>
        <w:rPr>
          <w:sz w:val="20"/>
        </w:rPr>
        <w:t>Jaffey</w:t>
      </w:r>
      <w:r>
        <w:rPr>
          <w:spacing w:val="16"/>
          <w:sz w:val="20"/>
        </w:rPr>
        <w:t> </w:t>
      </w:r>
      <w:r>
        <w:rPr>
          <w:sz w:val="20"/>
        </w:rPr>
        <w:t>[1983]</w:t>
      </w:r>
      <w:r>
        <w:rPr>
          <w:spacing w:val="16"/>
          <w:sz w:val="20"/>
        </w:rPr>
        <w:t> </w:t>
      </w:r>
      <w:r>
        <w:rPr>
          <w:sz w:val="20"/>
        </w:rPr>
        <w:t>C.L.J.</w:t>
      </w:r>
      <w:r>
        <w:rPr>
          <w:spacing w:val="16"/>
          <w:sz w:val="20"/>
        </w:rPr>
        <w:t> </w:t>
      </w:r>
      <w:r>
        <w:rPr>
          <w:sz w:val="20"/>
        </w:rPr>
        <w:t>37;</w:t>
      </w:r>
      <w:r>
        <w:rPr>
          <w:spacing w:val="16"/>
          <w:sz w:val="20"/>
        </w:rPr>
        <w:t> </w:t>
      </w:r>
      <w:r>
        <w:rPr>
          <w:sz w:val="20"/>
        </w:rPr>
        <w:t>Palmer</w:t>
      </w:r>
      <w:r>
        <w:rPr>
          <w:spacing w:val="16"/>
          <w:sz w:val="20"/>
        </w:rPr>
        <w:t> </w:t>
      </w:r>
      <w:r>
        <w:rPr>
          <w:sz w:val="20"/>
        </w:rPr>
        <w:t>and</w:t>
      </w:r>
      <w:r>
        <w:rPr>
          <w:spacing w:val="16"/>
          <w:sz w:val="20"/>
        </w:rPr>
        <w:t> </w:t>
      </w:r>
      <w:r>
        <w:rPr>
          <w:sz w:val="20"/>
        </w:rPr>
        <w:t>Murdoch</w:t>
      </w:r>
      <w:r>
        <w:rPr>
          <w:spacing w:val="16"/>
          <w:sz w:val="20"/>
        </w:rPr>
        <w:t> </w:t>
      </w:r>
      <w:r>
        <w:rPr>
          <w:sz w:val="20"/>
        </w:rPr>
        <w:t>(1983)</w:t>
      </w:r>
      <w:r>
        <w:rPr>
          <w:spacing w:val="16"/>
          <w:sz w:val="20"/>
        </w:rPr>
        <w:t> </w:t>
      </w:r>
      <w:r>
        <w:rPr>
          <w:sz w:val="20"/>
        </w:rPr>
        <w:t>46</w:t>
      </w:r>
      <w:r>
        <w:rPr>
          <w:spacing w:val="16"/>
          <w:sz w:val="20"/>
        </w:rPr>
        <w:t> </w:t>
      </w:r>
      <w:r>
        <w:rPr>
          <w:sz w:val="20"/>
        </w:rPr>
        <w:t>M.L.R.</w:t>
      </w:r>
      <w:r>
        <w:rPr>
          <w:spacing w:val="16"/>
          <w:sz w:val="20"/>
        </w:rPr>
        <w:t> </w:t>
      </w:r>
      <w:r>
        <w:rPr>
          <w:sz w:val="20"/>
        </w:rPr>
        <w:t>213;</w:t>
      </w:r>
      <w:r>
        <w:rPr>
          <w:spacing w:val="16"/>
          <w:sz w:val="20"/>
        </w:rPr>
        <w:t> </w:t>
      </w:r>
      <w:r>
        <w:rPr>
          <w:spacing w:val="-2"/>
          <w:sz w:val="20"/>
        </w:rPr>
        <w:t>Jaffey</w:t>
      </w:r>
    </w:p>
    <w:p>
      <w:pPr>
        <w:pStyle w:val="BodyText"/>
        <w:spacing w:line="225" w:lineRule="exact"/>
        <w:ind w:left="705"/>
      </w:pPr>
      <w:r>
        <w:rPr/>
        <w:t>(1985)</w:t>
      </w:r>
      <w:r>
        <w:rPr>
          <w:spacing w:val="20"/>
        </w:rPr>
        <w:t> </w:t>
      </w:r>
      <w:r>
        <w:rPr/>
        <w:t>5</w:t>
      </w:r>
      <w:r>
        <w:rPr>
          <w:spacing w:val="20"/>
        </w:rPr>
        <w:t> </w:t>
      </w:r>
      <w:r>
        <w:rPr/>
        <w:t>L.S.</w:t>
      </w:r>
      <w:r>
        <w:rPr>
          <w:spacing w:val="20"/>
        </w:rPr>
        <w:t> </w:t>
      </w:r>
      <w:r>
        <w:rPr/>
        <w:t>77;</w:t>
      </w:r>
      <w:r>
        <w:rPr>
          <w:spacing w:val="20"/>
        </w:rPr>
        <w:t> </w:t>
      </w:r>
      <w:r>
        <w:rPr/>
        <w:t>Reynolds</w:t>
      </w:r>
      <w:r>
        <w:rPr>
          <w:spacing w:val="20"/>
        </w:rPr>
        <w:t> </w:t>
      </w:r>
      <w:r>
        <w:rPr/>
        <w:t>(1985)</w:t>
      </w:r>
      <w:r>
        <w:rPr>
          <w:spacing w:val="20"/>
        </w:rPr>
        <w:t> </w:t>
      </w:r>
      <w:r>
        <w:rPr/>
        <w:t>11</w:t>
      </w:r>
      <w:r>
        <w:rPr>
          <w:spacing w:val="20"/>
        </w:rPr>
        <w:t> </w:t>
      </w:r>
      <w:r>
        <w:rPr/>
        <w:t>N.Z.U.L.R.</w:t>
      </w:r>
      <w:r>
        <w:rPr>
          <w:spacing w:val="20"/>
        </w:rPr>
        <w:t> </w:t>
      </w:r>
      <w:r>
        <w:rPr/>
        <w:t>215;</w:t>
      </w:r>
      <w:r>
        <w:rPr>
          <w:spacing w:val="20"/>
        </w:rPr>
        <w:t> </w:t>
      </w:r>
      <w:r>
        <w:rPr/>
        <w:t>Stapleton</w:t>
      </w:r>
      <w:r>
        <w:rPr>
          <w:spacing w:val="20"/>
        </w:rPr>
        <w:t> </w:t>
      </w:r>
      <w:r>
        <w:rPr/>
        <w:t>(1988)</w:t>
      </w:r>
      <w:r>
        <w:rPr>
          <w:spacing w:val="20"/>
        </w:rPr>
        <w:t> </w:t>
      </w:r>
      <w:r>
        <w:rPr/>
        <w:t>104</w:t>
      </w:r>
      <w:r>
        <w:rPr>
          <w:spacing w:val="20"/>
        </w:rPr>
        <w:t> </w:t>
      </w:r>
      <w:r>
        <w:rPr/>
        <w:t>L.Q.R.</w:t>
      </w:r>
      <w:r>
        <w:rPr>
          <w:spacing w:val="20"/>
        </w:rPr>
        <w:t> </w:t>
      </w:r>
      <w:r>
        <w:rPr/>
        <w:t>213,</w:t>
      </w:r>
      <w:r>
        <w:rPr>
          <w:spacing w:val="20"/>
        </w:rPr>
        <w:t> </w:t>
      </w:r>
      <w:r>
        <w:rPr>
          <w:spacing w:val="-4"/>
        </w:rPr>
        <w:t>389;</w:t>
      </w:r>
    </w:p>
    <w:p>
      <w:pPr>
        <w:pStyle w:val="BodyText"/>
        <w:spacing w:line="235" w:lineRule="auto" w:before="1"/>
        <w:ind w:left="705"/>
      </w:pPr>
      <w:r>
        <w:rPr/>
        <w:t>Huxley (1990) 53 M.L.R. 361; Beyleveld and Brownsword (1991) 54 M.L.R. 48. The Contracts (Rights of Third Parties) Act 1999 would probably not apply on such facts: below para.18-096.</w:t>
      </w:r>
    </w:p>
    <w:p>
      <w:pPr>
        <w:pStyle w:val="BodyText"/>
        <w:spacing w:before="6"/>
      </w:pPr>
    </w:p>
    <w:p>
      <w:pPr>
        <w:spacing w:line="227" w:lineRule="exact" w:before="0"/>
        <w:ind w:left="165" w:right="0" w:firstLine="0"/>
        <w:jc w:val="both"/>
        <w:rPr>
          <w:rFonts w:ascii="Arial"/>
          <w:i/>
          <w:sz w:val="20"/>
        </w:rPr>
      </w:pPr>
      <w:bookmarkStart w:name="_bookmark403" w:id="405"/>
      <w:bookmarkEnd w:id="405"/>
      <w:r>
        <w:rPr/>
      </w:r>
      <w:hyperlink w:history="true" w:anchor="_bookmark277">
        <w:r>
          <w:rPr>
            <w:color w:val="005DA1"/>
            <w:position w:val="5"/>
            <w:sz w:val="14"/>
            <w:u w:val="single" w:color="005DA1"/>
          </w:rPr>
          <w:t>155</w:t>
        </w:r>
      </w:hyperlink>
      <w:r>
        <w:rPr>
          <w:position w:val="5"/>
          <w:sz w:val="14"/>
        </w:rPr>
        <w:t>.</w:t>
      </w:r>
      <w:r>
        <w:rPr>
          <w:spacing w:val="75"/>
          <w:w w:val="150"/>
          <w:position w:val="5"/>
          <w:sz w:val="14"/>
        </w:rPr>
        <w:t>  </w:t>
      </w:r>
      <w:r>
        <w:rPr>
          <w:sz w:val="20"/>
        </w:rPr>
        <w:t>In</w:t>
      </w:r>
      <w:r>
        <w:rPr>
          <w:spacing w:val="5"/>
          <w:sz w:val="20"/>
        </w:rPr>
        <w:t> </w:t>
      </w:r>
      <w:r>
        <w:rPr>
          <w:rFonts w:ascii="Arial"/>
          <w:i/>
          <w:sz w:val="20"/>
        </w:rPr>
        <w:t>Greater</w:t>
      </w:r>
      <w:r>
        <w:rPr>
          <w:rFonts w:ascii="Arial"/>
          <w:i/>
          <w:spacing w:val="5"/>
          <w:sz w:val="20"/>
        </w:rPr>
        <w:t> </w:t>
      </w:r>
      <w:r>
        <w:rPr>
          <w:rFonts w:ascii="Arial"/>
          <w:i/>
          <w:sz w:val="20"/>
        </w:rPr>
        <w:t>Nottingham</w:t>
      </w:r>
      <w:r>
        <w:rPr>
          <w:rFonts w:ascii="Arial"/>
          <w:i/>
          <w:spacing w:val="5"/>
          <w:sz w:val="20"/>
        </w:rPr>
        <w:t> </w:t>
      </w:r>
      <w:r>
        <w:rPr>
          <w:rFonts w:ascii="Arial"/>
          <w:i/>
          <w:sz w:val="20"/>
        </w:rPr>
        <w:t>Co-operative</w:t>
      </w:r>
      <w:r>
        <w:rPr>
          <w:rFonts w:ascii="Arial"/>
          <w:i/>
          <w:spacing w:val="5"/>
          <w:sz w:val="20"/>
        </w:rPr>
        <w:t> </w:t>
      </w:r>
      <w:r>
        <w:rPr>
          <w:rFonts w:ascii="Arial"/>
          <w:i/>
          <w:sz w:val="20"/>
        </w:rPr>
        <w:t>Society</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Cementation</w:t>
      </w:r>
      <w:r>
        <w:rPr>
          <w:rFonts w:ascii="Arial"/>
          <w:i/>
          <w:spacing w:val="5"/>
          <w:sz w:val="20"/>
        </w:rPr>
        <w:t> </w:t>
      </w:r>
      <w:r>
        <w:rPr>
          <w:rFonts w:ascii="Arial"/>
          <w:i/>
          <w:sz w:val="20"/>
        </w:rPr>
        <w:t>Piling</w:t>
      </w:r>
      <w:r>
        <w:rPr>
          <w:rFonts w:ascii="Arial"/>
          <w:i/>
          <w:spacing w:val="5"/>
          <w:sz w:val="20"/>
        </w:rPr>
        <w:t> </w:t>
      </w:r>
      <w:r>
        <w:rPr>
          <w:rFonts w:ascii="Arial"/>
          <w:i/>
          <w:sz w:val="20"/>
        </w:rPr>
        <w:t>&amp;</w:t>
      </w:r>
      <w:r>
        <w:rPr>
          <w:rFonts w:ascii="Arial"/>
          <w:i/>
          <w:spacing w:val="5"/>
          <w:sz w:val="20"/>
        </w:rPr>
        <w:t> </w:t>
      </w:r>
      <w:r>
        <w:rPr>
          <w:rFonts w:ascii="Arial"/>
          <w:i/>
          <w:sz w:val="20"/>
        </w:rPr>
        <w:t>Foundations</w:t>
      </w:r>
      <w:r>
        <w:rPr>
          <w:rFonts w:ascii="Arial"/>
          <w:i/>
          <w:spacing w:val="5"/>
          <w:sz w:val="20"/>
        </w:rPr>
        <w:t> </w:t>
      </w:r>
      <w:r>
        <w:rPr>
          <w:rFonts w:ascii="Arial"/>
          <w:i/>
          <w:sz w:val="20"/>
        </w:rPr>
        <w:t>Ltd</w:t>
      </w:r>
      <w:r>
        <w:rPr>
          <w:rFonts w:ascii="Arial"/>
          <w:i/>
          <w:spacing w:val="5"/>
          <w:sz w:val="20"/>
        </w:rPr>
        <w:t> </w:t>
      </w:r>
      <w:r>
        <w:rPr>
          <w:rFonts w:ascii="Arial"/>
          <w:i/>
          <w:spacing w:val="-2"/>
          <w:sz w:val="20"/>
        </w:rPr>
        <w:t>[1989]</w:t>
      </w:r>
    </w:p>
    <w:p>
      <w:pPr>
        <w:spacing w:line="235" w:lineRule="auto" w:before="1"/>
        <w:ind w:left="705" w:right="167" w:firstLine="0"/>
        <w:jc w:val="both"/>
        <w:rPr>
          <w:rFonts w:ascii="Arial" w:hAnsi="Arial"/>
          <w:i/>
          <w:sz w:val="20"/>
        </w:rPr>
      </w:pPr>
      <w:r>
        <w:rPr>
          <w:rFonts w:ascii="Arial" w:hAnsi="Arial"/>
          <w:i/>
          <w:sz w:val="20"/>
        </w:rPr>
        <w:t>Q.B. 71 </w:t>
      </w:r>
      <w:r>
        <w:rPr>
          <w:sz w:val="20"/>
        </w:rPr>
        <w:t>there was such a contract between A and C, and it was held that A’s duty to C was governed</w:t>
      </w:r>
      <w:r>
        <w:rPr>
          <w:spacing w:val="-1"/>
          <w:sz w:val="20"/>
        </w:rPr>
        <w:t> </w:t>
      </w:r>
      <w:r>
        <w:rPr>
          <w:sz w:val="20"/>
        </w:rPr>
        <w:t>by</w:t>
      </w:r>
      <w:r>
        <w:rPr>
          <w:spacing w:val="-1"/>
          <w:sz w:val="20"/>
        </w:rPr>
        <w:t> </w:t>
      </w:r>
      <w:r>
        <w:rPr>
          <w:sz w:val="20"/>
        </w:rPr>
        <w:t>that</w:t>
      </w:r>
      <w:r>
        <w:rPr>
          <w:spacing w:val="-1"/>
          <w:sz w:val="20"/>
        </w:rPr>
        <w:t> </w:t>
      </w:r>
      <w:r>
        <w:rPr>
          <w:sz w:val="20"/>
        </w:rPr>
        <w:t>contract</w:t>
      </w:r>
      <w:r>
        <w:rPr>
          <w:spacing w:val="-1"/>
          <w:sz w:val="20"/>
        </w:rPr>
        <w:t> </w:t>
      </w:r>
      <w:r>
        <w:rPr>
          <w:sz w:val="20"/>
        </w:rPr>
        <w:t>alone,</w:t>
      </w:r>
      <w:r>
        <w:rPr>
          <w:spacing w:val="-1"/>
          <w:sz w:val="20"/>
        </w:rPr>
        <w:t> </w:t>
      </w:r>
      <w:r>
        <w:rPr>
          <w:sz w:val="20"/>
        </w:rPr>
        <w:t>and</w:t>
      </w:r>
      <w:r>
        <w:rPr>
          <w:spacing w:val="-1"/>
          <w:sz w:val="20"/>
        </w:rPr>
        <w:t> </w:t>
      </w:r>
      <w:r>
        <w:rPr>
          <w:sz w:val="20"/>
        </w:rPr>
        <w:t>not</w:t>
      </w:r>
      <w:r>
        <w:rPr>
          <w:spacing w:val="-1"/>
          <w:sz w:val="20"/>
        </w:rPr>
        <w:t> </w:t>
      </w:r>
      <w:r>
        <w:rPr>
          <w:sz w:val="20"/>
        </w:rPr>
        <w:t>by</w:t>
      </w:r>
      <w:r>
        <w:rPr>
          <w:spacing w:val="-1"/>
          <w:sz w:val="20"/>
        </w:rPr>
        <w:t> </w:t>
      </w:r>
      <w:r>
        <w:rPr>
          <w:sz w:val="20"/>
        </w:rPr>
        <w:t>the</w:t>
      </w:r>
      <w:r>
        <w:rPr>
          <w:spacing w:val="-1"/>
          <w:sz w:val="20"/>
        </w:rPr>
        <w:t> </w:t>
      </w:r>
      <w:r>
        <w:rPr>
          <w:sz w:val="20"/>
        </w:rPr>
        <w:t>general</w:t>
      </w:r>
      <w:r>
        <w:rPr>
          <w:spacing w:val="-1"/>
          <w:sz w:val="20"/>
        </w:rPr>
        <w:t> </w:t>
      </w:r>
      <w:r>
        <w:rPr>
          <w:sz w:val="20"/>
        </w:rPr>
        <w:t>law</w:t>
      </w:r>
      <w:r>
        <w:rPr>
          <w:spacing w:val="-1"/>
          <w:sz w:val="20"/>
        </w:rPr>
        <w:t> </w:t>
      </w:r>
      <w:r>
        <w:rPr>
          <w:sz w:val="20"/>
        </w:rPr>
        <w:t>relating</w:t>
      </w:r>
      <w:r>
        <w:rPr>
          <w:spacing w:val="-1"/>
          <w:sz w:val="20"/>
        </w:rPr>
        <w:t> </w:t>
      </w:r>
      <w:r>
        <w:rPr>
          <w:sz w:val="20"/>
        </w:rPr>
        <w:t>to</w:t>
      </w:r>
      <w:r>
        <w:rPr>
          <w:spacing w:val="-1"/>
          <w:sz w:val="20"/>
        </w:rPr>
        <w:t> </w:t>
      </w:r>
      <w:r>
        <w:rPr>
          <w:sz w:val="20"/>
        </w:rPr>
        <w:t>the</w:t>
      </w:r>
      <w:r>
        <w:rPr>
          <w:spacing w:val="-1"/>
          <w:sz w:val="20"/>
        </w:rPr>
        <w:t> </w:t>
      </w:r>
      <w:r>
        <w:rPr>
          <w:sz w:val="20"/>
        </w:rPr>
        <w:t>tort</w:t>
      </w:r>
      <w:r>
        <w:rPr>
          <w:spacing w:val="-1"/>
          <w:sz w:val="20"/>
        </w:rPr>
        <w:t> </w:t>
      </w:r>
      <w:r>
        <w:rPr>
          <w:sz w:val="20"/>
        </w:rPr>
        <w:t>of</w:t>
      </w:r>
      <w:r>
        <w:rPr>
          <w:spacing w:val="-1"/>
          <w:sz w:val="20"/>
        </w:rPr>
        <w:t> </w:t>
      </w:r>
      <w:r>
        <w:rPr>
          <w:sz w:val="20"/>
        </w:rPr>
        <w:t>negligence;</w:t>
      </w:r>
      <w:r>
        <w:rPr>
          <w:spacing w:val="-1"/>
          <w:sz w:val="20"/>
        </w:rPr>
        <w:t> </w:t>
      </w:r>
      <w:r>
        <w:rPr>
          <w:sz w:val="20"/>
        </w:rPr>
        <w:t>cf. </w:t>
      </w:r>
      <w:r>
        <w:rPr>
          <w:rFonts w:ascii="Arial" w:hAnsi="Arial"/>
          <w:i/>
          <w:sz w:val="20"/>
        </w:rPr>
        <w:t>Welsh Health Technical Services v Haden Young (1987) 37 Build.L.R. 130</w:t>
      </w:r>
      <w:r>
        <w:rPr>
          <w:sz w:val="20"/>
        </w:rPr>
        <w:t>; </w:t>
      </w:r>
      <w:r>
        <w:rPr>
          <w:rFonts w:ascii="Arial" w:hAnsi="Arial"/>
          <w:i/>
          <w:sz w:val="20"/>
        </w:rPr>
        <w:t>Sonat Offshore SA</w:t>
      </w:r>
      <w:r>
        <w:rPr>
          <w:rFonts w:ascii="Arial" w:hAnsi="Arial"/>
          <w:i/>
          <w:spacing w:val="40"/>
          <w:sz w:val="20"/>
        </w:rPr>
        <w:t> </w:t>
      </w:r>
      <w:r>
        <w:rPr>
          <w:rFonts w:ascii="Arial" w:hAnsi="Arial"/>
          <w:i/>
          <w:sz w:val="20"/>
        </w:rPr>
        <w:t>v Amerada Hess Development Co [1988] 1 Lloyd’s Rep. 145, 159</w:t>
      </w:r>
      <w:r>
        <w:rPr>
          <w:sz w:val="20"/>
        </w:rPr>
        <w:t>; </w:t>
      </w:r>
      <w:r>
        <w:rPr>
          <w:rFonts w:ascii="Arial" w:hAnsi="Arial"/>
          <w:i/>
          <w:sz w:val="20"/>
        </w:rPr>
        <w:t>Red Sea Tankers Ltd v Papachristidis (The Hellespont Ardent) [1997] 2 Lloyd’s Rep. 547, 593</w:t>
      </w:r>
      <w:r>
        <w:rPr>
          <w:sz w:val="20"/>
        </w:rPr>
        <w:t>; </w:t>
      </w:r>
      <w:r>
        <w:rPr>
          <w:rFonts w:ascii="Arial" w:hAnsi="Arial"/>
          <w:i/>
          <w:sz w:val="20"/>
        </w:rPr>
        <w:t>Whitecap Leisure Ltd v John H Rundle [2008] EWCA Civ 429, [2008] 2 Lloyd’s Rep. 216 </w:t>
      </w:r>
      <w:r>
        <w:rPr>
          <w:sz w:val="20"/>
        </w:rPr>
        <w:t>at [53]–[55]; but it has </w:t>
      </w:r>
      <w:r>
        <w:rPr>
          <w:sz w:val="20"/>
        </w:rPr>
        <w:t>been recognised that breaches of duty arising out of certain contractual relationships may </w:t>
      </w:r>
      <w:r>
        <w:rPr>
          <w:sz w:val="20"/>
        </w:rPr>
        <w:t>be actionable in tort as well as in contract; see e.g. </w:t>
      </w:r>
      <w:r>
        <w:rPr>
          <w:rFonts w:ascii="Arial" w:hAnsi="Arial"/>
          <w:i/>
          <w:sz w:val="20"/>
        </w:rPr>
        <w:t>Forsikringsaktieselskapet Vesta v </w:t>
      </w:r>
      <w:r>
        <w:rPr>
          <w:rFonts w:ascii="Arial" w:hAnsi="Arial"/>
          <w:i/>
          <w:sz w:val="20"/>
        </w:rPr>
        <w:t>Butcher [1989] A.C. 852, 860</w:t>
      </w:r>
      <w:r>
        <w:rPr>
          <w:sz w:val="20"/>
        </w:rPr>
        <w:t>, affirmed, without reference to this point, ibid 880; cf. </w:t>
      </w:r>
      <w:r>
        <w:rPr>
          <w:rFonts w:ascii="Arial" w:hAnsi="Arial"/>
          <w:i/>
          <w:sz w:val="20"/>
        </w:rPr>
        <w:t>Nitrigin Eirann Teoranta v Inco Alloys Ltd [1992] 1 All E.R. 854, 856–857</w:t>
      </w:r>
      <w:r>
        <w:rPr>
          <w:sz w:val="20"/>
        </w:rPr>
        <w:t>; </w:t>
      </w:r>
      <w:r>
        <w:rPr>
          <w:rFonts w:ascii="Arial" w:hAnsi="Arial"/>
          <w:i/>
          <w:sz w:val="20"/>
        </w:rPr>
        <w:t>Saipem SpA v Dredging VO2 BV (The Volvox Hollandia) (No.2) [1993] 2 Lloyd’s Rep. 315, 322</w:t>
      </w:r>
      <w:r>
        <w:rPr>
          <w:sz w:val="20"/>
        </w:rPr>
        <w:t>; </w:t>
      </w:r>
      <w:r>
        <w:rPr>
          <w:rFonts w:ascii="Arial" w:hAnsi="Arial"/>
          <w:i/>
          <w:sz w:val="20"/>
        </w:rPr>
        <w:t>Henderson v Merrett Syndicates Ltd [1995] 2 A.C. 145</w:t>
      </w:r>
      <w:r>
        <w:rPr>
          <w:sz w:val="20"/>
        </w:rPr>
        <w:t>; </w:t>
      </w:r>
      <w:r>
        <w:rPr>
          <w:rFonts w:ascii="Arial" w:hAnsi="Arial"/>
          <w:i/>
          <w:sz w:val="20"/>
        </w:rPr>
        <w:t>Holt v Payne Skillington [1996] P.N.L.R. 179</w:t>
      </w:r>
      <w:r>
        <w:rPr>
          <w:sz w:val="20"/>
        </w:rPr>
        <w:t>; </w:t>
      </w:r>
      <w:r>
        <w:rPr>
          <w:rFonts w:ascii="Arial" w:hAnsi="Arial"/>
          <w:i/>
          <w:sz w:val="20"/>
        </w:rPr>
        <w:t>Sumitomo Bank Ltd v Banque Bruxelles Lambert SA [1997] 1 Lloyd’s Rep. 487, 512–514</w:t>
      </w:r>
      <w:r>
        <w:rPr>
          <w:sz w:val="20"/>
        </w:rPr>
        <w:t>; </w:t>
      </w:r>
      <w:r>
        <w:rPr>
          <w:rFonts w:ascii="Arial" w:hAnsi="Arial"/>
          <w:i/>
          <w:sz w:val="20"/>
        </w:rPr>
        <w:t>Weldon v GRE Linked Life Insurance Ltd [2002] 2 All E.R. (Comm) 914 </w:t>
      </w:r>
      <w:r>
        <w:rPr>
          <w:sz w:val="20"/>
        </w:rPr>
        <w:t>at 926–927; </w:t>
      </w:r>
      <w:r>
        <w:rPr>
          <w:rFonts w:ascii="Arial" w:hAnsi="Arial"/>
          <w:i/>
          <w:sz w:val="20"/>
        </w:rPr>
        <w:t>How Engineering Services Ltd v Southern</w:t>
      </w:r>
      <w:r>
        <w:rPr>
          <w:rFonts w:ascii="Arial" w:hAnsi="Arial"/>
          <w:i/>
          <w:spacing w:val="25"/>
          <w:sz w:val="20"/>
        </w:rPr>
        <w:t> </w:t>
      </w:r>
      <w:r>
        <w:rPr>
          <w:rFonts w:ascii="Arial" w:hAnsi="Arial"/>
          <w:i/>
          <w:sz w:val="20"/>
        </w:rPr>
        <w:t>Insulation</w:t>
      </w:r>
      <w:r>
        <w:rPr>
          <w:rFonts w:ascii="Arial" w:hAnsi="Arial"/>
          <w:i/>
          <w:spacing w:val="25"/>
          <w:sz w:val="20"/>
        </w:rPr>
        <w:t> </w:t>
      </w:r>
      <w:r>
        <w:rPr>
          <w:rFonts w:ascii="Arial" w:hAnsi="Arial"/>
          <w:i/>
          <w:sz w:val="20"/>
        </w:rPr>
        <w:t>(Medway)</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[2010]</w:t>
      </w:r>
      <w:r>
        <w:rPr>
          <w:rFonts w:ascii="Arial" w:hAnsi="Arial"/>
          <w:i/>
          <w:spacing w:val="25"/>
          <w:sz w:val="20"/>
        </w:rPr>
        <w:t> </w:t>
      </w:r>
      <w:r>
        <w:rPr>
          <w:rFonts w:ascii="Arial" w:hAnsi="Arial"/>
          <w:i/>
          <w:sz w:val="20"/>
        </w:rPr>
        <w:t>EWHC</w:t>
      </w:r>
      <w:r>
        <w:rPr>
          <w:rFonts w:ascii="Arial" w:hAnsi="Arial"/>
          <w:i/>
          <w:spacing w:val="25"/>
          <w:sz w:val="20"/>
        </w:rPr>
        <w:t> </w:t>
      </w:r>
      <w:r>
        <w:rPr>
          <w:rFonts w:ascii="Arial" w:hAnsi="Arial"/>
          <w:i/>
          <w:sz w:val="20"/>
        </w:rPr>
        <w:t>1878</w:t>
      </w:r>
      <w:r>
        <w:rPr>
          <w:rFonts w:ascii="Arial" w:hAnsi="Arial"/>
          <w:i/>
          <w:spacing w:val="25"/>
          <w:sz w:val="20"/>
        </w:rPr>
        <w:t> </w:t>
      </w:r>
      <w:r>
        <w:rPr>
          <w:rFonts w:ascii="Arial" w:hAnsi="Arial"/>
          <w:i/>
          <w:sz w:val="20"/>
        </w:rPr>
        <w:t>(TCC),</w:t>
      </w:r>
      <w:r>
        <w:rPr>
          <w:rFonts w:ascii="Arial" w:hAnsi="Arial"/>
          <w:i/>
          <w:spacing w:val="25"/>
          <w:sz w:val="20"/>
        </w:rPr>
        <w:t> </w:t>
      </w:r>
      <w:r>
        <w:rPr>
          <w:rFonts w:ascii="Arial" w:hAnsi="Arial"/>
          <w:i/>
          <w:sz w:val="20"/>
        </w:rPr>
        <w:t>[2010]</w:t>
      </w:r>
      <w:r>
        <w:rPr>
          <w:rFonts w:ascii="Arial" w:hAnsi="Arial"/>
          <w:i/>
          <w:spacing w:val="25"/>
          <w:sz w:val="20"/>
        </w:rPr>
        <w:t> </w:t>
      </w:r>
      <w:r>
        <w:rPr>
          <w:rFonts w:ascii="Arial" w:hAnsi="Arial"/>
          <w:i/>
          <w:sz w:val="20"/>
        </w:rPr>
        <w:t>B.L.R.</w:t>
      </w:r>
      <w:r>
        <w:rPr>
          <w:rFonts w:ascii="Arial" w:hAnsi="Arial"/>
          <w:i/>
          <w:spacing w:val="25"/>
          <w:sz w:val="20"/>
        </w:rPr>
        <w:t> </w:t>
      </w:r>
      <w:r>
        <w:rPr>
          <w:rFonts w:ascii="Arial" w:hAnsi="Arial"/>
          <w:i/>
          <w:sz w:val="20"/>
        </w:rPr>
        <w:t>537</w:t>
      </w:r>
      <w:r>
        <w:rPr>
          <w:rFonts w:ascii="Arial" w:hAnsi="Arial"/>
          <w:i/>
          <w:spacing w:val="24"/>
          <w:sz w:val="20"/>
        </w:rPr>
        <w:t> </w:t>
      </w:r>
      <w:r>
        <w:rPr>
          <w:sz w:val="20"/>
        </w:rPr>
        <w:t>at</w:t>
      </w:r>
      <w:r>
        <w:rPr>
          <w:spacing w:val="25"/>
          <w:sz w:val="20"/>
        </w:rPr>
        <w:t> </w:t>
      </w:r>
      <w:r>
        <w:rPr>
          <w:sz w:val="20"/>
        </w:rPr>
        <w:t>[22];</w:t>
      </w:r>
      <w:r>
        <w:rPr>
          <w:spacing w:val="25"/>
          <w:sz w:val="20"/>
        </w:rPr>
        <w:t> </w:t>
      </w:r>
      <w:r>
        <w:rPr>
          <w:rFonts w:ascii="Arial" w:hAnsi="Arial"/>
          <w:i/>
          <w:spacing w:val="-5"/>
          <w:sz w:val="20"/>
        </w:rPr>
        <w:t>ST</w:t>
      </w:r>
      <w:r>
        <w:rPr>
          <w:rFonts w:ascii="Arial" w:hAnsi="Arial"/>
          <w:i/>
          <w:spacing w:val="-5"/>
          <w:sz w:val="20"/>
        </w:rPr>
        <w:t>V</w:t>
      </w:r>
    </w:p>
    <w:p>
      <w:pPr>
        <w:spacing w:after="0" w:line="235" w:lineRule="auto"/>
        <w:jc w:val="both"/>
        <w:rPr>
          <w:rFonts w:ascii="Arial" w:hAnsi="Arial"/>
          <w:i/>
          <w:sz w:val="20"/>
        </w:rPr>
        <w:sectPr>
          <w:pgSz w:w="11900" w:h="16840"/>
          <w:pgMar w:header="971" w:footer="0" w:top="1160" w:bottom="280" w:left="1275" w:right="1275"/>
        </w:sectPr>
      </w:pPr>
    </w:p>
    <w:p>
      <w:pPr>
        <w:pStyle w:val="BodyText"/>
        <w:spacing w:before="24"/>
        <w:rPr>
          <w:rFonts w:ascii="Arial"/>
          <w:i/>
        </w:rPr>
      </w:pPr>
    </w:p>
    <w:p>
      <w:pPr>
        <w:spacing w:line="235" w:lineRule="auto" w:before="1"/>
        <w:ind w:left="705" w:right="167" w:firstLine="0"/>
        <w:jc w:val="both"/>
        <w:rPr>
          <w:sz w:val="20"/>
        </w:rPr>
      </w:pPr>
      <w:r>
        <w:rPr>
          <w:rFonts w:ascii="Arial"/>
          <w:i/>
          <w:sz w:val="20"/>
        </w:rPr>
        <w:t>Central Ltd v Semple Fraser LLP [2015] CSIH 35, 2015 S.L.T. 313 </w:t>
      </w:r>
      <w:r>
        <w:rPr>
          <w:sz w:val="20"/>
        </w:rPr>
        <w:t>at [22] (contract), [27] (delict); the same is true in the relationships described at nn.139 and 140 above. In </w:t>
      </w:r>
      <w:r>
        <w:rPr>
          <w:rFonts w:ascii="Arial"/>
          <w:i/>
          <w:sz w:val="20"/>
        </w:rPr>
        <w:t>Sunny</w:t>
      </w:r>
      <w:r>
        <w:rPr>
          <w:rFonts w:ascii="Arial"/>
          <w:i/>
          <w:spacing w:val="40"/>
          <w:sz w:val="20"/>
        </w:rPr>
        <w:t> </w:t>
      </w:r>
      <w:r>
        <w:rPr>
          <w:rFonts w:ascii="Arial"/>
          <w:i/>
          <w:sz w:val="20"/>
        </w:rPr>
        <w:t>Metal and Engineering Pte Ltd v Ng Khim Ming Eric (2006) 110 Con. L.R. 115 </w:t>
      </w:r>
      <w:r>
        <w:rPr>
          <w:sz w:val="20"/>
        </w:rPr>
        <w:t>a subcontractor who had entered into a contract not only with the main contractor but also with the owner </w:t>
      </w:r>
      <w:r>
        <w:rPr>
          <w:sz w:val="20"/>
        </w:rPr>
        <w:t>was said to owe a duty of care to the latter in both contract and tort (High Court of Singapore).</w:t>
      </w:r>
    </w:p>
    <w:p>
      <w:pPr>
        <w:pStyle w:val="BodyText"/>
        <w:spacing w:before="8"/>
      </w:pPr>
    </w:p>
    <w:p>
      <w:pPr>
        <w:spacing w:line="235" w:lineRule="auto" w:before="0"/>
        <w:ind w:left="705" w:right="167" w:hanging="541"/>
        <w:jc w:val="both"/>
        <w:rPr>
          <w:sz w:val="20"/>
        </w:rPr>
      </w:pPr>
      <w:bookmarkStart w:name="_bookmark404" w:id="406"/>
      <w:bookmarkEnd w:id="406"/>
      <w:r>
        <w:rPr/>
      </w:r>
      <w:hyperlink w:history="true" w:anchor="_bookmark278">
        <w:r>
          <w:rPr>
            <w:color w:val="005DA1"/>
            <w:position w:val="5"/>
            <w:sz w:val="14"/>
            <w:u w:val="single" w:color="005DA1"/>
          </w:rPr>
          <w:t>156</w:t>
        </w:r>
      </w:hyperlink>
      <w:r>
        <w:rPr>
          <w:position w:val="5"/>
          <w:sz w:val="14"/>
        </w:rPr>
        <w:t>.</w:t>
      </w:r>
      <w:r>
        <w:rPr>
          <w:spacing w:val="80"/>
          <w:position w:val="5"/>
          <w:sz w:val="14"/>
        </w:rPr>
        <w:t>  </w:t>
      </w:r>
      <w:r>
        <w:rPr>
          <w:sz w:val="20"/>
        </w:rPr>
        <w:t>In </w:t>
      </w:r>
      <w:r>
        <w:rPr>
          <w:rFonts w:ascii="Arial" w:hAnsi="Arial"/>
          <w:i/>
          <w:sz w:val="20"/>
        </w:rPr>
        <w:t>G.A.F.L.A.C. v Tanter (The Zephyr) [1984] 1 Lloyd’s Rep. 58, 85</w:t>
      </w:r>
      <w:r>
        <w:rPr>
          <w:sz w:val="20"/>
        </w:rPr>
        <w:t>, it was said at first instance that</w:t>
      </w:r>
      <w:r>
        <w:rPr>
          <w:spacing w:val="-1"/>
          <w:sz w:val="20"/>
        </w:rPr>
        <w:t> </w:t>
      </w:r>
      <w:r>
        <w:rPr>
          <w:sz w:val="20"/>
        </w:rPr>
        <w:t>even</w:t>
      </w:r>
      <w:r>
        <w:rPr>
          <w:spacing w:val="-1"/>
          <w:sz w:val="20"/>
        </w:rPr>
        <w:t> </w:t>
      </w:r>
      <w:r>
        <w:rPr>
          <w:sz w:val="20"/>
        </w:rPr>
        <w:t>the</w:t>
      </w:r>
      <w:r>
        <w:rPr>
          <w:spacing w:val="-1"/>
          <w:sz w:val="20"/>
        </w:rPr>
        <w:t> </w:t>
      </w:r>
      <w:r>
        <w:rPr>
          <w:sz w:val="20"/>
        </w:rPr>
        <w:t>law</w:t>
      </w:r>
      <w:r>
        <w:rPr>
          <w:spacing w:val="-1"/>
          <w:sz w:val="20"/>
        </w:rPr>
        <w:t> </w:t>
      </w:r>
      <w:r>
        <w:rPr>
          <w:sz w:val="20"/>
        </w:rPr>
        <w:t>of</w:t>
      </w:r>
      <w:r>
        <w:rPr>
          <w:spacing w:val="-1"/>
          <w:sz w:val="20"/>
        </w:rPr>
        <w:t> </w:t>
      </w:r>
      <w:r>
        <w:rPr>
          <w:sz w:val="20"/>
        </w:rPr>
        <w:t>torts</w:t>
      </w:r>
      <w:r>
        <w:rPr>
          <w:spacing w:val="-1"/>
          <w:sz w:val="20"/>
        </w:rPr>
        <w:t> </w:t>
      </w:r>
      <w:r>
        <w:rPr>
          <w:sz w:val="20"/>
        </w:rPr>
        <w:t>can</w:t>
      </w:r>
      <w:r>
        <w:rPr>
          <w:spacing w:val="-1"/>
          <w:sz w:val="20"/>
        </w:rPr>
        <w:t> </w:t>
      </w:r>
      <w:r>
        <w:rPr>
          <w:sz w:val="20"/>
        </w:rPr>
        <w:t>sometimes</w:t>
      </w:r>
      <w:r>
        <w:rPr>
          <w:spacing w:val="-1"/>
          <w:sz w:val="20"/>
        </w:rPr>
        <w:t> </w:t>
      </w:r>
      <w:r>
        <w:rPr>
          <w:sz w:val="20"/>
        </w:rPr>
        <w:t>impose</w:t>
      </w:r>
      <w:r>
        <w:rPr>
          <w:spacing w:val="-1"/>
          <w:sz w:val="20"/>
        </w:rPr>
        <w:t> </w:t>
      </w:r>
      <w:r>
        <w:rPr>
          <w:sz w:val="20"/>
        </w:rPr>
        <w:t>“positive</w:t>
      </w:r>
      <w:r>
        <w:rPr>
          <w:spacing w:val="-1"/>
          <w:sz w:val="20"/>
        </w:rPr>
        <w:t> </w:t>
      </w:r>
      <w:r>
        <w:rPr>
          <w:sz w:val="20"/>
        </w:rPr>
        <w:t>duties</w:t>
      </w:r>
      <w:r>
        <w:rPr>
          <w:spacing w:val="-1"/>
          <w:sz w:val="20"/>
        </w:rPr>
        <w:t> </w:t>
      </w:r>
      <w:r>
        <w:rPr>
          <w:sz w:val="20"/>
        </w:rPr>
        <w:t>…</w:t>
      </w:r>
      <w:r>
        <w:rPr>
          <w:spacing w:val="-1"/>
          <w:sz w:val="20"/>
        </w:rPr>
        <w:t> </w:t>
      </w:r>
      <w:r>
        <w:rPr>
          <w:sz w:val="20"/>
        </w:rPr>
        <w:t>recognised</w:t>
      </w:r>
      <w:r>
        <w:rPr>
          <w:spacing w:val="-1"/>
          <w:sz w:val="20"/>
        </w:rPr>
        <w:t> </w:t>
      </w:r>
      <w:r>
        <w:rPr>
          <w:sz w:val="20"/>
        </w:rPr>
        <w:t>…</w:t>
      </w:r>
      <w:r>
        <w:rPr>
          <w:spacing w:val="-1"/>
          <w:sz w:val="20"/>
        </w:rPr>
        <w:t> </w:t>
      </w:r>
      <w:r>
        <w:rPr>
          <w:sz w:val="20"/>
        </w:rPr>
        <w:t>only</w:t>
      </w:r>
      <w:r>
        <w:rPr>
          <w:spacing w:val="-1"/>
          <w:sz w:val="20"/>
        </w:rPr>
        <w:t> </w:t>
      </w:r>
      <w:r>
        <w:rPr>
          <w:sz w:val="20"/>
        </w:rPr>
        <w:t>because a party has voluntarily undertaken them.” This suggestion was disapproved on appeal; </w:t>
      </w:r>
      <w:r>
        <w:rPr>
          <w:rFonts w:ascii="Arial" w:hAnsi="Arial"/>
          <w:i/>
          <w:sz w:val="20"/>
        </w:rPr>
        <w:t>[1985] </w:t>
      </w:r>
      <w:r>
        <w:rPr>
          <w:rFonts w:ascii="Arial" w:hAnsi="Arial"/>
          <w:i/>
          <w:sz w:val="20"/>
        </w:rPr>
        <w:t>2 Lloyd’s Rep. 529</w:t>
      </w:r>
      <w:r>
        <w:rPr>
          <w:sz w:val="20"/>
        </w:rPr>
        <w:t>: cf. </w:t>
      </w:r>
      <w:r>
        <w:rPr>
          <w:rFonts w:ascii="Arial" w:hAnsi="Arial"/>
          <w:i/>
          <w:sz w:val="20"/>
        </w:rPr>
        <w:t>White v Jones [1995] 2 A.C. 207, 261</w:t>
      </w:r>
      <w:r>
        <w:rPr>
          <w:sz w:val="20"/>
        </w:rPr>
        <w:t>. No issue of privity arose in </w:t>
      </w:r>
      <w:r>
        <w:rPr>
          <w:rFonts w:ascii="Arial" w:hAnsi="Arial"/>
          <w:i/>
          <w:sz w:val="20"/>
        </w:rPr>
        <w:t>The Zephyr</w:t>
      </w:r>
      <w:r>
        <w:rPr>
          <w:sz w:val="20"/>
        </w:rPr>
        <w:t>; the dispute was as to contractual intention (above, paras 2-168, 4-201).</w:t>
      </w:r>
    </w:p>
    <w:p>
      <w:pPr>
        <w:pStyle w:val="BodyText"/>
        <w:spacing w:before="4"/>
      </w:pPr>
    </w:p>
    <w:p>
      <w:pPr>
        <w:tabs>
          <w:tab w:pos="705" w:val="left" w:leader="none"/>
        </w:tabs>
        <w:spacing w:before="0"/>
        <w:ind w:left="165" w:right="0" w:firstLine="0"/>
        <w:jc w:val="left"/>
        <w:rPr>
          <w:sz w:val="20"/>
        </w:rPr>
      </w:pPr>
      <w:bookmarkStart w:name="_bookmark405" w:id="407"/>
      <w:bookmarkEnd w:id="407"/>
      <w:r>
        <w:rPr/>
      </w:r>
      <w:hyperlink w:history="true" w:anchor="_bookmark279">
        <w:r>
          <w:rPr>
            <w:color w:val="005DA1"/>
            <w:spacing w:val="-4"/>
            <w:position w:val="5"/>
            <w:sz w:val="14"/>
            <w:u w:val="single" w:color="005DA1"/>
          </w:rPr>
          <w:t>157</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2 A.C. 207</w:t>
      </w:r>
      <w:r>
        <w:rPr>
          <w:rFonts w:ascii="Arial"/>
          <w:i/>
          <w:spacing w:val="-1"/>
          <w:sz w:val="20"/>
        </w:rPr>
        <w:t> </w:t>
      </w:r>
      <w:r>
        <w:rPr>
          <w:sz w:val="20"/>
        </w:rPr>
        <w:t>(below, para.18-039). cf.</w:t>
      </w:r>
      <w:r>
        <w:rPr>
          <w:spacing w:val="-1"/>
          <w:sz w:val="20"/>
        </w:rPr>
        <w:t> </w:t>
      </w:r>
      <w:r>
        <w:rPr>
          <w:rFonts w:ascii="Arial"/>
          <w:i/>
          <w:sz w:val="20"/>
        </w:rPr>
        <w:t>Hooper v Fynmores [2001] W.T.L.R. </w:t>
      </w:r>
      <w:r>
        <w:rPr>
          <w:rFonts w:ascii="Arial"/>
          <w:i/>
          <w:spacing w:val="-2"/>
          <w:sz w:val="20"/>
        </w:rPr>
        <w:t>1019</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406" w:id="408"/>
      <w:bookmarkEnd w:id="408"/>
      <w:r>
        <w:rPr/>
      </w:r>
      <w:hyperlink w:history="true" w:anchor="_bookmark280">
        <w:r>
          <w:rPr>
            <w:color w:val="005DA1"/>
            <w:spacing w:val="-4"/>
            <w:position w:val="5"/>
            <w:sz w:val="14"/>
            <w:u w:val="single" w:color="005DA1"/>
          </w:rPr>
          <w:t>158</w:t>
        </w:r>
      </w:hyperlink>
      <w:r>
        <w:rPr>
          <w:spacing w:val="-4"/>
          <w:position w:val="5"/>
          <w:sz w:val="14"/>
        </w:rPr>
        <w:t>.</w:t>
      </w:r>
      <w:r>
        <w:rPr>
          <w:position w:val="5"/>
          <w:sz w:val="14"/>
        </w:rPr>
        <w:tab/>
      </w:r>
      <w:r>
        <w:rPr>
          <w:sz w:val="20"/>
        </w:rPr>
        <w:t>See n.153, </w:t>
      </w:r>
      <w:r>
        <w:rPr>
          <w:spacing w:val="-2"/>
          <w:sz w:val="20"/>
        </w:rPr>
        <w:t>above.</w:t>
      </w:r>
    </w:p>
    <w:p>
      <w:pPr>
        <w:pStyle w:val="BodyText"/>
        <w:spacing w:before="5"/>
      </w:pPr>
    </w:p>
    <w:p>
      <w:pPr>
        <w:tabs>
          <w:tab w:pos="705" w:val="left" w:leader="none"/>
        </w:tabs>
        <w:spacing w:before="0"/>
        <w:ind w:left="165" w:right="0" w:firstLine="0"/>
        <w:jc w:val="left"/>
        <w:rPr>
          <w:sz w:val="20"/>
        </w:rPr>
      </w:pPr>
      <w:bookmarkStart w:name="_bookmark407" w:id="409"/>
      <w:bookmarkEnd w:id="409"/>
      <w:r>
        <w:rPr/>
      </w:r>
      <w:hyperlink w:history="true" w:anchor="_bookmark281">
        <w:r>
          <w:rPr>
            <w:color w:val="005DA1"/>
            <w:spacing w:val="-4"/>
            <w:position w:val="5"/>
            <w:sz w:val="14"/>
            <w:u w:val="single" w:color="005DA1"/>
          </w:rPr>
          <w:t>159</w:t>
        </w:r>
      </w:hyperlink>
      <w:r>
        <w:rPr>
          <w:spacing w:val="-4"/>
          <w:position w:val="5"/>
          <w:sz w:val="14"/>
        </w:rPr>
        <w:t>.</w:t>
      </w:r>
      <w:r>
        <w:rPr>
          <w:position w:val="5"/>
          <w:sz w:val="14"/>
        </w:rPr>
        <w:tab/>
      </w:r>
      <w:r>
        <w:rPr>
          <w:rFonts w:ascii="Arial"/>
          <w:i/>
          <w:sz w:val="20"/>
        </w:rPr>
        <w:t>[1983]</w:t>
      </w:r>
      <w:r>
        <w:rPr>
          <w:rFonts w:ascii="Arial"/>
          <w:i/>
          <w:spacing w:val="-2"/>
          <w:sz w:val="20"/>
        </w:rPr>
        <w:t> </w:t>
      </w:r>
      <w:r>
        <w:rPr>
          <w:rFonts w:ascii="Arial"/>
          <w:i/>
          <w:sz w:val="20"/>
        </w:rPr>
        <w:t>1 A.C. </w:t>
      </w:r>
      <w:r>
        <w:rPr>
          <w:rFonts w:ascii="Arial"/>
          <w:i/>
          <w:spacing w:val="-4"/>
          <w:sz w:val="20"/>
        </w:rPr>
        <w:t>520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08" w:id="410"/>
      <w:bookmarkEnd w:id="410"/>
      <w:r>
        <w:rPr/>
      </w:r>
      <w:hyperlink w:history="true" w:anchor="_bookmark282">
        <w:r>
          <w:rPr>
            <w:color w:val="005DA1"/>
            <w:spacing w:val="-4"/>
            <w:position w:val="5"/>
            <w:sz w:val="14"/>
            <w:u w:val="single" w:color="005DA1"/>
          </w:rPr>
          <w:t>160</w:t>
        </w:r>
      </w:hyperlink>
      <w:r>
        <w:rPr>
          <w:spacing w:val="-4"/>
          <w:position w:val="5"/>
          <w:sz w:val="14"/>
        </w:rPr>
        <w:t>.</w:t>
      </w:r>
      <w:r>
        <w:rPr>
          <w:position w:val="5"/>
          <w:sz w:val="14"/>
        </w:rPr>
        <w:tab/>
      </w:r>
      <w:r>
        <w:rPr>
          <w:sz w:val="20"/>
        </w:rPr>
        <w:t>at </w:t>
      </w:r>
      <w:r>
        <w:rPr>
          <w:spacing w:val="-4"/>
          <w:sz w:val="20"/>
        </w:rPr>
        <w:t>258.</w:t>
      </w:r>
    </w:p>
    <w:p>
      <w:pPr>
        <w:pStyle w:val="BodyText"/>
        <w:spacing w:before="5"/>
      </w:pPr>
    </w:p>
    <w:p>
      <w:pPr>
        <w:tabs>
          <w:tab w:pos="705" w:val="left" w:leader="none"/>
        </w:tabs>
        <w:spacing w:before="0"/>
        <w:ind w:left="165" w:right="0" w:firstLine="0"/>
        <w:jc w:val="left"/>
        <w:rPr>
          <w:sz w:val="20"/>
        </w:rPr>
      </w:pPr>
      <w:bookmarkStart w:name="_bookmark409" w:id="411"/>
      <w:bookmarkEnd w:id="411"/>
      <w:r>
        <w:rPr/>
      </w:r>
      <w:hyperlink w:history="true" w:anchor="_bookmark283">
        <w:r>
          <w:rPr>
            <w:color w:val="005DA1"/>
            <w:spacing w:val="-4"/>
            <w:position w:val="5"/>
            <w:sz w:val="14"/>
            <w:u w:val="single" w:color="005DA1"/>
          </w:rPr>
          <w:t>161</w:t>
        </w:r>
      </w:hyperlink>
      <w:r>
        <w:rPr>
          <w:spacing w:val="-4"/>
          <w:position w:val="5"/>
          <w:sz w:val="14"/>
        </w:rPr>
        <w:t>.</w:t>
      </w:r>
      <w:r>
        <w:rPr>
          <w:position w:val="5"/>
          <w:sz w:val="14"/>
        </w:rPr>
        <w:tab/>
      </w:r>
      <w:r>
        <w:rPr>
          <w:sz w:val="20"/>
        </w:rPr>
        <w:t>ibid., at </w:t>
      </w:r>
      <w:r>
        <w:rPr>
          <w:spacing w:val="-4"/>
          <w:sz w:val="20"/>
        </w:rPr>
        <w:t>268.</w:t>
      </w:r>
    </w:p>
    <w:p>
      <w:pPr>
        <w:pStyle w:val="BodyText"/>
        <w:spacing w:before="9"/>
      </w:pPr>
    </w:p>
    <w:p>
      <w:pPr>
        <w:pStyle w:val="BodyText"/>
        <w:spacing w:line="235" w:lineRule="auto"/>
        <w:ind w:left="705" w:right="167" w:hanging="541"/>
        <w:jc w:val="both"/>
      </w:pPr>
      <w:bookmarkStart w:name="_bookmark410" w:id="412"/>
      <w:bookmarkEnd w:id="412"/>
      <w:r>
        <w:rPr/>
      </w:r>
      <w:hyperlink w:history="true" w:anchor="_bookmark284">
        <w:r>
          <w:rPr>
            <w:color w:val="005DA1"/>
            <w:position w:val="5"/>
            <w:sz w:val="14"/>
            <w:u w:val="single" w:color="005DA1"/>
          </w:rPr>
          <w:t>162</w:t>
        </w:r>
      </w:hyperlink>
      <w:r>
        <w:rPr>
          <w:position w:val="5"/>
          <w:sz w:val="14"/>
        </w:rPr>
        <w:t>.</w:t>
      </w:r>
      <w:r>
        <w:rPr>
          <w:spacing w:val="80"/>
          <w:position w:val="5"/>
          <w:sz w:val="14"/>
        </w:rPr>
        <w:t> </w:t>
      </w:r>
      <w:r>
        <w:rPr/>
        <w:t>cf. the discussion in para.4-201 above of A’s possible liability to B for omissions where the relationship between A and B is not contractual because no consideration moved from B. In the cases with which the discussion in the present chapter is concerned, there is no doubt as to the existence of a contract with B, while the cases discussed in para.4-201 do not raise any </w:t>
      </w:r>
      <w:r>
        <w:rPr/>
        <w:t>third party problems.</w:t>
      </w:r>
    </w:p>
    <w:p>
      <w:pPr>
        <w:pStyle w:val="BodyText"/>
        <w:spacing w:before="8"/>
      </w:pPr>
    </w:p>
    <w:p>
      <w:pPr>
        <w:pStyle w:val="BodyText"/>
        <w:spacing w:line="235" w:lineRule="auto"/>
        <w:ind w:left="705" w:right="167" w:hanging="541"/>
        <w:jc w:val="both"/>
      </w:pPr>
      <w:bookmarkStart w:name="_bookmark411" w:id="413"/>
      <w:bookmarkEnd w:id="413"/>
      <w:r>
        <w:rPr/>
      </w:r>
      <w:hyperlink w:history="true" w:anchor="_bookmark285">
        <w:r>
          <w:rPr>
            <w:color w:val="005DA1"/>
            <w:position w:val="5"/>
            <w:sz w:val="14"/>
            <w:u w:val="single" w:color="005DA1"/>
          </w:rPr>
          <w:t>163</w:t>
        </w:r>
      </w:hyperlink>
      <w:r>
        <w:rPr>
          <w:position w:val="5"/>
          <w:sz w:val="14"/>
        </w:rPr>
        <w:t>.</w:t>
      </w:r>
      <w:r>
        <w:rPr>
          <w:spacing w:val="80"/>
          <w:w w:val="150"/>
          <w:position w:val="5"/>
          <w:sz w:val="14"/>
        </w:rPr>
        <w:t> </w:t>
      </w:r>
      <w:r>
        <w:rPr/>
        <w:t>e.g. on facts such as those of </w:t>
      </w:r>
      <w:r>
        <w:rPr>
          <w:rFonts w:ascii="Arial" w:hAnsi="Arial"/>
          <w:i/>
        </w:rPr>
        <w:t>Donoghue v Stevenson [1932] A.C. 562 </w:t>
      </w:r>
      <w:r>
        <w:rPr/>
        <w:t>liability for breach </w:t>
      </w:r>
      <w:r>
        <w:rPr/>
        <w:t>of contract in respect of defects in the goods sold would be strict (</w:t>
      </w:r>
      <w:r>
        <w:rPr>
          <w:rFonts w:ascii="Arial" w:hAnsi="Arial"/>
          <w:i/>
        </w:rPr>
        <w:t>Frost v Aylesbury Dairy Co Ltd [1905] 1 K.B. 608</w:t>
      </w:r>
      <w:r>
        <w:rPr/>
        <w:t>), while the tort liability of, or to, a third party would have depended on negligence. This difference between contract and tort liability in such cases is reduced in importance by Pt I of the Consumer Protection Act 1987, introducing strict “product liability” to the ultimate consumer. But such liability is subject to important qualifications, so that it does not extend to many of the situations with which the discussion in this chapter is concerned.</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412" w:id="414"/>
      <w:bookmarkEnd w:id="414"/>
      <w:r>
        <w:rPr/>
      </w:r>
      <w:hyperlink w:history="true" w:anchor="_bookmark286">
        <w:r>
          <w:rPr>
            <w:color w:val="005DA1"/>
            <w:spacing w:val="-4"/>
            <w:position w:val="5"/>
            <w:sz w:val="14"/>
            <w:u w:val="single" w:color="005DA1"/>
          </w:rPr>
          <w:t>164</w:t>
        </w:r>
      </w:hyperlink>
      <w:r>
        <w:rPr>
          <w:spacing w:val="-4"/>
          <w:position w:val="5"/>
          <w:sz w:val="14"/>
        </w:rPr>
        <w:t>.</w:t>
      </w:r>
      <w:r>
        <w:rPr>
          <w:position w:val="5"/>
          <w:sz w:val="14"/>
        </w:rPr>
        <w:tab/>
      </w:r>
      <w:r>
        <w:rPr>
          <w:rFonts w:ascii="Arial" w:hAnsi="Arial"/>
          <w:i/>
          <w:sz w:val="20"/>
        </w:rPr>
        <w:t>Dove</w:t>
      </w:r>
      <w:r>
        <w:rPr>
          <w:rFonts w:ascii="Arial" w:hAnsi="Arial"/>
          <w:i/>
          <w:spacing w:val="-1"/>
          <w:sz w:val="20"/>
        </w:rPr>
        <w:t> </w:t>
      </w:r>
      <w:r>
        <w:rPr>
          <w:rFonts w:ascii="Arial" w:hAnsi="Arial"/>
          <w:i/>
          <w:sz w:val="20"/>
        </w:rPr>
        <w:t>v Banham’s Safety Locks Ltd [1983] 1 W.L.R. 1463</w:t>
      </w:r>
      <w:r>
        <w:rPr>
          <w:sz w:val="20"/>
        </w:rPr>
        <w:t>; cf. </w:t>
      </w:r>
      <w:r>
        <w:rPr>
          <w:rFonts w:ascii="Arial" w:hAnsi="Arial"/>
          <w:i/>
          <w:sz w:val="20"/>
        </w:rPr>
        <w:t>Bell v Peter Browne &amp; Co [1990] </w:t>
      </w:r>
      <w:r>
        <w:rPr>
          <w:rFonts w:ascii="Arial" w:hAnsi="Arial"/>
          <w:i/>
          <w:spacing w:val="-10"/>
          <w:sz w:val="20"/>
        </w:rPr>
        <w:t>2</w:t>
      </w:r>
    </w:p>
    <w:p>
      <w:pPr>
        <w:spacing w:line="235" w:lineRule="auto" w:before="1"/>
        <w:ind w:left="705" w:right="167" w:firstLine="0"/>
        <w:jc w:val="both"/>
        <w:rPr>
          <w:sz w:val="20"/>
        </w:rPr>
      </w:pPr>
      <w:r>
        <w:rPr>
          <w:rFonts w:ascii="Arial"/>
          <w:i/>
          <w:sz w:val="20"/>
        </w:rPr>
        <w:t>Q.B. 495</w:t>
      </w:r>
      <w:r>
        <w:rPr>
          <w:sz w:val="20"/>
        </w:rPr>
        <w:t>; and </w:t>
      </w:r>
      <w:r>
        <w:rPr>
          <w:rFonts w:ascii="Arial"/>
          <w:i/>
          <w:sz w:val="20"/>
        </w:rPr>
        <w:t>Robinson v P.E. Jones (Contractors) Ltd [2011] EWCA Civ 9, [2011] B.L.R. 206</w:t>
      </w:r>
      <w:r>
        <w:rPr>
          <w:sz w:val="20"/>
        </w:rPr>
        <w:t>, where</w:t>
      </w:r>
      <w:r>
        <w:rPr>
          <w:spacing w:val="-1"/>
          <w:sz w:val="20"/>
        </w:rPr>
        <w:t> </w:t>
      </w:r>
      <w:r>
        <w:rPr>
          <w:sz w:val="20"/>
        </w:rPr>
        <w:t>a</w:t>
      </w:r>
      <w:r>
        <w:rPr>
          <w:spacing w:val="-1"/>
          <w:sz w:val="20"/>
        </w:rPr>
        <w:t> </w:t>
      </w:r>
      <w:r>
        <w:rPr>
          <w:sz w:val="20"/>
        </w:rPr>
        <w:t>period</w:t>
      </w:r>
      <w:r>
        <w:rPr>
          <w:spacing w:val="-1"/>
          <w:sz w:val="20"/>
        </w:rPr>
        <w:t> </w:t>
      </w:r>
      <w:r>
        <w:rPr>
          <w:sz w:val="20"/>
        </w:rPr>
        <w:t>of</w:t>
      </w:r>
      <w:r>
        <w:rPr>
          <w:spacing w:val="-1"/>
          <w:sz w:val="20"/>
        </w:rPr>
        <w:t> </w:t>
      </w:r>
      <w:r>
        <w:rPr>
          <w:sz w:val="20"/>
        </w:rPr>
        <w:t>limitation</w:t>
      </w:r>
      <w:r>
        <w:rPr>
          <w:spacing w:val="-1"/>
          <w:sz w:val="20"/>
        </w:rPr>
        <w:t> </w:t>
      </w:r>
      <w:r>
        <w:rPr>
          <w:sz w:val="20"/>
        </w:rPr>
        <w:t>longer</w:t>
      </w:r>
      <w:r>
        <w:rPr>
          <w:spacing w:val="-1"/>
          <w:sz w:val="20"/>
        </w:rPr>
        <w:t> </w:t>
      </w:r>
      <w:r>
        <w:rPr>
          <w:sz w:val="20"/>
        </w:rPr>
        <w:t>than</w:t>
      </w:r>
      <w:r>
        <w:rPr>
          <w:spacing w:val="-1"/>
          <w:sz w:val="20"/>
        </w:rPr>
        <w:t> </w:t>
      </w:r>
      <w:r>
        <w:rPr>
          <w:sz w:val="20"/>
        </w:rPr>
        <w:t>that</w:t>
      </w:r>
      <w:r>
        <w:rPr>
          <w:spacing w:val="-1"/>
          <w:sz w:val="20"/>
        </w:rPr>
        <w:t> </w:t>
      </w:r>
      <w:r>
        <w:rPr>
          <w:sz w:val="20"/>
        </w:rPr>
        <w:t>applicable</w:t>
      </w:r>
      <w:r>
        <w:rPr>
          <w:spacing w:val="-1"/>
          <w:sz w:val="20"/>
        </w:rPr>
        <w:t> </w:t>
      </w:r>
      <w:r>
        <w:rPr>
          <w:sz w:val="20"/>
        </w:rPr>
        <w:t>to</w:t>
      </w:r>
      <w:r>
        <w:rPr>
          <w:spacing w:val="-1"/>
          <w:sz w:val="20"/>
        </w:rPr>
        <w:t> </w:t>
      </w:r>
      <w:r>
        <w:rPr>
          <w:sz w:val="20"/>
        </w:rPr>
        <w:t>the</w:t>
      </w:r>
      <w:r>
        <w:rPr>
          <w:spacing w:val="-1"/>
          <w:sz w:val="20"/>
        </w:rPr>
        <w:t> </w:t>
      </w:r>
      <w:r>
        <w:rPr>
          <w:sz w:val="20"/>
        </w:rPr>
        <w:t>contract</w:t>
      </w:r>
      <w:r>
        <w:rPr>
          <w:spacing w:val="-1"/>
          <w:sz w:val="20"/>
        </w:rPr>
        <w:t> </w:t>
      </w:r>
      <w:r>
        <w:rPr>
          <w:sz w:val="20"/>
        </w:rPr>
        <w:t>claim</w:t>
      </w:r>
      <w:r>
        <w:rPr>
          <w:spacing w:val="-1"/>
          <w:sz w:val="20"/>
        </w:rPr>
        <w:t> </w:t>
      </w:r>
      <w:r>
        <w:rPr>
          <w:sz w:val="20"/>
        </w:rPr>
        <w:t>applied</w:t>
      </w:r>
      <w:r>
        <w:rPr>
          <w:spacing w:val="-1"/>
          <w:sz w:val="20"/>
        </w:rPr>
        <w:t> </w:t>
      </w:r>
      <w:r>
        <w:rPr>
          <w:sz w:val="20"/>
        </w:rPr>
        <w:t>(by</w:t>
      </w:r>
      <w:r>
        <w:rPr>
          <w:spacing w:val="-1"/>
          <w:sz w:val="20"/>
        </w:rPr>
        <w:t> </w:t>
      </w:r>
      <w:r>
        <w:rPr>
          <w:sz w:val="20"/>
        </w:rPr>
        <w:t>virtue</w:t>
      </w:r>
      <w:r>
        <w:rPr>
          <w:spacing w:val="-1"/>
          <w:sz w:val="20"/>
        </w:rPr>
        <w:t> </w:t>
      </w:r>
      <w:r>
        <w:rPr>
          <w:sz w:val="20"/>
        </w:rPr>
        <w:t>of Limitation Act 1980, s.14A) to the tort claim, which failed for the reason given at n.166 below.</w:t>
      </w:r>
    </w:p>
    <w:p>
      <w:pPr>
        <w:pStyle w:val="BodyText"/>
        <w:spacing w:before="9"/>
      </w:pPr>
    </w:p>
    <w:p>
      <w:pPr>
        <w:pStyle w:val="BodyText"/>
        <w:spacing w:line="235" w:lineRule="auto"/>
        <w:ind w:left="705" w:right="167" w:hanging="541"/>
        <w:jc w:val="both"/>
      </w:pPr>
      <w:bookmarkStart w:name="_bookmark413" w:id="415"/>
      <w:bookmarkEnd w:id="415"/>
      <w:r>
        <w:rPr/>
      </w:r>
      <w:hyperlink w:history="true" w:anchor="_bookmark287">
        <w:r>
          <w:rPr>
            <w:color w:val="005DA1"/>
            <w:position w:val="5"/>
            <w:sz w:val="14"/>
            <w:u w:val="single" w:color="005DA1"/>
          </w:rPr>
          <w:t>165</w:t>
        </w:r>
      </w:hyperlink>
      <w:r>
        <w:rPr>
          <w:position w:val="5"/>
          <w:sz w:val="14"/>
        </w:rPr>
        <w:t>.</w:t>
      </w:r>
      <w:r>
        <w:rPr>
          <w:spacing w:val="80"/>
          <w:w w:val="150"/>
          <w:position w:val="5"/>
          <w:sz w:val="14"/>
        </w:rPr>
        <w:t> </w:t>
      </w:r>
      <w:r>
        <w:rPr>
          <w:rFonts w:ascii="Arial"/>
          <w:i/>
        </w:rPr>
        <w:t>Rothwell v Chemical &amp; Insulating Co Ltd [2007] UKHL 39, [2008] 1 A.C. 281</w:t>
      </w:r>
      <w:r>
        <w:rPr/>
        <w:t>. The question whether the claimants in that case had a claim against the defendants in contract (where </w:t>
      </w:r>
      <w:r>
        <w:rPr/>
        <w:t>proof of</w:t>
      </w:r>
      <w:r>
        <w:rPr>
          <w:spacing w:val="-1"/>
        </w:rPr>
        <w:t> </w:t>
      </w:r>
      <w:r>
        <w:rPr/>
        <w:t>loss</w:t>
      </w:r>
      <w:r>
        <w:rPr>
          <w:spacing w:val="-1"/>
        </w:rPr>
        <w:t> </w:t>
      </w:r>
      <w:r>
        <w:rPr/>
        <w:t>is</w:t>
      </w:r>
      <w:r>
        <w:rPr>
          <w:spacing w:val="-1"/>
        </w:rPr>
        <w:t> </w:t>
      </w:r>
      <w:r>
        <w:rPr/>
        <w:t>not</w:t>
      </w:r>
      <w:r>
        <w:rPr>
          <w:spacing w:val="-1"/>
        </w:rPr>
        <w:t> </w:t>
      </w:r>
      <w:r>
        <w:rPr/>
        <w:t>a</w:t>
      </w:r>
      <w:r>
        <w:rPr>
          <w:spacing w:val="-1"/>
        </w:rPr>
        <w:t> </w:t>
      </w:r>
      <w:r>
        <w:rPr/>
        <w:t>requirement</w:t>
      </w:r>
      <w:r>
        <w:rPr>
          <w:spacing w:val="-1"/>
        </w:rPr>
        <w:t> </w:t>
      </w:r>
      <w:r>
        <w:rPr/>
        <w:t>of</w:t>
      </w:r>
      <w:r>
        <w:rPr>
          <w:spacing w:val="-1"/>
        </w:rPr>
        <w:t> </w:t>
      </w:r>
      <w:r>
        <w:rPr/>
        <w:t>a</w:t>
      </w:r>
      <w:r>
        <w:rPr>
          <w:spacing w:val="-1"/>
        </w:rPr>
        <w:t> </w:t>
      </w:r>
      <w:r>
        <w:rPr/>
        <w:t>cause</w:t>
      </w:r>
      <w:r>
        <w:rPr>
          <w:spacing w:val="-1"/>
        </w:rPr>
        <w:t> </w:t>
      </w:r>
      <w:r>
        <w:rPr/>
        <w:t>of</w:t>
      </w:r>
      <w:r>
        <w:rPr>
          <w:spacing w:val="-1"/>
        </w:rPr>
        <w:t> </w:t>
      </w:r>
      <w:r>
        <w:rPr/>
        <w:t>action)</w:t>
      </w:r>
      <w:r>
        <w:rPr>
          <w:spacing w:val="-1"/>
        </w:rPr>
        <w:t> </w:t>
      </w:r>
      <w:r>
        <w:rPr/>
        <w:t>was</w:t>
      </w:r>
      <w:r>
        <w:rPr>
          <w:spacing w:val="-1"/>
        </w:rPr>
        <w:t> </w:t>
      </w:r>
      <w:r>
        <w:rPr/>
        <w:t>left</w:t>
      </w:r>
      <w:r>
        <w:rPr>
          <w:spacing w:val="-1"/>
        </w:rPr>
        <w:t> </w:t>
      </w:r>
      <w:r>
        <w:rPr/>
        <w:t>open</w:t>
      </w:r>
      <w:r>
        <w:rPr>
          <w:spacing w:val="-1"/>
        </w:rPr>
        <w:t> </w:t>
      </w:r>
      <w:r>
        <w:rPr/>
        <w:t>by</w:t>
      </w:r>
      <w:r>
        <w:rPr>
          <w:spacing w:val="-1"/>
        </w:rPr>
        <w:t> </w:t>
      </w:r>
      <w:r>
        <w:rPr/>
        <w:t>Lords</w:t>
      </w:r>
      <w:r>
        <w:rPr>
          <w:spacing w:val="-1"/>
        </w:rPr>
        <w:t> </w:t>
      </w:r>
      <w:r>
        <w:rPr/>
        <w:t>Hope</w:t>
      </w:r>
      <w:r>
        <w:rPr>
          <w:spacing w:val="-1"/>
        </w:rPr>
        <w:t> </w:t>
      </w:r>
      <w:r>
        <w:rPr/>
        <w:t>(at</w:t>
      </w:r>
      <w:r>
        <w:rPr>
          <w:spacing w:val="-1"/>
        </w:rPr>
        <w:t> </w:t>
      </w:r>
      <w:r>
        <w:rPr/>
        <w:t>[59]),</w:t>
      </w:r>
      <w:r>
        <w:rPr>
          <w:spacing w:val="-1"/>
        </w:rPr>
        <w:t> </w:t>
      </w:r>
      <w:r>
        <w:rPr/>
        <w:t>Scott</w:t>
      </w:r>
      <w:r>
        <w:rPr>
          <w:spacing w:val="-1"/>
        </w:rPr>
        <w:t> </w:t>
      </w:r>
      <w:r>
        <w:rPr/>
        <w:t>(at [74]) and Mance (at [105]). But that question could arise only where there was a contractual relationship between claimant and defendant; and the discussion in the text above is of situations in which there is </w:t>
      </w:r>
      <w:r>
        <w:rPr>
          <w:rFonts w:ascii="Arial"/>
          <w:i/>
        </w:rPr>
        <w:t>no </w:t>
      </w:r>
      <w:r>
        <w:rPr/>
        <w:t>such relationship.</w:t>
      </w:r>
    </w:p>
    <w:p>
      <w:pPr>
        <w:pStyle w:val="BodyText"/>
        <w:spacing w:before="4"/>
      </w:pPr>
    </w:p>
    <w:p>
      <w:pPr>
        <w:tabs>
          <w:tab w:pos="705" w:val="left" w:leader="none"/>
        </w:tabs>
        <w:spacing w:line="227" w:lineRule="exact" w:before="0"/>
        <w:ind w:left="165" w:right="0" w:firstLine="0"/>
        <w:jc w:val="left"/>
        <w:rPr>
          <w:sz w:val="20"/>
        </w:rPr>
      </w:pPr>
      <w:bookmarkStart w:name="_bookmark414" w:id="416"/>
      <w:bookmarkEnd w:id="416"/>
      <w:r>
        <w:rPr/>
      </w:r>
      <w:hyperlink w:history="true" w:anchor="_bookmark288">
        <w:r>
          <w:rPr>
            <w:color w:val="005DA1"/>
            <w:spacing w:val="-4"/>
            <w:position w:val="5"/>
            <w:sz w:val="14"/>
            <w:u w:val="single" w:color="005DA1"/>
          </w:rPr>
          <w:t>166</w:t>
        </w:r>
      </w:hyperlink>
      <w:r>
        <w:rPr>
          <w:spacing w:val="-4"/>
          <w:position w:val="5"/>
          <w:sz w:val="14"/>
        </w:rPr>
        <w:t>.</w:t>
      </w:r>
      <w:r>
        <w:rPr>
          <w:position w:val="5"/>
          <w:sz w:val="14"/>
        </w:rPr>
        <w:tab/>
      </w:r>
      <w:r>
        <w:rPr>
          <w:rFonts w:ascii="Arial"/>
          <w:i/>
          <w:sz w:val="20"/>
        </w:rPr>
        <w:t>Robinson</w:t>
      </w:r>
      <w:r>
        <w:rPr>
          <w:rFonts w:ascii="Arial"/>
          <w:i/>
          <w:spacing w:val="24"/>
          <w:sz w:val="20"/>
        </w:rPr>
        <w:t> </w:t>
      </w:r>
      <w:r>
        <w:rPr>
          <w:rFonts w:ascii="Arial"/>
          <w:i/>
          <w:sz w:val="20"/>
        </w:rPr>
        <w:t>v</w:t>
      </w:r>
      <w:r>
        <w:rPr>
          <w:rFonts w:ascii="Arial"/>
          <w:i/>
          <w:spacing w:val="24"/>
          <w:sz w:val="20"/>
        </w:rPr>
        <w:t> </w:t>
      </w:r>
      <w:r>
        <w:rPr>
          <w:rFonts w:ascii="Arial"/>
          <w:i/>
          <w:sz w:val="20"/>
        </w:rPr>
        <w:t>P</w:t>
      </w:r>
      <w:r>
        <w:rPr>
          <w:rFonts w:ascii="Arial"/>
          <w:i/>
          <w:spacing w:val="24"/>
          <w:sz w:val="20"/>
        </w:rPr>
        <w:t> </w:t>
      </w:r>
      <w:r>
        <w:rPr>
          <w:rFonts w:ascii="Arial"/>
          <w:i/>
          <w:sz w:val="20"/>
        </w:rPr>
        <w:t>E</w:t>
      </w:r>
      <w:r>
        <w:rPr>
          <w:rFonts w:ascii="Arial"/>
          <w:i/>
          <w:spacing w:val="24"/>
          <w:sz w:val="20"/>
        </w:rPr>
        <w:t> </w:t>
      </w:r>
      <w:r>
        <w:rPr>
          <w:rFonts w:ascii="Arial"/>
          <w:i/>
          <w:sz w:val="20"/>
        </w:rPr>
        <w:t>Jones</w:t>
      </w:r>
      <w:r>
        <w:rPr>
          <w:rFonts w:ascii="Arial"/>
          <w:i/>
          <w:spacing w:val="24"/>
          <w:sz w:val="20"/>
        </w:rPr>
        <w:t> </w:t>
      </w:r>
      <w:r>
        <w:rPr>
          <w:rFonts w:ascii="Arial"/>
          <w:i/>
          <w:sz w:val="20"/>
        </w:rPr>
        <w:t>(Contractors)</w:t>
      </w:r>
      <w:r>
        <w:rPr>
          <w:rFonts w:ascii="Arial"/>
          <w:i/>
          <w:spacing w:val="24"/>
          <w:sz w:val="20"/>
        </w:rPr>
        <w:t> </w:t>
      </w:r>
      <w:r>
        <w:rPr>
          <w:rFonts w:ascii="Arial"/>
          <w:i/>
          <w:sz w:val="20"/>
        </w:rPr>
        <w:t>Ltd</w:t>
      </w:r>
      <w:r>
        <w:rPr>
          <w:rFonts w:ascii="Arial"/>
          <w:i/>
          <w:spacing w:val="24"/>
          <w:sz w:val="20"/>
        </w:rPr>
        <w:t> </w:t>
      </w:r>
      <w:r>
        <w:rPr>
          <w:rFonts w:ascii="Arial"/>
          <w:i/>
          <w:sz w:val="20"/>
        </w:rPr>
        <w:t>[2011]</w:t>
      </w:r>
      <w:r>
        <w:rPr>
          <w:rFonts w:ascii="Arial"/>
          <w:i/>
          <w:spacing w:val="24"/>
          <w:sz w:val="20"/>
        </w:rPr>
        <w:t> </w:t>
      </w:r>
      <w:r>
        <w:rPr>
          <w:rFonts w:ascii="Arial"/>
          <w:i/>
          <w:sz w:val="20"/>
        </w:rPr>
        <w:t>EWCA</w:t>
      </w:r>
      <w:r>
        <w:rPr>
          <w:rFonts w:ascii="Arial"/>
          <w:i/>
          <w:spacing w:val="24"/>
          <w:sz w:val="20"/>
        </w:rPr>
        <w:t> </w:t>
      </w:r>
      <w:r>
        <w:rPr>
          <w:rFonts w:ascii="Arial"/>
          <w:i/>
          <w:sz w:val="20"/>
        </w:rPr>
        <w:t>Civ</w:t>
      </w:r>
      <w:r>
        <w:rPr>
          <w:rFonts w:ascii="Arial"/>
          <w:i/>
          <w:spacing w:val="24"/>
          <w:sz w:val="20"/>
        </w:rPr>
        <w:t> </w:t>
      </w:r>
      <w:r>
        <w:rPr>
          <w:rFonts w:ascii="Arial"/>
          <w:i/>
          <w:sz w:val="20"/>
        </w:rPr>
        <w:t>9,</w:t>
      </w:r>
      <w:r>
        <w:rPr>
          <w:rFonts w:ascii="Arial"/>
          <w:i/>
          <w:spacing w:val="24"/>
          <w:sz w:val="20"/>
        </w:rPr>
        <w:t> </w:t>
      </w:r>
      <w:r>
        <w:rPr>
          <w:rFonts w:ascii="Arial"/>
          <w:i/>
          <w:sz w:val="20"/>
        </w:rPr>
        <w:t>[2011]</w:t>
      </w:r>
      <w:r>
        <w:rPr>
          <w:rFonts w:ascii="Arial"/>
          <w:i/>
          <w:spacing w:val="24"/>
          <w:sz w:val="20"/>
        </w:rPr>
        <w:t> </w:t>
      </w:r>
      <w:r>
        <w:rPr>
          <w:rFonts w:ascii="Arial"/>
          <w:i/>
          <w:sz w:val="20"/>
        </w:rPr>
        <w:t>B.L.R.</w:t>
      </w:r>
      <w:r>
        <w:rPr>
          <w:rFonts w:ascii="Arial"/>
          <w:i/>
          <w:spacing w:val="24"/>
          <w:sz w:val="20"/>
        </w:rPr>
        <w:t> </w:t>
      </w:r>
      <w:r>
        <w:rPr>
          <w:rFonts w:ascii="Arial"/>
          <w:i/>
          <w:sz w:val="20"/>
        </w:rPr>
        <w:t>206</w:t>
      </w:r>
      <w:r>
        <w:rPr>
          <w:rFonts w:ascii="Arial"/>
          <w:i/>
          <w:spacing w:val="23"/>
          <w:sz w:val="20"/>
        </w:rPr>
        <w:t> </w:t>
      </w:r>
      <w:r>
        <w:rPr>
          <w:sz w:val="20"/>
        </w:rPr>
        <w:t>at</w:t>
      </w:r>
      <w:r>
        <w:rPr>
          <w:spacing w:val="24"/>
          <w:sz w:val="20"/>
        </w:rPr>
        <w:t> </w:t>
      </w:r>
      <w:r>
        <w:rPr>
          <w:sz w:val="20"/>
        </w:rPr>
        <w:t>[68],</w:t>
      </w:r>
      <w:r>
        <w:rPr>
          <w:spacing w:val="24"/>
          <w:sz w:val="20"/>
        </w:rPr>
        <w:t> </w:t>
      </w:r>
      <w:r>
        <w:rPr>
          <w:spacing w:val="-2"/>
          <w:sz w:val="20"/>
        </w:rPr>
        <w:t>[72],</w:t>
      </w:r>
    </w:p>
    <w:p>
      <w:pPr>
        <w:pStyle w:val="BodyText"/>
        <w:spacing w:line="227" w:lineRule="exact"/>
        <w:ind w:left="705"/>
      </w:pPr>
      <w:r>
        <w:rPr/>
        <w:t>[83], </w:t>
      </w:r>
      <w:r>
        <w:rPr>
          <w:spacing w:val="-2"/>
        </w:rPr>
        <w:t>[84].</w:t>
      </w:r>
    </w:p>
    <w:p>
      <w:pPr>
        <w:pStyle w:val="BodyText"/>
        <w:spacing w:before="9"/>
      </w:pPr>
    </w:p>
    <w:p>
      <w:pPr>
        <w:pStyle w:val="BodyText"/>
        <w:tabs>
          <w:tab w:pos="705" w:val="left" w:leader="none"/>
        </w:tabs>
        <w:spacing w:line="235" w:lineRule="auto"/>
        <w:ind w:left="705" w:right="167" w:hanging="541"/>
      </w:pPr>
      <w:bookmarkStart w:name="_bookmark415" w:id="417"/>
      <w:bookmarkEnd w:id="417"/>
      <w:r>
        <w:rPr/>
      </w:r>
      <w:hyperlink w:history="true" w:anchor="_bookmark289">
        <w:r>
          <w:rPr>
            <w:color w:val="005DA1"/>
            <w:spacing w:val="-4"/>
            <w:position w:val="5"/>
            <w:sz w:val="14"/>
            <w:u w:val="single" w:color="005DA1"/>
          </w:rPr>
          <w:t>167</w:t>
        </w:r>
      </w:hyperlink>
      <w:r>
        <w:rPr>
          <w:spacing w:val="-4"/>
          <w:position w:val="5"/>
          <w:sz w:val="14"/>
        </w:rPr>
        <w:t>.</w:t>
      </w:r>
      <w:r>
        <w:rPr>
          <w:position w:val="5"/>
          <w:sz w:val="14"/>
        </w:rPr>
        <w:tab/>
      </w:r>
      <w:r>
        <w:rPr/>
        <w:t>ibid.,</w:t>
      </w:r>
      <w:r>
        <w:rPr>
          <w:spacing w:val="40"/>
        </w:rPr>
        <w:t> </w:t>
      </w:r>
      <w:r>
        <w:rPr/>
        <w:t>at</w:t>
      </w:r>
      <w:r>
        <w:rPr>
          <w:spacing w:val="40"/>
        </w:rPr>
        <w:t> </w:t>
      </w:r>
      <w:r>
        <w:rPr/>
        <w:t>[74],</w:t>
      </w:r>
      <w:r>
        <w:rPr>
          <w:spacing w:val="40"/>
        </w:rPr>
        <w:t> </w:t>
      </w:r>
      <w:r>
        <w:rPr/>
        <w:t>[80];</w:t>
      </w:r>
      <w:r>
        <w:rPr>
          <w:spacing w:val="40"/>
        </w:rPr>
        <w:t> </w:t>
      </w:r>
      <w:r>
        <w:rPr/>
        <w:t>see,</w:t>
      </w:r>
      <w:r>
        <w:rPr>
          <w:spacing w:val="40"/>
        </w:rPr>
        <w:t> </w:t>
      </w:r>
      <w:r>
        <w:rPr/>
        <w:t>for</w:t>
      </w:r>
      <w:r>
        <w:rPr>
          <w:spacing w:val="40"/>
        </w:rPr>
        <w:t> </w:t>
      </w:r>
      <w:r>
        <w:rPr/>
        <w:t>example,</w:t>
      </w:r>
      <w:r>
        <w:rPr>
          <w:spacing w:val="40"/>
        </w:rPr>
        <w:t> </w:t>
      </w:r>
      <w:r>
        <w:rPr/>
        <w:t>the</w:t>
      </w:r>
      <w:r>
        <w:rPr>
          <w:spacing w:val="40"/>
        </w:rPr>
        <w:t> </w:t>
      </w:r>
      <w:r>
        <w:rPr/>
        <w:t>“disappointed</w:t>
      </w:r>
      <w:r>
        <w:rPr>
          <w:spacing w:val="40"/>
        </w:rPr>
        <w:t> </w:t>
      </w:r>
      <w:r>
        <w:rPr/>
        <w:t>beneficiaries”</w:t>
      </w:r>
      <w:r>
        <w:rPr>
          <w:spacing w:val="40"/>
        </w:rPr>
        <w:t> </w:t>
      </w:r>
      <w:r>
        <w:rPr/>
        <w:t>cases,</w:t>
      </w:r>
      <w:r>
        <w:rPr>
          <w:spacing w:val="40"/>
        </w:rPr>
        <w:t> </w:t>
      </w:r>
      <w:r>
        <w:rPr/>
        <w:t>discussed</w:t>
      </w:r>
      <w:r>
        <w:rPr>
          <w:spacing w:val="40"/>
        </w:rPr>
        <w:t> </w:t>
      </w:r>
      <w:r>
        <w:rPr/>
        <w:t>in</w:t>
      </w:r>
      <w:r>
        <w:rPr>
          <w:spacing w:val="40"/>
        </w:rPr>
        <w:t> </w:t>
      </w:r>
      <w:r>
        <w:rPr/>
        <w:t>para.18-039 below.</w:t>
      </w:r>
    </w:p>
    <w:p>
      <w:pPr>
        <w:pStyle w:val="BodyText"/>
        <w:spacing w:before="5"/>
      </w:pPr>
    </w:p>
    <w:p>
      <w:pPr>
        <w:pStyle w:val="BodyText"/>
        <w:tabs>
          <w:tab w:pos="705" w:val="left" w:leader="none"/>
        </w:tabs>
        <w:ind w:left="165"/>
      </w:pPr>
      <w:bookmarkStart w:name="_bookmark416" w:id="418"/>
      <w:bookmarkEnd w:id="418"/>
      <w:r>
        <w:rPr/>
      </w:r>
      <w:hyperlink w:history="true" w:anchor="_bookmark290">
        <w:r>
          <w:rPr>
            <w:color w:val="005DA1"/>
            <w:spacing w:val="-4"/>
            <w:position w:val="5"/>
            <w:sz w:val="14"/>
            <w:u w:val="single" w:color="005DA1"/>
          </w:rPr>
          <w:t>168</w:t>
        </w:r>
      </w:hyperlink>
      <w:r>
        <w:rPr>
          <w:spacing w:val="-4"/>
          <w:position w:val="5"/>
          <w:sz w:val="14"/>
        </w:rPr>
        <w:t>.</w:t>
      </w:r>
      <w:r>
        <w:rPr>
          <w:position w:val="5"/>
          <w:sz w:val="14"/>
        </w:rPr>
        <w:tab/>
      </w:r>
      <w:r>
        <w:rPr/>
        <w:t>See below, para.18-032 </w:t>
      </w:r>
      <w:r>
        <w:rPr>
          <w:spacing w:val="-2"/>
        </w:rPr>
        <w:t>n.188.</w:t>
      </w:r>
    </w:p>
    <w:p>
      <w:pPr>
        <w:pStyle w:val="BodyText"/>
        <w:spacing w:before="5"/>
      </w:pPr>
    </w:p>
    <w:p>
      <w:pPr>
        <w:tabs>
          <w:tab w:pos="705" w:val="left" w:leader="none"/>
        </w:tabs>
        <w:spacing w:before="0"/>
        <w:ind w:left="165" w:right="0" w:firstLine="0"/>
        <w:jc w:val="left"/>
        <w:rPr>
          <w:sz w:val="20"/>
        </w:rPr>
      </w:pPr>
      <w:bookmarkStart w:name="_bookmark417" w:id="419"/>
      <w:bookmarkEnd w:id="419"/>
      <w:r>
        <w:rPr/>
      </w:r>
      <w:hyperlink w:history="true" w:anchor="_bookmark291">
        <w:r>
          <w:rPr>
            <w:color w:val="005DA1"/>
            <w:spacing w:val="-4"/>
            <w:position w:val="5"/>
            <w:sz w:val="14"/>
            <w:u w:val="single" w:color="005DA1"/>
          </w:rPr>
          <w:t>169</w:t>
        </w:r>
      </w:hyperlink>
      <w:r>
        <w:rPr>
          <w:spacing w:val="-4"/>
          <w:position w:val="5"/>
          <w:sz w:val="14"/>
        </w:rPr>
        <w:t>.</w:t>
      </w:r>
      <w:r>
        <w:rPr>
          <w:position w:val="5"/>
          <w:sz w:val="14"/>
        </w:rPr>
        <w:tab/>
      </w:r>
      <w:r>
        <w:rPr>
          <w:sz w:val="20"/>
        </w:rPr>
        <w:t>Above, para.18-</w:t>
      </w:r>
      <w:r>
        <w:rPr>
          <w:spacing w:val="-4"/>
          <w:sz w:val="20"/>
        </w:rPr>
        <w:t>024.</w:t>
      </w:r>
    </w:p>
    <w:p>
      <w:pPr>
        <w:pStyle w:val="BodyText"/>
        <w:spacing w:before="5"/>
      </w:pPr>
    </w:p>
    <w:p>
      <w:pPr>
        <w:tabs>
          <w:tab w:pos="705" w:val="left" w:leader="none"/>
        </w:tabs>
        <w:spacing w:before="0"/>
        <w:ind w:left="165" w:right="0" w:firstLine="0"/>
        <w:jc w:val="left"/>
        <w:rPr>
          <w:sz w:val="20"/>
        </w:rPr>
      </w:pPr>
      <w:bookmarkStart w:name="_bookmark418" w:id="420"/>
      <w:bookmarkEnd w:id="420"/>
      <w:r>
        <w:rPr/>
      </w:r>
      <w:hyperlink w:history="true" w:anchor="_bookmark292">
        <w:r>
          <w:rPr>
            <w:color w:val="005DA1"/>
            <w:spacing w:val="-4"/>
            <w:position w:val="5"/>
            <w:sz w:val="14"/>
            <w:u w:val="single" w:color="005DA1"/>
          </w:rPr>
          <w:t>170</w:t>
        </w:r>
      </w:hyperlink>
      <w:r>
        <w:rPr>
          <w:spacing w:val="-4"/>
          <w:position w:val="5"/>
          <w:sz w:val="14"/>
        </w:rPr>
        <w:t>.</w:t>
      </w:r>
      <w:r>
        <w:rPr>
          <w:position w:val="5"/>
          <w:sz w:val="14"/>
        </w:rPr>
        <w:tab/>
      </w:r>
      <w:r>
        <w:rPr>
          <w:rFonts w:ascii="Arial"/>
          <w:i/>
          <w:sz w:val="20"/>
        </w:rPr>
        <w:t>[1983]</w:t>
      </w:r>
      <w:r>
        <w:rPr>
          <w:rFonts w:ascii="Arial"/>
          <w:i/>
          <w:spacing w:val="-2"/>
          <w:sz w:val="20"/>
        </w:rPr>
        <w:t> </w:t>
      </w:r>
      <w:r>
        <w:rPr>
          <w:rFonts w:ascii="Arial"/>
          <w:i/>
          <w:sz w:val="20"/>
        </w:rPr>
        <w:t>1 A.C. 520, </w:t>
      </w:r>
      <w:r>
        <w:rPr>
          <w:rFonts w:ascii="Arial"/>
          <w:i/>
          <w:spacing w:val="-4"/>
          <w:sz w:val="20"/>
        </w:rPr>
        <w:t>546</w:t>
      </w:r>
      <w:r>
        <w:rPr>
          <w:spacing w:val="-4"/>
          <w:sz w:val="20"/>
        </w:rPr>
        <w:t>.</w:t>
      </w:r>
    </w:p>
    <w:p>
      <w:pPr>
        <w:spacing w:after="0"/>
        <w:jc w:val="lef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293">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Murphy v Brentwood DC [1991] 1 A.C. 398, 466, </w:t>
      </w:r>
      <w:r>
        <w:rPr>
          <w:rFonts w:ascii="Arial"/>
          <w:i/>
          <w:spacing w:val="-4"/>
          <w:sz w:val="20"/>
        </w:rPr>
        <w:t>481</w:t>
      </w:r>
      <w:r>
        <w:rPr>
          <w:spacing w:val="-4"/>
          <w:sz w:val="20"/>
        </w:rPr>
        <w:t>.</w:t>
      </w:r>
    </w:p>
    <w:p>
      <w:pPr>
        <w:pStyle w:val="BodyText"/>
        <w:spacing w:before="5"/>
      </w:pPr>
    </w:p>
    <w:p>
      <w:pPr>
        <w:pStyle w:val="BodyText"/>
        <w:tabs>
          <w:tab w:pos="705" w:val="left" w:leader="none"/>
        </w:tabs>
        <w:ind w:left="165"/>
      </w:pPr>
      <w:bookmarkStart w:name="_bookmark419" w:id="421"/>
      <w:bookmarkEnd w:id="421"/>
      <w:r>
        <w:rPr/>
      </w:r>
      <w:hyperlink w:history="true" w:anchor="_bookmark294">
        <w:r>
          <w:rPr>
            <w:color w:val="005DA1"/>
            <w:spacing w:val="-4"/>
            <w:position w:val="5"/>
            <w:sz w:val="14"/>
            <w:u w:val="single" w:color="005DA1"/>
          </w:rPr>
          <w:t>172</w:t>
        </w:r>
      </w:hyperlink>
      <w:r>
        <w:rPr>
          <w:spacing w:val="-4"/>
          <w:position w:val="5"/>
          <w:sz w:val="14"/>
        </w:rPr>
        <w:t>.</w:t>
      </w:r>
      <w:r>
        <w:rPr>
          <w:position w:val="5"/>
          <w:sz w:val="14"/>
        </w:rPr>
        <w:tab/>
      </w:r>
      <w:r>
        <w:rPr/>
        <w:t>Below, para.18-038, nn.233 and </w:t>
      </w:r>
      <w:r>
        <w:rPr>
          <w:spacing w:val="-4"/>
        </w:rPr>
        <w:t>234.</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420" w:id="422"/>
      <w:bookmarkEnd w:id="422"/>
      <w:r>
        <w:rPr/>
      </w:r>
      <w:hyperlink w:history="true" w:anchor="_bookmark295">
        <w:r>
          <w:rPr>
            <w:color w:val="005DA1"/>
            <w:spacing w:val="-4"/>
            <w:position w:val="5"/>
            <w:sz w:val="14"/>
            <w:u w:val="single" w:color="005DA1"/>
          </w:rPr>
          <w:t>173</w:t>
        </w:r>
      </w:hyperlink>
      <w:r>
        <w:rPr>
          <w:spacing w:val="-4"/>
          <w:position w:val="5"/>
          <w:sz w:val="14"/>
        </w:rPr>
        <w:t>.</w:t>
      </w:r>
      <w:r>
        <w:rPr>
          <w:position w:val="5"/>
          <w:sz w:val="14"/>
        </w:rPr>
        <w:tab/>
      </w:r>
      <w:r>
        <w:rPr>
          <w:rFonts w:ascii="Arial"/>
          <w:i/>
          <w:sz w:val="20"/>
        </w:rPr>
        <w:t>D. &amp; F. Estates Ltd v Church Commissioners for England [1989] A.C. 177, 202</w:t>
      </w:r>
      <w:r>
        <w:rPr>
          <w:sz w:val="20"/>
        </w:rPr>
        <w:t>; cf. </w:t>
      </w:r>
      <w:r>
        <w:rPr>
          <w:rFonts w:ascii="Arial"/>
          <w:i/>
          <w:sz w:val="20"/>
        </w:rPr>
        <w:t>Van </w:t>
      </w:r>
      <w:r>
        <w:rPr>
          <w:rFonts w:ascii="Arial"/>
          <w:i/>
          <w:sz w:val="20"/>
        </w:rPr>
        <w:t>Oppen</w:t>
      </w:r>
      <w:r>
        <w:rPr>
          <w:rFonts w:ascii="Arial"/>
          <w:i/>
          <w:spacing w:val="40"/>
          <w:sz w:val="20"/>
        </w:rPr>
        <w:t> </w:t>
      </w:r>
      <w:r>
        <w:rPr>
          <w:rFonts w:ascii="Arial"/>
          <w:i/>
          <w:sz w:val="20"/>
        </w:rPr>
        <w:t>v Clerk to the Bedford Charity Trustees [1989] 1 All E.R. 273, 289; affirmed [1990] 1 W.L.R. </w:t>
      </w:r>
      <w:r>
        <w:rPr>
          <w:rFonts w:ascii="Arial"/>
          <w:i/>
          <w:spacing w:val="-5"/>
          <w:sz w:val="20"/>
        </w:rPr>
        <w:t>235</w:t>
      </w:r>
    </w:p>
    <w:p>
      <w:pPr>
        <w:spacing w:line="235" w:lineRule="auto" w:before="0"/>
        <w:ind w:left="705" w:right="0" w:firstLine="0"/>
        <w:jc w:val="left"/>
        <w:rPr>
          <w:sz w:val="20"/>
        </w:rPr>
      </w:pPr>
      <w:r>
        <w:rPr>
          <w:sz w:val="20"/>
        </w:rPr>
        <w:t>; </w:t>
      </w:r>
      <w:r>
        <w:rPr>
          <w:rFonts w:ascii="Arial" w:hAnsi="Arial"/>
          <w:i/>
          <w:sz w:val="20"/>
        </w:rPr>
        <w:t>Duncan Stevenson MacMillan v A.W. Knott Becker Scott Ltd [1990] 1 Lloyd’s Rep. 98</w:t>
      </w:r>
      <w:r>
        <w:rPr>
          <w:sz w:val="20"/>
        </w:rPr>
        <w:t>; </w:t>
      </w:r>
      <w:r>
        <w:rPr>
          <w:rFonts w:ascii="Arial" w:hAnsi="Arial"/>
          <w:i/>
          <w:sz w:val="20"/>
        </w:rPr>
        <w:t>Nitrigin Eirann Teoranta v Inco Alloys Ltd [1992] 1 W.L.R. 498, 504</w:t>
      </w:r>
      <w:r>
        <w:rPr>
          <w:sz w:val="20"/>
        </w:rPr>
        <w:t>.</w:t>
      </w:r>
    </w:p>
    <w:p>
      <w:pPr>
        <w:pStyle w:val="BodyText"/>
        <w:spacing w:before="4"/>
      </w:pPr>
    </w:p>
    <w:p>
      <w:pPr>
        <w:tabs>
          <w:tab w:pos="705" w:val="left" w:leader="none"/>
        </w:tabs>
        <w:spacing w:before="1"/>
        <w:ind w:left="165" w:right="0" w:firstLine="0"/>
        <w:jc w:val="left"/>
        <w:rPr>
          <w:sz w:val="20"/>
        </w:rPr>
      </w:pPr>
      <w:bookmarkStart w:name="_bookmark421" w:id="423"/>
      <w:bookmarkEnd w:id="423"/>
      <w:r>
        <w:rPr/>
      </w:r>
      <w:hyperlink w:history="true" w:anchor="_bookmark296">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Simaan General Contracting Co v Pilkington Glass Ltd (No.2) [1988] Q.B. 758, </w:t>
      </w:r>
      <w:r>
        <w:rPr>
          <w:rFonts w:ascii="Arial"/>
          <w:i/>
          <w:spacing w:val="-4"/>
          <w:sz w:val="20"/>
        </w:rPr>
        <w:t>784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22" w:id="424"/>
      <w:bookmarkEnd w:id="424"/>
      <w:r>
        <w:rPr/>
      </w:r>
      <w:hyperlink w:history="true" w:anchor="_bookmark297">
        <w:r>
          <w:rPr>
            <w:color w:val="005DA1"/>
            <w:spacing w:val="-4"/>
            <w:position w:val="5"/>
            <w:sz w:val="14"/>
            <w:u w:val="single" w:color="005DA1"/>
          </w:rPr>
          <w:t>175</w:t>
        </w:r>
      </w:hyperlink>
      <w:r>
        <w:rPr>
          <w:spacing w:val="-4"/>
          <w:position w:val="5"/>
          <w:sz w:val="14"/>
        </w:rPr>
        <w:t>.</w:t>
      </w:r>
      <w:r>
        <w:rPr>
          <w:position w:val="5"/>
          <w:sz w:val="14"/>
        </w:rPr>
        <w:tab/>
      </w:r>
      <w:r>
        <w:rPr>
          <w:rFonts w:ascii="Arial"/>
          <w:i/>
          <w:sz w:val="20"/>
        </w:rPr>
        <w:t>D. &amp; F. Estates Ltd v Church Commissioners for England [1989] A.C. 177, </w:t>
      </w:r>
      <w:r>
        <w:rPr>
          <w:rFonts w:ascii="Arial"/>
          <w:i/>
          <w:spacing w:val="-4"/>
          <w:sz w:val="20"/>
        </w:rPr>
        <w:t>202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23" w:id="425"/>
      <w:bookmarkEnd w:id="425"/>
      <w:r>
        <w:rPr/>
      </w:r>
      <w:hyperlink w:history="true" w:anchor="_bookmark297">
        <w:r>
          <w:rPr>
            <w:color w:val="005DA1"/>
            <w:spacing w:val="-4"/>
            <w:position w:val="5"/>
            <w:sz w:val="14"/>
            <w:u w:val="single" w:color="005DA1"/>
          </w:rPr>
          <w:t>176</w:t>
        </w:r>
      </w:hyperlink>
      <w:r>
        <w:rPr>
          <w:spacing w:val="-4"/>
          <w:position w:val="5"/>
          <w:sz w:val="14"/>
        </w:rPr>
        <w:t>.</w:t>
      </w:r>
      <w:r>
        <w:rPr>
          <w:position w:val="5"/>
          <w:sz w:val="14"/>
        </w:rPr>
        <w:tab/>
      </w:r>
      <w:r>
        <w:rPr>
          <w:sz w:val="20"/>
        </w:rPr>
        <w:t>ibid., at </w:t>
      </w:r>
      <w:r>
        <w:rPr>
          <w:spacing w:val="-4"/>
          <w:sz w:val="20"/>
        </w:rPr>
        <w:t>215.</w:t>
      </w:r>
    </w:p>
    <w:p>
      <w:pPr>
        <w:pStyle w:val="BodyText"/>
        <w:spacing w:before="8"/>
      </w:pPr>
    </w:p>
    <w:p>
      <w:pPr>
        <w:spacing w:line="235" w:lineRule="auto" w:before="0"/>
        <w:ind w:left="705" w:right="167" w:hanging="541"/>
        <w:jc w:val="both"/>
        <w:rPr>
          <w:rFonts w:ascii="Arial"/>
          <w:i/>
          <w:sz w:val="20"/>
        </w:rPr>
      </w:pPr>
      <w:bookmarkStart w:name="_bookmark424" w:id="426"/>
      <w:bookmarkEnd w:id="426"/>
      <w:r>
        <w:rPr/>
      </w:r>
      <w:hyperlink w:history="true" w:anchor="_bookmark298">
        <w:r>
          <w:rPr>
            <w:color w:val="005DA1"/>
            <w:position w:val="5"/>
            <w:sz w:val="14"/>
            <w:u w:val="single" w:color="005DA1"/>
          </w:rPr>
          <w:t>177</w:t>
        </w:r>
      </w:hyperlink>
      <w:r>
        <w:rPr>
          <w:position w:val="5"/>
          <w:sz w:val="14"/>
        </w:rPr>
        <w:t>.</w:t>
      </w:r>
      <w:r>
        <w:rPr>
          <w:spacing w:val="40"/>
          <w:position w:val="5"/>
          <w:sz w:val="14"/>
        </w:rPr>
        <w:t>  </w:t>
      </w:r>
      <w:r>
        <w:rPr>
          <w:sz w:val="20"/>
        </w:rPr>
        <w:t>ibid., at 202, 215; </w:t>
      </w:r>
      <w:r>
        <w:rPr>
          <w:rFonts w:ascii="Arial"/>
          <w:i/>
          <w:sz w:val="20"/>
        </w:rPr>
        <w:t>Department of the Environment v Thomas Bates &amp; Son Ltd [1989] 1 All E.R. 1075,</w:t>
      </w:r>
      <w:r>
        <w:rPr>
          <w:rFonts w:ascii="Arial"/>
          <w:i/>
          <w:spacing w:val="30"/>
          <w:sz w:val="20"/>
        </w:rPr>
        <w:t> </w:t>
      </w:r>
      <w:r>
        <w:rPr>
          <w:rFonts w:ascii="Arial"/>
          <w:i/>
          <w:sz w:val="20"/>
        </w:rPr>
        <w:t>1084;</w:t>
      </w:r>
      <w:r>
        <w:rPr>
          <w:rFonts w:ascii="Arial"/>
          <w:i/>
          <w:spacing w:val="33"/>
          <w:sz w:val="20"/>
        </w:rPr>
        <w:t> </w:t>
      </w:r>
      <w:r>
        <w:rPr>
          <w:rFonts w:ascii="Arial"/>
          <w:i/>
          <w:sz w:val="20"/>
        </w:rPr>
        <w:t>affirmed</w:t>
      </w:r>
      <w:r>
        <w:rPr>
          <w:rFonts w:ascii="Arial"/>
          <w:i/>
          <w:spacing w:val="33"/>
          <w:sz w:val="20"/>
        </w:rPr>
        <w:t> </w:t>
      </w:r>
      <w:r>
        <w:rPr>
          <w:rFonts w:ascii="Arial"/>
          <w:i/>
          <w:sz w:val="20"/>
        </w:rPr>
        <w:t>[1991]</w:t>
      </w:r>
      <w:r>
        <w:rPr>
          <w:rFonts w:ascii="Arial"/>
          <w:i/>
          <w:spacing w:val="33"/>
          <w:sz w:val="20"/>
        </w:rPr>
        <w:t> </w:t>
      </w:r>
      <w:r>
        <w:rPr>
          <w:rFonts w:ascii="Arial"/>
          <w:i/>
          <w:sz w:val="20"/>
        </w:rPr>
        <w:t>1</w:t>
      </w:r>
      <w:r>
        <w:rPr>
          <w:rFonts w:ascii="Arial"/>
          <w:i/>
          <w:spacing w:val="33"/>
          <w:sz w:val="20"/>
        </w:rPr>
        <w:t> </w:t>
      </w:r>
      <w:r>
        <w:rPr>
          <w:rFonts w:ascii="Arial"/>
          <w:i/>
          <w:sz w:val="20"/>
        </w:rPr>
        <w:t>A.C.</w:t>
      </w:r>
      <w:r>
        <w:rPr>
          <w:rFonts w:ascii="Arial"/>
          <w:i/>
          <w:spacing w:val="33"/>
          <w:sz w:val="20"/>
        </w:rPr>
        <w:t> </w:t>
      </w:r>
      <w:r>
        <w:rPr>
          <w:rFonts w:ascii="Arial"/>
          <w:i/>
          <w:sz w:val="20"/>
        </w:rPr>
        <w:t>499</w:t>
      </w:r>
      <w:r>
        <w:rPr>
          <w:sz w:val="20"/>
        </w:rPr>
        <w:t>;</w:t>
      </w:r>
      <w:r>
        <w:rPr>
          <w:spacing w:val="33"/>
          <w:sz w:val="20"/>
        </w:rPr>
        <w:t> </w:t>
      </w:r>
      <w:r>
        <w:rPr>
          <w:rFonts w:ascii="Arial"/>
          <w:i/>
          <w:sz w:val="20"/>
        </w:rPr>
        <w:t>Islander</w:t>
      </w:r>
      <w:r>
        <w:rPr>
          <w:rFonts w:ascii="Arial"/>
          <w:i/>
          <w:spacing w:val="33"/>
          <w:sz w:val="20"/>
        </w:rPr>
        <w:t> </w:t>
      </w:r>
      <w:r>
        <w:rPr>
          <w:rFonts w:ascii="Arial"/>
          <w:i/>
          <w:sz w:val="20"/>
        </w:rPr>
        <w:t>Trucking</w:t>
      </w:r>
      <w:r>
        <w:rPr>
          <w:rFonts w:ascii="Arial"/>
          <w:i/>
          <w:spacing w:val="33"/>
          <w:sz w:val="20"/>
        </w:rPr>
        <w:t> </w:t>
      </w:r>
      <w:r>
        <w:rPr>
          <w:rFonts w:ascii="Arial"/>
          <w:i/>
          <w:sz w:val="20"/>
        </w:rPr>
        <w:t>Ltd</w:t>
      </w:r>
      <w:r>
        <w:rPr>
          <w:rFonts w:ascii="Arial"/>
          <w:i/>
          <w:spacing w:val="33"/>
          <w:sz w:val="20"/>
        </w:rPr>
        <w:t> </w:t>
      </w:r>
      <w:r>
        <w:rPr>
          <w:rFonts w:ascii="Arial"/>
          <w:i/>
          <w:sz w:val="20"/>
        </w:rPr>
        <w:t>v</w:t>
      </w:r>
      <w:r>
        <w:rPr>
          <w:rFonts w:ascii="Arial"/>
          <w:i/>
          <w:spacing w:val="33"/>
          <w:sz w:val="20"/>
        </w:rPr>
        <w:t> </w:t>
      </w:r>
      <w:r>
        <w:rPr>
          <w:rFonts w:ascii="Arial"/>
          <w:i/>
          <w:sz w:val="20"/>
        </w:rPr>
        <w:t>Hogg</w:t>
      </w:r>
      <w:r>
        <w:rPr>
          <w:rFonts w:ascii="Arial"/>
          <w:i/>
          <w:spacing w:val="33"/>
          <w:sz w:val="20"/>
        </w:rPr>
        <w:t> </w:t>
      </w:r>
      <w:r>
        <w:rPr>
          <w:rFonts w:ascii="Arial"/>
          <w:i/>
          <w:sz w:val="20"/>
        </w:rPr>
        <w:t>Robinson</w:t>
      </w:r>
      <w:r>
        <w:rPr>
          <w:rFonts w:ascii="Arial"/>
          <w:i/>
          <w:spacing w:val="33"/>
          <w:sz w:val="20"/>
        </w:rPr>
        <w:t> </w:t>
      </w:r>
      <w:r>
        <w:rPr>
          <w:rFonts w:ascii="Arial"/>
          <w:i/>
          <w:sz w:val="20"/>
        </w:rPr>
        <w:t>&amp;</w:t>
      </w:r>
      <w:r>
        <w:rPr>
          <w:rFonts w:ascii="Arial"/>
          <w:i/>
          <w:spacing w:val="33"/>
          <w:sz w:val="20"/>
        </w:rPr>
        <w:t> </w:t>
      </w:r>
      <w:r>
        <w:rPr>
          <w:rFonts w:ascii="Arial"/>
          <w:i/>
          <w:spacing w:val="-2"/>
          <w:sz w:val="20"/>
        </w:rPr>
        <w:t>Gardner</w:t>
      </w:r>
    </w:p>
    <w:p>
      <w:pPr>
        <w:spacing w:line="235" w:lineRule="auto" w:before="0"/>
        <w:ind w:left="705" w:right="168" w:firstLine="0"/>
        <w:jc w:val="both"/>
        <w:rPr>
          <w:sz w:val="20"/>
        </w:rPr>
      </w:pPr>
      <w:r>
        <w:rPr>
          <w:rFonts w:ascii="Arial"/>
          <w:i/>
          <w:sz w:val="20"/>
        </w:rPr>
        <w:t>Mountain (Marine) Ltd [1990] 1 All E.R. 826, 829</w:t>
      </w:r>
      <w:r>
        <w:rPr>
          <w:sz w:val="20"/>
        </w:rPr>
        <w:t>; cf. </w:t>
      </w:r>
      <w:r>
        <w:rPr>
          <w:rFonts w:ascii="Arial"/>
          <w:i/>
          <w:sz w:val="20"/>
        </w:rPr>
        <w:t>Murphy v Brentwood DC [1991] 1 </w:t>
      </w:r>
      <w:r>
        <w:rPr>
          <w:rFonts w:ascii="Arial"/>
          <w:i/>
          <w:sz w:val="20"/>
        </w:rPr>
        <w:t>A.C.</w:t>
      </w:r>
      <w:r>
        <w:rPr>
          <w:rFonts w:ascii="Arial"/>
          <w:i/>
          <w:spacing w:val="40"/>
          <w:sz w:val="20"/>
        </w:rPr>
        <w:t> </w:t>
      </w:r>
      <w:r>
        <w:rPr>
          <w:rFonts w:ascii="Arial"/>
          <w:i/>
          <w:sz w:val="20"/>
        </w:rPr>
        <w:t>398, 466, 469</w:t>
      </w:r>
      <w:r>
        <w:rPr>
          <w:sz w:val="20"/>
        </w:rPr>
        <w:t>; and, in Scotland, </w:t>
      </w:r>
      <w:r>
        <w:rPr>
          <w:rFonts w:ascii="Arial"/>
          <w:i/>
          <w:sz w:val="20"/>
        </w:rPr>
        <w:t>Strathford East Kilbride Ltd v Film Design Ltd, 1997 S.C.L.R. </w:t>
      </w:r>
      <w:r>
        <w:rPr>
          <w:rFonts w:ascii="Arial"/>
          <w:i/>
          <w:spacing w:val="-4"/>
          <w:sz w:val="20"/>
        </w:rPr>
        <w:t>877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25" w:id="427"/>
      <w:bookmarkEnd w:id="427"/>
      <w:r>
        <w:rPr/>
      </w:r>
      <w:hyperlink w:history="true" w:anchor="_bookmark299">
        <w:r>
          <w:rPr>
            <w:color w:val="005DA1"/>
            <w:spacing w:val="-4"/>
            <w:position w:val="5"/>
            <w:sz w:val="14"/>
            <w:u w:val="single" w:color="005DA1"/>
          </w:rPr>
          <w:t>178</w:t>
        </w:r>
      </w:hyperlink>
      <w:r>
        <w:rPr>
          <w:spacing w:val="-4"/>
          <w:position w:val="5"/>
          <w:sz w:val="14"/>
        </w:rPr>
        <w:t>.</w:t>
      </w:r>
      <w:r>
        <w:rPr>
          <w:position w:val="5"/>
          <w:sz w:val="14"/>
        </w:rPr>
        <w:tab/>
      </w:r>
      <w:r>
        <w:rPr>
          <w:sz w:val="20"/>
        </w:rPr>
        <w:t>i.e.</w:t>
      </w:r>
      <w:r>
        <w:rPr>
          <w:spacing w:val="-1"/>
          <w:sz w:val="20"/>
        </w:rPr>
        <w:t> </w:t>
      </w:r>
      <w:r>
        <w:rPr>
          <w:rFonts w:ascii="Arial"/>
          <w:i/>
          <w:sz w:val="20"/>
        </w:rPr>
        <w:t>Anns v Merton LBC [1978] A.C. 728</w:t>
      </w:r>
      <w:r>
        <w:rPr>
          <w:sz w:val="20"/>
        </w:rPr>
        <w:t>; </w:t>
      </w:r>
      <w:r>
        <w:rPr>
          <w:rFonts w:ascii="Arial"/>
          <w:i/>
          <w:sz w:val="20"/>
        </w:rPr>
        <w:t>Dutton v Bognor Regis B. Co Ltd [1972] 1 Q.B. </w:t>
      </w:r>
      <w:r>
        <w:rPr>
          <w:rFonts w:ascii="Arial"/>
          <w:i/>
          <w:spacing w:val="-4"/>
          <w:sz w:val="20"/>
        </w:rPr>
        <w:t>373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26" w:id="428"/>
      <w:bookmarkEnd w:id="428"/>
      <w:r>
        <w:rPr/>
      </w:r>
      <w:hyperlink w:history="true" w:anchor="_bookmark300">
        <w:r>
          <w:rPr>
            <w:color w:val="005DA1"/>
            <w:spacing w:val="-4"/>
            <w:position w:val="5"/>
            <w:sz w:val="14"/>
            <w:u w:val="single" w:color="005DA1"/>
          </w:rPr>
          <w:t>179</w:t>
        </w:r>
      </w:hyperlink>
      <w:r>
        <w:rPr>
          <w:spacing w:val="-4"/>
          <w:position w:val="5"/>
          <w:sz w:val="14"/>
        </w:rPr>
        <w:t>.</w:t>
      </w:r>
      <w:r>
        <w:rPr>
          <w:position w:val="5"/>
          <w:sz w:val="14"/>
        </w:rPr>
        <w:tab/>
      </w:r>
      <w:r>
        <w:rPr>
          <w:rFonts w:ascii="Arial"/>
          <w:i/>
          <w:sz w:val="20"/>
        </w:rPr>
        <w:t>Stovin v Wise [1996] A.C. 923, </w:t>
      </w:r>
      <w:r>
        <w:rPr>
          <w:rFonts w:ascii="Arial"/>
          <w:i/>
          <w:spacing w:val="-4"/>
          <w:sz w:val="20"/>
        </w:rPr>
        <w:t>949</w:t>
      </w:r>
      <w:r>
        <w:rPr>
          <w:spacing w:val="-4"/>
          <w:sz w:val="20"/>
        </w:rPr>
        <w:t>.</w:t>
      </w:r>
    </w:p>
    <w:p>
      <w:pPr>
        <w:pStyle w:val="BodyText"/>
        <w:spacing w:before="5"/>
      </w:pPr>
    </w:p>
    <w:p>
      <w:pPr>
        <w:spacing w:line="227" w:lineRule="exact" w:before="0"/>
        <w:ind w:left="165" w:right="0" w:firstLine="0"/>
        <w:jc w:val="both"/>
        <w:rPr>
          <w:rFonts w:ascii="Arial"/>
          <w:i/>
          <w:sz w:val="20"/>
        </w:rPr>
      </w:pPr>
      <w:bookmarkStart w:name="_bookmark427" w:id="429"/>
      <w:bookmarkEnd w:id="429"/>
      <w:r>
        <w:rPr/>
      </w:r>
      <w:hyperlink w:history="true" w:anchor="_bookmark300">
        <w:r>
          <w:rPr>
            <w:color w:val="005DA1"/>
            <w:position w:val="5"/>
            <w:sz w:val="14"/>
            <w:u w:val="single" w:color="005DA1"/>
          </w:rPr>
          <w:t>180</w:t>
        </w:r>
      </w:hyperlink>
      <w:r>
        <w:rPr>
          <w:position w:val="5"/>
          <w:sz w:val="14"/>
        </w:rPr>
        <w:t>.</w:t>
      </w:r>
      <w:r>
        <w:rPr>
          <w:spacing w:val="75"/>
          <w:w w:val="150"/>
          <w:position w:val="5"/>
          <w:sz w:val="14"/>
        </w:rPr>
        <w:t>  </w:t>
      </w:r>
      <w:r>
        <w:rPr>
          <w:rFonts w:ascii="Arial"/>
          <w:i/>
          <w:sz w:val="20"/>
        </w:rPr>
        <w:t>Murphy</w:t>
      </w:r>
      <w:r>
        <w:rPr>
          <w:rFonts w:ascii="Arial"/>
          <w:i/>
          <w:spacing w:val="13"/>
          <w:sz w:val="20"/>
        </w:rPr>
        <w:t> </w:t>
      </w:r>
      <w:r>
        <w:rPr>
          <w:rFonts w:ascii="Arial"/>
          <w:i/>
          <w:sz w:val="20"/>
        </w:rPr>
        <w:t>v</w:t>
      </w:r>
      <w:r>
        <w:rPr>
          <w:rFonts w:ascii="Arial"/>
          <w:i/>
          <w:spacing w:val="13"/>
          <w:sz w:val="20"/>
        </w:rPr>
        <w:t> </w:t>
      </w:r>
      <w:r>
        <w:rPr>
          <w:rFonts w:ascii="Arial"/>
          <w:i/>
          <w:sz w:val="20"/>
        </w:rPr>
        <w:t>Brentwood</w:t>
      </w:r>
      <w:r>
        <w:rPr>
          <w:rFonts w:ascii="Arial"/>
          <w:i/>
          <w:spacing w:val="13"/>
          <w:sz w:val="20"/>
        </w:rPr>
        <w:t> </w:t>
      </w:r>
      <w:r>
        <w:rPr>
          <w:rFonts w:ascii="Arial"/>
          <w:i/>
          <w:sz w:val="20"/>
        </w:rPr>
        <w:t>DC</w:t>
      </w:r>
      <w:r>
        <w:rPr>
          <w:rFonts w:ascii="Arial"/>
          <w:i/>
          <w:spacing w:val="13"/>
          <w:sz w:val="20"/>
        </w:rPr>
        <w:t> </w:t>
      </w:r>
      <w:r>
        <w:rPr>
          <w:rFonts w:ascii="Arial"/>
          <w:i/>
          <w:sz w:val="20"/>
        </w:rPr>
        <w:t>[1991]</w:t>
      </w:r>
      <w:r>
        <w:rPr>
          <w:rFonts w:ascii="Arial"/>
          <w:i/>
          <w:spacing w:val="13"/>
          <w:sz w:val="20"/>
        </w:rPr>
        <w:t> </w:t>
      </w:r>
      <w:r>
        <w:rPr>
          <w:rFonts w:ascii="Arial"/>
          <w:i/>
          <w:sz w:val="20"/>
        </w:rPr>
        <w:t>1</w:t>
      </w:r>
      <w:r>
        <w:rPr>
          <w:rFonts w:ascii="Arial"/>
          <w:i/>
          <w:spacing w:val="13"/>
          <w:sz w:val="20"/>
        </w:rPr>
        <w:t> </w:t>
      </w:r>
      <w:r>
        <w:rPr>
          <w:rFonts w:ascii="Arial"/>
          <w:i/>
          <w:sz w:val="20"/>
        </w:rPr>
        <w:t>A.C.</w:t>
      </w:r>
      <w:r>
        <w:rPr>
          <w:rFonts w:ascii="Arial"/>
          <w:i/>
          <w:spacing w:val="13"/>
          <w:sz w:val="20"/>
        </w:rPr>
        <w:t> </w:t>
      </w:r>
      <w:r>
        <w:rPr>
          <w:rFonts w:ascii="Arial"/>
          <w:i/>
          <w:sz w:val="20"/>
        </w:rPr>
        <w:t>398</w:t>
      </w:r>
      <w:r>
        <w:rPr>
          <w:sz w:val="20"/>
        </w:rPr>
        <w:t>.</w:t>
      </w:r>
      <w:r>
        <w:rPr>
          <w:spacing w:val="12"/>
          <w:sz w:val="20"/>
        </w:rPr>
        <w:t> </w:t>
      </w:r>
      <w:r>
        <w:rPr>
          <w:sz w:val="20"/>
        </w:rPr>
        <w:t>Contrast</w:t>
      </w:r>
      <w:r>
        <w:rPr>
          <w:spacing w:val="13"/>
          <w:sz w:val="20"/>
        </w:rPr>
        <w:t> </w:t>
      </w:r>
      <w:r>
        <w:rPr>
          <w:sz w:val="20"/>
        </w:rPr>
        <w:t>in</w:t>
      </w:r>
      <w:r>
        <w:rPr>
          <w:spacing w:val="13"/>
          <w:sz w:val="20"/>
        </w:rPr>
        <w:t> </w:t>
      </w:r>
      <w:r>
        <w:rPr>
          <w:sz w:val="20"/>
        </w:rPr>
        <w:t>Australia</w:t>
      </w:r>
      <w:r>
        <w:rPr>
          <w:spacing w:val="13"/>
          <w:sz w:val="20"/>
        </w:rPr>
        <w:t> </w:t>
      </w:r>
      <w:r>
        <w:rPr>
          <w:rFonts w:ascii="Arial"/>
          <w:i/>
          <w:sz w:val="20"/>
        </w:rPr>
        <w:t>Bryan</w:t>
      </w:r>
      <w:r>
        <w:rPr>
          <w:rFonts w:ascii="Arial"/>
          <w:i/>
          <w:spacing w:val="13"/>
          <w:sz w:val="20"/>
        </w:rPr>
        <w:t> </w:t>
      </w:r>
      <w:r>
        <w:rPr>
          <w:rFonts w:ascii="Arial"/>
          <w:i/>
          <w:sz w:val="20"/>
        </w:rPr>
        <w:t>v</w:t>
      </w:r>
      <w:r>
        <w:rPr>
          <w:rFonts w:ascii="Arial"/>
          <w:i/>
          <w:spacing w:val="13"/>
          <w:sz w:val="20"/>
        </w:rPr>
        <w:t> </w:t>
      </w:r>
      <w:r>
        <w:rPr>
          <w:rFonts w:ascii="Arial"/>
          <w:i/>
          <w:sz w:val="20"/>
        </w:rPr>
        <w:t>Maloney</w:t>
      </w:r>
      <w:r>
        <w:rPr>
          <w:rFonts w:ascii="Arial"/>
          <w:i/>
          <w:spacing w:val="13"/>
          <w:sz w:val="20"/>
        </w:rPr>
        <w:t> </w:t>
      </w:r>
      <w:r>
        <w:rPr>
          <w:rFonts w:ascii="Arial"/>
          <w:i/>
          <w:sz w:val="20"/>
        </w:rPr>
        <w:t>(1995)</w:t>
      </w:r>
      <w:r>
        <w:rPr>
          <w:rFonts w:ascii="Arial"/>
          <w:i/>
          <w:spacing w:val="13"/>
          <w:sz w:val="20"/>
        </w:rPr>
        <w:t> </w:t>
      </w:r>
      <w:r>
        <w:rPr>
          <w:rFonts w:ascii="Arial"/>
          <w:i/>
          <w:spacing w:val="-5"/>
          <w:sz w:val="20"/>
        </w:rPr>
        <w:t>182</w:t>
      </w:r>
    </w:p>
    <w:p>
      <w:pPr>
        <w:spacing w:line="235" w:lineRule="auto" w:before="1"/>
        <w:ind w:left="705" w:right="167" w:firstLine="0"/>
        <w:jc w:val="both"/>
        <w:rPr>
          <w:sz w:val="20"/>
        </w:rPr>
      </w:pPr>
      <w:r>
        <w:rPr>
          <w:rFonts w:ascii="Arial"/>
          <w:i/>
          <w:sz w:val="20"/>
        </w:rPr>
        <w:t>C.L.R. 609</w:t>
      </w:r>
      <w:r>
        <w:rPr>
          <w:sz w:val="20"/>
        </w:rPr>
        <w:t>; in New Zealand (as accepted by the Privy Council) </w:t>
      </w:r>
      <w:r>
        <w:rPr>
          <w:rFonts w:ascii="Arial"/>
          <w:i/>
          <w:sz w:val="20"/>
        </w:rPr>
        <w:t>Invercargill City Council </w:t>
      </w:r>
      <w:r>
        <w:rPr>
          <w:rFonts w:ascii="Arial"/>
          <w:i/>
          <w:sz w:val="20"/>
        </w:rPr>
        <w:t>v Hamlin [1996] A.C. 624</w:t>
      </w:r>
      <w:r>
        <w:rPr>
          <w:sz w:val="20"/>
        </w:rPr>
        <w:t>; in Canada </w:t>
      </w:r>
      <w:r>
        <w:rPr>
          <w:rFonts w:ascii="Arial"/>
          <w:i/>
          <w:sz w:val="20"/>
        </w:rPr>
        <w:t>Winnipeg Condominium Corp. v Bird Construction Co Ltd (1995) 121 D.L.R. (4th) 193 </w:t>
      </w:r>
      <w:r>
        <w:rPr>
          <w:sz w:val="20"/>
        </w:rPr>
        <w:t>(where the defect made the building dangerous); and in </w:t>
      </w:r>
      <w:r>
        <w:rPr>
          <w:sz w:val="20"/>
        </w:rPr>
        <w:t>Singapore </w:t>
      </w:r>
      <w:r>
        <w:rPr>
          <w:rFonts w:ascii="Arial"/>
          <w:i/>
          <w:sz w:val="20"/>
        </w:rPr>
        <w:t>RSP Architects Planners &amp; Engineers v Ocean Front Ltd (1998) 14 Const.L.J. 139</w:t>
      </w:r>
      <w:r>
        <w:rPr>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428" w:id="430"/>
      <w:bookmarkEnd w:id="430"/>
      <w:r>
        <w:rPr/>
      </w:r>
      <w:hyperlink w:history="true" w:anchor="_bookmark301">
        <w:r>
          <w:rPr>
            <w:color w:val="005DA1"/>
            <w:spacing w:val="-4"/>
            <w:position w:val="5"/>
            <w:sz w:val="14"/>
            <w:u w:val="single" w:color="005DA1"/>
          </w:rPr>
          <w:t>181</w:t>
        </w:r>
      </w:hyperlink>
      <w:r>
        <w:rPr>
          <w:spacing w:val="-4"/>
          <w:position w:val="5"/>
          <w:sz w:val="14"/>
        </w:rPr>
        <w:t>.</w:t>
      </w:r>
      <w:r>
        <w:rPr>
          <w:position w:val="5"/>
          <w:sz w:val="14"/>
        </w:rPr>
        <w:tab/>
      </w:r>
      <w:r>
        <w:rPr>
          <w:rFonts w:ascii="Arial" w:hAnsi="Arial"/>
          <w:i/>
          <w:sz w:val="20"/>
        </w:rPr>
        <w:t>Société</w:t>
      </w:r>
      <w:r>
        <w:rPr>
          <w:rFonts w:ascii="Arial" w:hAnsi="Arial"/>
          <w:i/>
          <w:spacing w:val="3"/>
          <w:sz w:val="20"/>
        </w:rPr>
        <w:t> </w:t>
      </w:r>
      <w:r>
        <w:rPr>
          <w:rFonts w:ascii="Arial" w:hAnsi="Arial"/>
          <w:i/>
          <w:sz w:val="20"/>
        </w:rPr>
        <w:t>Commerciale</w:t>
      </w:r>
      <w:r>
        <w:rPr>
          <w:rFonts w:ascii="Arial" w:hAnsi="Arial"/>
          <w:i/>
          <w:spacing w:val="3"/>
          <w:sz w:val="20"/>
        </w:rPr>
        <w:t> </w:t>
      </w:r>
      <w:r>
        <w:rPr>
          <w:rFonts w:ascii="Arial" w:hAnsi="Arial"/>
          <w:i/>
          <w:sz w:val="20"/>
        </w:rPr>
        <w:t>de</w:t>
      </w:r>
      <w:r>
        <w:rPr>
          <w:rFonts w:ascii="Arial" w:hAnsi="Arial"/>
          <w:i/>
          <w:spacing w:val="3"/>
          <w:sz w:val="20"/>
        </w:rPr>
        <w:t> </w:t>
      </w:r>
      <w:r>
        <w:rPr>
          <w:rFonts w:ascii="Arial" w:hAnsi="Arial"/>
          <w:i/>
          <w:sz w:val="20"/>
        </w:rPr>
        <w:t>Reassurance</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ERAS</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[1992]</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570,</w:t>
      </w:r>
      <w:r>
        <w:rPr>
          <w:rFonts w:ascii="Arial" w:hAnsi="Arial"/>
          <w:i/>
          <w:spacing w:val="3"/>
          <w:sz w:val="20"/>
        </w:rPr>
        <w:t> </w:t>
      </w:r>
      <w:r>
        <w:rPr>
          <w:rFonts w:ascii="Arial" w:hAnsi="Arial"/>
          <w:i/>
          <w:spacing w:val="-5"/>
          <w:sz w:val="20"/>
        </w:rPr>
        <w:t>599</w:t>
      </w:r>
    </w:p>
    <w:p>
      <w:pPr>
        <w:spacing w:line="227" w:lineRule="exact" w:before="0"/>
        <w:ind w:left="705" w:right="0" w:firstLine="0"/>
        <w:jc w:val="left"/>
        <w:rPr>
          <w:sz w:val="20"/>
        </w:rPr>
      </w:pPr>
      <w:r>
        <w:rPr>
          <w:spacing w:val="-10"/>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429" w:id="431"/>
      <w:bookmarkEnd w:id="431"/>
      <w:r>
        <w:rPr/>
      </w:r>
      <w:hyperlink w:history="true" w:anchor="_bookmark301">
        <w:r>
          <w:rPr>
            <w:color w:val="005DA1"/>
            <w:spacing w:val="-4"/>
            <w:position w:val="5"/>
            <w:sz w:val="14"/>
            <w:u w:val="single" w:color="005DA1"/>
          </w:rPr>
          <w:t>182</w:t>
        </w:r>
      </w:hyperlink>
      <w:r>
        <w:rPr>
          <w:spacing w:val="-4"/>
          <w:position w:val="5"/>
          <w:sz w:val="14"/>
        </w:rPr>
        <w:t>.</w:t>
      </w:r>
      <w:r>
        <w:rPr>
          <w:position w:val="5"/>
          <w:sz w:val="14"/>
        </w:rPr>
        <w:tab/>
      </w:r>
      <w:r>
        <w:rPr>
          <w:rFonts w:ascii="Arial" w:hAnsi="Arial"/>
          <w:i/>
          <w:sz w:val="20"/>
        </w:rPr>
        <w:t>Saipem SpA v Dredging VO2 BV (The Volvox Hollandia) (No.2) [1993] 2 Lloyd’s Rep. 315, </w:t>
      </w:r>
      <w:r>
        <w:rPr>
          <w:rFonts w:ascii="Arial" w:hAnsi="Arial"/>
          <w:i/>
          <w:sz w:val="20"/>
        </w:rPr>
        <w:t>322</w:t>
      </w:r>
      <w:r>
        <w:rPr>
          <w:sz w:val="20"/>
        </w:rPr>
        <w:t>; </w:t>
      </w:r>
      <w:r>
        <w:rPr>
          <w:rFonts w:ascii="Arial" w:hAnsi="Arial"/>
          <w:i/>
          <w:sz w:val="20"/>
        </w:rPr>
        <w:t>Losinjska Plovidba v Transco Overseas Ltd (The Orjula) [1995] 2 Lloyd’s Rep. 395, 401</w:t>
      </w:r>
      <w:r>
        <w:rPr>
          <w:sz w:val="20"/>
        </w:rPr>
        <w:t>.</w:t>
      </w:r>
    </w:p>
    <w:p>
      <w:pPr>
        <w:pStyle w:val="BodyText"/>
        <w:spacing w:before="5"/>
      </w:pPr>
    </w:p>
    <w:p>
      <w:pPr>
        <w:tabs>
          <w:tab w:pos="705" w:val="left" w:leader="none"/>
        </w:tabs>
        <w:spacing w:before="0"/>
        <w:ind w:left="165" w:right="0" w:firstLine="0"/>
        <w:jc w:val="left"/>
        <w:rPr>
          <w:sz w:val="20"/>
        </w:rPr>
      </w:pPr>
      <w:bookmarkStart w:name="_bookmark430" w:id="432"/>
      <w:bookmarkEnd w:id="432"/>
      <w:r>
        <w:rPr/>
      </w:r>
      <w:hyperlink w:history="true" w:anchor="_bookmark301">
        <w:r>
          <w:rPr>
            <w:color w:val="005DA1"/>
            <w:spacing w:val="-4"/>
            <w:position w:val="5"/>
            <w:sz w:val="14"/>
            <w:u w:val="single" w:color="005DA1"/>
          </w:rPr>
          <w:t>183</w:t>
        </w:r>
      </w:hyperlink>
      <w:r>
        <w:rPr>
          <w:spacing w:val="-4"/>
          <w:position w:val="5"/>
          <w:sz w:val="14"/>
        </w:rPr>
        <w:t>.</w:t>
      </w:r>
      <w:r>
        <w:rPr>
          <w:position w:val="5"/>
          <w:sz w:val="14"/>
        </w:rPr>
        <w:tab/>
      </w:r>
      <w:r>
        <w:rPr>
          <w:rFonts w:ascii="Arial"/>
          <w:i/>
          <w:sz w:val="20"/>
        </w:rPr>
        <w:t>Robinson v P.E. Jones (Contractors) Ltd [2011] EWCA Civ 9, [2011] B.L.R. 206</w:t>
      </w:r>
      <w:r>
        <w:rPr>
          <w:rFonts w:ascii="Arial"/>
          <w:i/>
          <w:spacing w:val="-1"/>
          <w:sz w:val="20"/>
        </w:rPr>
        <w:t> </w:t>
      </w:r>
      <w:r>
        <w:rPr>
          <w:sz w:val="20"/>
        </w:rPr>
        <w:t>at </w:t>
      </w:r>
      <w:r>
        <w:rPr>
          <w:spacing w:val="-4"/>
          <w:sz w:val="20"/>
        </w:rPr>
        <w:t>[9].</w:t>
      </w:r>
    </w:p>
    <w:p>
      <w:pPr>
        <w:pStyle w:val="BodyText"/>
        <w:spacing w:before="5"/>
      </w:pPr>
    </w:p>
    <w:p>
      <w:pPr>
        <w:tabs>
          <w:tab w:pos="705" w:val="left" w:leader="none"/>
        </w:tabs>
        <w:spacing w:before="0"/>
        <w:ind w:left="165" w:right="0" w:firstLine="0"/>
        <w:jc w:val="left"/>
        <w:rPr>
          <w:sz w:val="20"/>
        </w:rPr>
      </w:pPr>
      <w:bookmarkStart w:name="_bookmark431" w:id="433"/>
      <w:bookmarkEnd w:id="433"/>
      <w:r>
        <w:rPr/>
      </w:r>
      <w:hyperlink w:history="true" w:anchor="_bookmark302">
        <w:r>
          <w:rPr>
            <w:color w:val="005DA1"/>
            <w:spacing w:val="-4"/>
            <w:position w:val="5"/>
            <w:sz w:val="14"/>
            <w:u w:val="single" w:color="005DA1"/>
          </w:rPr>
          <w:t>184</w:t>
        </w:r>
      </w:hyperlink>
      <w:r>
        <w:rPr>
          <w:spacing w:val="-4"/>
          <w:position w:val="5"/>
          <w:sz w:val="14"/>
        </w:rPr>
        <w:t>.</w:t>
      </w:r>
      <w:r>
        <w:rPr>
          <w:position w:val="5"/>
          <w:sz w:val="14"/>
        </w:rPr>
        <w:tab/>
      </w:r>
      <w:r>
        <w:rPr>
          <w:rFonts w:ascii="Arial"/>
          <w:i/>
          <w:sz w:val="20"/>
        </w:rPr>
        <w:t>Woodward v Wolfertrans, The Times, April 8, </w:t>
      </w:r>
      <w:r>
        <w:rPr>
          <w:rFonts w:ascii="Arial"/>
          <w:i/>
          <w:spacing w:val="-2"/>
          <w:sz w:val="20"/>
        </w:rPr>
        <w:t>1997</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432" w:id="434"/>
      <w:bookmarkEnd w:id="434"/>
      <w:r>
        <w:rPr/>
      </w:r>
      <w:hyperlink w:history="true" w:anchor="_bookmark303">
        <w:r>
          <w:rPr>
            <w:color w:val="005DA1"/>
            <w:spacing w:val="-4"/>
            <w:position w:val="5"/>
            <w:sz w:val="14"/>
            <w:u w:val="single" w:color="005DA1"/>
          </w:rPr>
          <w:t>185</w:t>
        </w:r>
      </w:hyperlink>
      <w:r>
        <w:rPr>
          <w:spacing w:val="-4"/>
          <w:position w:val="5"/>
          <w:sz w:val="14"/>
        </w:rPr>
        <w:t>.</w:t>
      </w:r>
      <w:r>
        <w:rPr>
          <w:position w:val="5"/>
          <w:sz w:val="14"/>
        </w:rPr>
        <w:tab/>
      </w:r>
      <w:r>
        <w:rPr>
          <w:rFonts w:ascii="Arial"/>
          <w:i/>
          <w:sz w:val="20"/>
        </w:rPr>
        <w:t>Barex Brothers Ltd v Morris Dean &amp; Co [1999] P.N.L.R. </w:t>
      </w:r>
      <w:r>
        <w:rPr>
          <w:rFonts w:ascii="Arial"/>
          <w:i/>
          <w:spacing w:val="-4"/>
          <w:sz w:val="20"/>
        </w:rPr>
        <w:t>344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33" w:id="435"/>
      <w:bookmarkEnd w:id="435"/>
      <w:r>
        <w:rPr/>
      </w:r>
      <w:hyperlink w:history="true" w:anchor="_bookmark304">
        <w:r>
          <w:rPr>
            <w:color w:val="005DA1"/>
            <w:spacing w:val="-4"/>
            <w:position w:val="5"/>
            <w:sz w:val="14"/>
            <w:u w:val="single" w:color="005DA1"/>
          </w:rPr>
          <w:t>186</w:t>
        </w:r>
      </w:hyperlink>
      <w:r>
        <w:rPr>
          <w:spacing w:val="-4"/>
          <w:position w:val="5"/>
          <w:sz w:val="14"/>
        </w:rPr>
        <w:t>.</w:t>
      </w:r>
      <w:r>
        <w:rPr>
          <w:position w:val="5"/>
          <w:sz w:val="14"/>
        </w:rPr>
        <w:tab/>
      </w:r>
      <w:r>
        <w:rPr>
          <w:rFonts w:ascii="Arial" w:hAnsi="Arial"/>
          <w:i/>
          <w:sz w:val="20"/>
        </w:rPr>
        <w:t>Connolly-Martin v Davis, [1999] Lloyd’s Rep. P.N. </w:t>
      </w:r>
      <w:r>
        <w:rPr>
          <w:rFonts w:ascii="Arial" w:hAnsi="Arial"/>
          <w:i/>
          <w:spacing w:val="-4"/>
          <w:sz w:val="20"/>
        </w:rPr>
        <w:t>790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34" w:id="436"/>
      <w:bookmarkEnd w:id="436"/>
      <w:r>
        <w:rPr/>
      </w:r>
      <w:hyperlink w:history="true" w:anchor="_bookmark305">
        <w:r>
          <w:rPr>
            <w:color w:val="005DA1"/>
            <w:spacing w:val="-4"/>
            <w:position w:val="5"/>
            <w:sz w:val="14"/>
            <w:u w:val="single" w:color="005DA1"/>
          </w:rPr>
          <w:t>187</w:t>
        </w:r>
      </w:hyperlink>
      <w:r>
        <w:rPr>
          <w:spacing w:val="-4"/>
          <w:position w:val="5"/>
          <w:sz w:val="14"/>
        </w:rPr>
        <w:t>.</w:t>
      </w:r>
      <w:r>
        <w:rPr>
          <w:position w:val="5"/>
          <w:sz w:val="14"/>
        </w:rPr>
        <w:tab/>
      </w:r>
      <w:r>
        <w:rPr>
          <w:rFonts w:ascii="Arial" w:hAnsi="Arial"/>
          <w:i/>
          <w:sz w:val="20"/>
        </w:rPr>
        <w:t>Dean</w:t>
      </w:r>
      <w:r>
        <w:rPr>
          <w:rFonts w:ascii="Arial" w:hAnsi="Arial"/>
          <w:i/>
          <w:spacing w:val="-1"/>
          <w:sz w:val="20"/>
        </w:rPr>
        <w:t> </w:t>
      </w:r>
      <w:r>
        <w:rPr>
          <w:rFonts w:ascii="Arial" w:hAnsi="Arial"/>
          <w:i/>
          <w:sz w:val="20"/>
        </w:rPr>
        <w:t>v Allin &amp; Watts [2001] EWCA Civ 758; [2001] 2 Lloyd’s Rep. 249</w:t>
      </w:r>
      <w:r>
        <w:rPr>
          <w:sz w:val="20"/>
        </w:rPr>
        <w:t>, at </w:t>
      </w:r>
      <w:r>
        <w:rPr>
          <w:spacing w:val="-2"/>
          <w:sz w:val="20"/>
        </w:rPr>
        <w:t>[33].</w:t>
      </w:r>
    </w:p>
    <w:p>
      <w:pPr>
        <w:pStyle w:val="BodyText"/>
        <w:spacing w:before="5"/>
      </w:pPr>
    </w:p>
    <w:p>
      <w:pPr>
        <w:tabs>
          <w:tab w:pos="705" w:val="left" w:leader="none"/>
        </w:tabs>
        <w:spacing w:before="0"/>
        <w:ind w:left="165" w:right="0" w:firstLine="0"/>
        <w:jc w:val="left"/>
        <w:rPr>
          <w:sz w:val="20"/>
        </w:rPr>
      </w:pPr>
      <w:bookmarkStart w:name="_bookmark435" w:id="437"/>
      <w:bookmarkEnd w:id="437"/>
      <w:r>
        <w:rPr/>
      </w:r>
      <w:hyperlink w:history="true" w:anchor="_bookmark306">
        <w:r>
          <w:rPr>
            <w:color w:val="005DA1"/>
            <w:spacing w:val="-4"/>
            <w:position w:val="5"/>
            <w:sz w:val="14"/>
            <w:u w:val="single" w:color="005DA1"/>
          </w:rPr>
          <w:t>188</w:t>
        </w:r>
      </w:hyperlink>
      <w:r>
        <w:rPr>
          <w:spacing w:val="-4"/>
          <w:position w:val="5"/>
          <w:sz w:val="14"/>
        </w:rPr>
        <w:t>.</w:t>
      </w:r>
      <w:r>
        <w:rPr>
          <w:position w:val="5"/>
          <w:sz w:val="14"/>
        </w:rPr>
        <w:tab/>
      </w:r>
      <w:r>
        <w:rPr>
          <w:sz w:val="20"/>
        </w:rPr>
        <w:t>This</w:t>
      </w:r>
      <w:r>
        <w:rPr>
          <w:spacing w:val="-3"/>
          <w:sz w:val="20"/>
        </w:rPr>
        <w:t> </w:t>
      </w:r>
      <w:r>
        <w:rPr>
          <w:sz w:val="20"/>
        </w:rPr>
        <w:t>was the actual result in</w:t>
      </w:r>
      <w:r>
        <w:rPr>
          <w:spacing w:val="-1"/>
          <w:sz w:val="20"/>
        </w:rPr>
        <w:t> </w:t>
      </w:r>
      <w:r>
        <w:rPr>
          <w:rFonts w:ascii="Arial"/>
          <w:i/>
          <w:sz w:val="20"/>
        </w:rPr>
        <w:t>Dean v Allin &amp; Watts</w:t>
      </w:r>
      <w:r>
        <w:rPr>
          <w:sz w:val="20"/>
        </w:rPr>
        <w:t>, </w:t>
      </w:r>
      <w:r>
        <w:rPr>
          <w:spacing w:val="-2"/>
          <w:sz w:val="20"/>
        </w:rPr>
        <w:t>above.</w:t>
      </w:r>
    </w:p>
    <w:p>
      <w:pPr>
        <w:pStyle w:val="BodyText"/>
        <w:spacing w:before="9"/>
      </w:pPr>
    </w:p>
    <w:p>
      <w:pPr>
        <w:tabs>
          <w:tab w:pos="705" w:val="left" w:leader="none"/>
        </w:tabs>
        <w:spacing w:line="235" w:lineRule="auto" w:before="0"/>
        <w:ind w:left="705" w:right="168" w:hanging="541"/>
        <w:jc w:val="left"/>
        <w:rPr>
          <w:sz w:val="20"/>
        </w:rPr>
      </w:pPr>
      <w:bookmarkStart w:name="_bookmark436" w:id="438"/>
      <w:bookmarkEnd w:id="438"/>
      <w:r>
        <w:rPr/>
      </w:r>
      <w:hyperlink w:history="true" w:anchor="_bookmark307">
        <w:r>
          <w:rPr>
            <w:color w:val="005DA1"/>
            <w:spacing w:val="-4"/>
            <w:position w:val="5"/>
            <w:sz w:val="14"/>
            <w:u w:val="single" w:color="005DA1"/>
          </w:rPr>
          <w:t>189</w:t>
        </w:r>
      </w:hyperlink>
      <w:r>
        <w:rPr>
          <w:spacing w:val="-4"/>
          <w:position w:val="5"/>
          <w:sz w:val="14"/>
        </w:rPr>
        <w:t>.</w:t>
      </w:r>
      <w:r>
        <w:rPr>
          <w:position w:val="5"/>
          <w:sz w:val="14"/>
        </w:rPr>
        <w:tab/>
      </w:r>
      <w:r>
        <w:rPr>
          <w:rFonts w:ascii="Arial"/>
          <w:i/>
          <w:sz w:val="20"/>
        </w:rPr>
        <w:t>Briscoe</w:t>
      </w:r>
      <w:r>
        <w:rPr>
          <w:rFonts w:ascii="Arial"/>
          <w:i/>
          <w:spacing w:val="26"/>
          <w:sz w:val="20"/>
        </w:rPr>
        <w:t> </w:t>
      </w:r>
      <w:r>
        <w:rPr>
          <w:rFonts w:ascii="Arial"/>
          <w:i/>
          <w:sz w:val="20"/>
        </w:rPr>
        <w:t>v</w:t>
      </w:r>
      <w:r>
        <w:rPr>
          <w:rFonts w:ascii="Arial"/>
          <w:i/>
          <w:spacing w:val="26"/>
          <w:sz w:val="20"/>
        </w:rPr>
        <w:t> </w:t>
      </w:r>
      <w:r>
        <w:rPr>
          <w:rFonts w:ascii="Arial"/>
          <w:i/>
          <w:sz w:val="20"/>
        </w:rPr>
        <w:t>Lubrizol</w:t>
      </w:r>
      <w:r>
        <w:rPr>
          <w:rFonts w:ascii="Arial"/>
          <w:i/>
          <w:spacing w:val="26"/>
          <w:sz w:val="20"/>
        </w:rPr>
        <w:t> </w:t>
      </w:r>
      <w:r>
        <w:rPr>
          <w:rFonts w:ascii="Arial"/>
          <w:i/>
          <w:sz w:val="20"/>
        </w:rPr>
        <w:t>Ltd</w:t>
      </w:r>
      <w:r>
        <w:rPr>
          <w:rFonts w:ascii="Arial"/>
          <w:i/>
          <w:spacing w:val="26"/>
          <w:sz w:val="20"/>
        </w:rPr>
        <w:t> </w:t>
      </w:r>
      <w:r>
        <w:rPr>
          <w:rFonts w:ascii="Arial"/>
          <w:i/>
          <w:sz w:val="20"/>
        </w:rPr>
        <w:t>[2000]</w:t>
      </w:r>
      <w:r>
        <w:rPr>
          <w:rFonts w:ascii="Arial"/>
          <w:i/>
          <w:spacing w:val="26"/>
          <w:sz w:val="20"/>
        </w:rPr>
        <w:t> </w:t>
      </w:r>
      <w:r>
        <w:rPr>
          <w:rFonts w:ascii="Arial"/>
          <w:i/>
          <w:sz w:val="20"/>
        </w:rPr>
        <w:t>I.C.R.</w:t>
      </w:r>
      <w:r>
        <w:rPr>
          <w:rFonts w:ascii="Arial"/>
          <w:i/>
          <w:spacing w:val="26"/>
          <w:sz w:val="20"/>
        </w:rPr>
        <w:t> </w:t>
      </w:r>
      <w:r>
        <w:rPr>
          <w:rFonts w:ascii="Arial"/>
          <w:i/>
          <w:sz w:val="20"/>
        </w:rPr>
        <w:t>694</w:t>
      </w:r>
      <w:r>
        <w:rPr>
          <w:sz w:val="20"/>
        </w:rPr>
        <w:t>;</w:t>
      </w:r>
      <w:r>
        <w:rPr>
          <w:spacing w:val="26"/>
          <w:sz w:val="20"/>
        </w:rPr>
        <w:t> </w:t>
      </w:r>
      <w:r>
        <w:rPr>
          <w:rFonts w:ascii="Arial"/>
          <w:i/>
          <w:sz w:val="20"/>
        </w:rPr>
        <w:t>Realstone</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J</w:t>
      </w:r>
      <w:r>
        <w:rPr>
          <w:rFonts w:ascii="Arial"/>
          <w:i/>
          <w:spacing w:val="26"/>
          <w:sz w:val="20"/>
        </w:rPr>
        <w:t> </w:t>
      </w:r>
      <w:r>
        <w:rPr>
          <w:rFonts w:ascii="Arial"/>
          <w:i/>
          <w:sz w:val="20"/>
        </w:rPr>
        <w:t>&amp;</w:t>
      </w:r>
      <w:r>
        <w:rPr>
          <w:rFonts w:ascii="Arial"/>
          <w:i/>
          <w:spacing w:val="26"/>
          <w:sz w:val="20"/>
        </w:rPr>
        <w:t> </w:t>
      </w:r>
      <w:r>
        <w:rPr>
          <w:rFonts w:ascii="Arial"/>
          <w:i/>
          <w:sz w:val="20"/>
        </w:rPr>
        <w:t>E</w:t>
      </w:r>
      <w:r>
        <w:rPr>
          <w:rFonts w:ascii="Arial"/>
          <w:i/>
          <w:spacing w:val="26"/>
          <w:sz w:val="20"/>
        </w:rPr>
        <w:t> </w:t>
      </w:r>
      <w:r>
        <w:rPr>
          <w:rFonts w:ascii="Arial"/>
          <w:i/>
          <w:sz w:val="20"/>
        </w:rPr>
        <w:t>Shepherd</w:t>
      </w:r>
      <w:r>
        <w:rPr>
          <w:rFonts w:ascii="Arial"/>
          <w:i/>
          <w:spacing w:val="26"/>
          <w:sz w:val="20"/>
        </w:rPr>
        <w:t> </w:t>
      </w:r>
      <w:r>
        <w:rPr>
          <w:rFonts w:ascii="Arial"/>
          <w:i/>
          <w:sz w:val="20"/>
        </w:rPr>
        <w:t>[2008]</w:t>
      </w:r>
      <w:r>
        <w:rPr>
          <w:rFonts w:ascii="Arial"/>
          <w:i/>
          <w:spacing w:val="26"/>
          <w:sz w:val="20"/>
        </w:rPr>
        <w:t> </w:t>
      </w:r>
      <w:r>
        <w:rPr>
          <w:rFonts w:ascii="Arial"/>
          <w:i/>
          <w:sz w:val="20"/>
        </w:rPr>
        <w:t>CSOH</w:t>
      </w:r>
      <w:r>
        <w:rPr>
          <w:rFonts w:ascii="Arial"/>
          <w:i/>
          <w:spacing w:val="26"/>
          <w:sz w:val="20"/>
        </w:rPr>
        <w:t> </w:t>
      </w:r>
      <w:r>
        <w:rPr>
          <w:rFonts w:ascii="Arial"/>
          <w:i/>
          <w:sz w:val="20"/>
        </w:rPr>
        <w:t>31, [2008] P.N.L.R. 21</w:t>
      </w:r>
      <w:r>
        <w:rPr>
          <w:sz w:val="20"/>
        </w:rPr>
        <w:t>.</w:t>
      </w:r>
    </w:p>
    <w:p>
      <w:pPr>
        <w:pStyle w:val="BodyText"/>
        <w:spacing w:before="5"/>
      </w:pPr>
    </w:p>
    <w:p>
      <w:pPr>
        <w:spacing w:line="227" w:lineRule="exact" w:before="1"/>
        <w:ind w:left="165" w:right="0" w:firstLine="0"/>
        <w:jc w:val="both"/>
        <w:rPr>
          <w:rFonts w:ascii="Arial"/>
          <w:i/>
          <w:sz w:val="20"/>
        </w:rPr>
      </w:pPr>
      <w:bookmarkStart w:name="_bookmark437" w:id="439"/>
      <w:bookmarkEnd w:id="439"/>
      <w:r>
        <w:rPr/>
      </w:r>
      <w:hyperlink w:history="true" w:anchor="_bookmark308">
        <w:r>
          <w:rPr>
            <w:color w:val="005DA1"/>
            <w:position w:val="5"/>
            <w:sz w:val="14"/>
            <w:u w:val="single" w:color="005DA1"/>
          </w:rPr>
          <w:t>190</w:t>
        </w:r>
      </w:hyperlink>
      <w:r>
        <w:rPr>
          <w:position w:val="5"/>
          <w:sz w:val="14"/>
        </w:rPr>
        <w:t>.</w:t>
      </w:r>
      <w:r>
        <w:rPr>
          <w:spacing w:val="75"/>
          <w:w w:val="150"/>
          <w:position w:val="5"/>
          <w:sz w:val="14"/>
        </w:rPr>
        <w:t>  </w:t>
      </w:r>
      <w:r>
        <w:rPr>
          <w:rFonts w:ascii="Arial"/>
          <w:i/>
          <w:sz w:val="20"/>
        </w:rPr>
        <w:t>Junior</w:t>
      </w:r>
      <w:r>
        <w:rPr>
          <w:rFonts w:ascii="Arial"/>
          <w:i/>
          <w:spacing w:val="10"/>
          <w:sz w:val="20"/>
        </w:rPr>
        <w:t> </w:t>
      </w:r>
      <w:r>
        <w:rPr>
          <w:rFonts w:ascii="Arial"/>
          <w:i/>
          <w:sz w:val="20"/>
        </w:rPr>
        <w:t>Books</w:t>
      </w:r>
      <w:r>
        <w:rPr>
          <w:rFonts w:ascii="Arial"/>
          <w:i/>
          <w:spacing w:val="10"/>
          <w:sz w:val="20"/>
        </w:rPr>
        <w:t> </w:t>
      </w:r>
      <w:r>
        <w:rPr>
          <w:rFonts w:ascii="Arial"/>
          <w:i/>
          <w:sz w:val="20"/>
        </w:rPr>
        <w:t>case</w:t>
      </w:r>
      <w:r>
        <w:rPr>
          <w:rFonts w:ascii="Arial"/>
          <w:i/>
          <w:spacing w:val="10"/>
          <w:sz w:val="20"/>
        </w:rPr>
        <w:t> </w:t>
      </w:r>
      <w:r>
        <w:rPr>
          <w:rFonts w:ascii="Arial"/>
          <w:i/>
          <w:sz w:val="20"/>
        </w:rPr>
        <w:t>[1983]</w:t>
      </w:r>
      <w:r>
        <w:rPr>
          <w:rFonts w:ascii="Arial"/>
          <w:i/>
          <w:spacing w:val="10"/>
          <w:sz w:val="20"/>
        </w:rPr>
        <w:t> </w:t>
      </w:r>
      <w:r>
        <w:rPr>
          <w:rFonts w:ascii="Arial"/>
          <w:i/>
          <w:sz w:val="20"/>
        </w:rPr>
        <w:t>1</w:t>
      </w:r>
      <w:r>
        <w:rPr>
          <w:rFonts w:ascii="Arial"/>
          <w:i/>
          <w:spacing w:val="10"/>
          <w:sz w:val="20"/>
        </w:rPr>
        <w:t> </w:t>
      </w:r>
      <w:r>
        <w:rPr>
          <w:rFonts w:ascii="Arial"/>
          <w:i/>
          <w:sz w:val="20"/>
        </w:rPr>
        <w:t>A.C.</w:t>
      </w:r>
      <w:r>
        <w:rPr>
          <w:rFonts w:ascii="Arial"/>
          <w:i/>
          <w:spacing w:val="10"/>
          <w:sz w:val="20"/>
        </w:rPr>
        <w:t> </w:t>
      </w:r>
      <w:r>
        <w:rPr>
          <w:rFonts w:ascii="Arial"/>
          <w:i/>
          <w:sz w:val="20"/>
        </w:rPr>
        <w:t>520,</w:t>
      </w:r>
      <w:r>
        <w:rPr>
          <w:rFonts w:ascii="Arial"/>
          <w:i/>
          <w:spacing w:val="10"/>
          <w:sz w:val="20"/>
        </w:rPr>
        <w:t> </w:t>
      </w:r>
      <w:r>
        <w:rPr>
          <w:rFonts w:ascii="Arial"/>
          <w:i/>
          <w:sz w:val="20"/>
        </w:rPr>
        <w:t>546</w:t>
      </w:r>
      <w:r>
        <w:rPr>
          <w:sz w:val="20"/>
        </w:rPr>
        <w:t>,</w:t>
      </w:r>
      <w:r>
        <w:rPr>
          <w:spacing w:val="9"/>
          <w:sz w:val="20"/>
        </w:rPr>
        <w:t> </w:t>
      </w:r>
      <w:r>
        <w:rPr>
          <w:sz w:val="20"/>
        </w:rPr>
        <w:t>applied</w:t>
      </w:r>
      <w:r>
        <w:rPr>
          <w:spacing w:val="10"/>
          <w:sz w:val="20"/>
        </w:rPr>
        <w:t> </w:t>
      </w:r>
      <w:r>
        <w:rPr>
          <w:sz w:val="20"/>
        </w:rPr>
        <w:t>in</w:t>
      </w:r>
      <w:r>
        <w:rPr>
          <w:spacing w:val="10"/>
          <w:sz w:val="20"/>
        </w:rPr>
        <w:t> </w:t>
      </w:r>
      <w:r>
        <w:rPr>
          <w:rFonts w:ascii="Arial"/>
          <w:i/>
          <w:sz w:val="20"/>
        </w:rPr>
        <w:t>Southern</w:t>
      </w:r>
      <w:r>
        <w:rPr>
          <w:rFonts w:ascii="Arial"/>
          <w:i/>
          <w:spacing w:val="10"/>
          <w:sz w:val="20"/>
        </w:rPr>
        <w:t> </w:t>
      </w:r>
      <w:r>
        <w:rPr>
          <w:rFonts w:ascii="Arial"/>
          <w:i/>
          <w:sz w:val="20"/>
        </w:rPr>
        <w:t>Water</w:t>
      </w:r>
      <w:r>
        <w:rPr>
          <w:rFonts w:ascii="Arial"/>
          <w:i/>
          <w:spacing w:val="10"/>
          <w:sz w:val="20"/>
        </w:rPr>
        <w:t> </w:t>
      </w:r>
      <w:r>
        <w:rPr>
          <w:rFonts w:ascii="Arial"/>
          <w:i/>
          <w:sz w:val="20"/>
        </w:rPr>
        <w:t>Authority</w:t>
      </w:r>
      <w:r>
        <w:rPr>
          <w:rFonts w:ascii="Arial"/>
          <w:i/>
          <w:spacing w:val="10"/>
          <w:sz w:val="20"/>
        </w:rPr>
        <w:t> </w:t>
      </w:r>
      <w:r>
        <w:rPr>
          <w:rFonts w:ascii="Arial"/>
          <w:i/>
          <w:sz w:val="20"/>
        </w:rPr>
        <w:t>v</w:t>
      </w:r>
      <w:r>
        <w:rPr>
          <w:rFonts w:ascii="Arial"/>
          <w:i/>
          <w:spacing w:val="10"/>
          <w:sz w:val="20"/>
        </w:rPr>
        <w:t> </w:t>
      </w:r>
      <w:r>
        <w:rPr>
          <w:rFonts w:ascii="Arial"/>
          <w:i/>
          <w:sz w:val="20"/>
        </w:rPr>
        <w:t>Carey</w:t>
      </w:r>
      <w:r>
        <w:rPr>
          <w:rFonts w:ascii="Arial"/>
          <w:i/>
          <w:spacing w:val="10"/>
          <w:sz w:val="20"/>
        </w:rPr>
        <w:t> </w:t>
      </w:r>
      <w:r>
        <w:rPr>
          <w:rFonts w:ascii="Arial"/>
          <w:i/>
          <w:spacing w:val="-2"/>
          <w:sz w:val="20"/>
        </w:rPr>
        <w:t>[1985]</w:t>
      </w:r>
    </w:p>
    <w:p>
      <w:pPr>
        <w:spacing w:line="235" w:lineRule="auto" w:before="1"/>
        <w:ind w:left="705" w:right="167" w:firstLine="0"/>
        <w:jc w:val="both"/>
        <w:rPr>
          <w:sz w:val="20"/>
        </w:rPr>
      </w:pPr>
      <w:r>
        <w:rPr>
          <w:rFonts w:ascii="Arial" w:hAnsi="Arial"/>
          <w:i/>
          <w:sz w:val="20"/>
        </w:rPr>
        <w:t>2 All E.R. 1077</w:t>
      </w:r>
      <w:r>
        <w:rPr>
          <w:sz w:val="20"/>
        </w:rPr>
        <w:t>; doubted (though in another context) in </w:t>
      </w:r>
      <w:r>
        <w:rPr>
          <w:rFonts w:ascii="Arial" w:hAnsi="Arial"/>
          <w:i/>
          <w:sz w:val="20"/>
        </w:rPr>
        <w:t>Leigh &amp; Sillavan Ltd v </w:t>
      </w:r>
      <w:r>
        <w:rPr>
          <w:rFonts w:ascii="Arial" w:hAnsi="Arial"/>
          <w:i/>
          <w:sz w:val="20"/>
        </w:rPr>
        <w:t>Aliakmon</w:t>
      </w:r>
      <w:r>
        <w:rPr>
          <w:rFonts w:ascii="Arial" w:hAnsi="Arial"/>
          <w:i/>
          <w:spacing w:val="40"/>
          <w:sz w:val="20"/>
        </w:rPr>
        <w:t> </w:t>
      </w:r>
      <w:r>
        <w:rPr>
          <w:rFonts w:ascii="Arial" w:hAnsi="Arial"/>
          <w:i/>
          <w:sz w:val="20"/>
        </w:rPr>
        <w:t>Shipping Co Ltd (The Aliakmon) [1986] A.C. 785, 817 </w:t>
      </w:r>
      <w:r>
        <w:rPr>
          <w:sz w:val="20"/>
        </w:rPr>
        <w:t>(below para.18-036); see also </w:t>
      </w:r>
      <w:r>
        <w:rPr>
          <w:rFonts w:ascii="Arial" w:hAnsi="Arial"/>
          <w:i/>
          <w:sz w:val="20"/>
        </w:rPr>
        <w:t>Pacific Associates Inc. v Baxter [1990] 1 Q.B. 993</w:t>
      </w:r>
      <w:r>
        <w:rPr>
          <w:sz w:val="20"/>
        </w:rPr>
        <w:t>; cf. </w:t>
      </w:r>
      <w:r>
        <w:rPr>
          <w:rFonts w:ascii="Arial" w:hAnsi="Arial"/>
          <w:i/>
          <w:sz w:val="20"/>
        </w:rPr>
        <w:t>Norwich C.C. v Harvey [1989] 1 All E.R. </w:t>
      </w:r>
      <w:r>
        <w:rPr>
          <w:rFonts w:ascii="Arial" w:hAnsi="Arial"/>
          <w:i/>
          <w:sz w:val="20"/>
        </w:rPr>
        <w:t>1180, 1187</w:t>
      </w:r>
      <w:r>
        <w:rPr>
          <w:sz w:val="20"/>
        </w:rPr>
        <w:t>; </w:t>
      </w:r>
      <w:r>
        <w:rPr>
          <w:rFonts w:ascii="Arial" w:hAnsi="Arial"/>
          <w:i/>
          <w:sz w:val="20"/>
        </w:rPr>
        <w:t>John F. Hunt Demolition Ltd v ASME Engineering Ltd [2007] EWHC 1507 (TCC), </w:t>
      </w:r>
      <w:r>
        <w:rPr>
          <w:rFonts w:ascii="Arial" w:hAnsi="Arial"/>
          <w:i/>
          <w:sz w:val="20"/>
        </w:rPr>
        <w:t>[2007] TCLR 6</w:t>
      </w:r>
      <w:r>
        <w:rPr>
          <w:sz w:val="20"/>
        </w:rPr>
        <w:t>; </w:t>
      </w:r>
      <w:r>
        <w:rPr>
          <w:rFonts w:ascii="Arial" w:hAnsi="Arial"/>
          <w:i/>
          <w:sz w:val="20"/>
        </w:rPr>
        <w:t>Robinson v P.E. Jones (Contractors) Ltd [2011] EWCA Civ 9, [2011] B.L.R. 206 </w:t>
      </w:r>
      <w:r>
        <w:rPr>
          <w:sz w:val="20"/>
        </w:rPr>
        <w:t>(above, para.18-028), where the outcome was based in part (see at [84]) on the facts that the contract</w:t>
      </w:r>
      <w:r>
        <w:rPr>
          <w:spacing w:val="11"/>
          <w:sz w:val="20"/>
        </w:rPr>
        <w:t> </w:t>
      </w:r>
      <w:r>
        <w:rPr>
          <w:sz w:val="20"/>
        </w:rPr>
        <w:t>contained</w:t>
      </w:r>
      <w:r>
        <w:rPr>
          <w:spacing w:val="11"/>
          <w:sz w:val="20"/>
        </w:rPr>
        <w:t> </w:t>
      </w:r>
      <w:r>
        <w:rPr>
          <w:sz w:val="20"/>
        </w:rPr>
        <w:t>terms</w:t>
      </w:r>
      <w:r>
        <w:rPr>
          <w:spacing w:val="11"/>
          <w:sz w:val="20"/>
        </w:rPr>
        <w:t> </w:t>
      </w:r>
      <w:r>
        <w:rPr>
          <w:sz w:val="20"/>
        </w:rPr>
        <w:t>excluding</w:t>
      </w:r>
      <w:r>
        <w:rPr>
          <w:spacing w:val="11"/>
          <w:sz w:val="20"/>
        </w:rPr>
        <w:t> </w:t>
      </w:r>
      <w:r>
        <w:rPr>
          <w:sz w:val="20"/>
        </w:rPr>
        <w:t>the</w:t>
      </w:r>
      <w:r>
        <w:rPr>
          <w:spacing w:val="11"/>
          <w:sz w:val="20"/>
        </w:rPr>
        <w:t> </w:t>
      </w:r>
      <w:r>
        <w:rPr>
          <w:sz w:val="20"/>
        </w:rPr>
        <w:t>defendant</w:t>
      </w:r>
      <w:r>
        <w:rPr>
          <w:spacing w:val="11"/>
          <w:sz w:val="20"/>
        </w:rPr>
        <w:t> </w:t>
      </w:r>
      <w:r>
        <w:rPr>
          <w:sz w:val="20"/>
        </w:rPr>
        <w:t>building</w:t>
      </w:r>
      <w:r>
        <w:rPr>
          <w:spacing w:val="11"/>
          <w:sz w:val="20"/>
        </w:rPr>
        <w:t> </w:t>
      </w:r>
      <w:r>
        <w:rPr>
          <w:sz w:val="20"/>
        </w:rPr>
        <w:t>contractor’s</w:t>
      </w:r>
      <w:r>
        <w:rPr>
          <w:spacing w:val="11"/>
          <w:sz w:val="20"/>
        </w:rPr>
        <w:t> </w:t>
      </w:r>
      <w:r>
        <w:rPr>
          <w:sz w:val="20"/>
        </w:rPr>
        <w:t>liability</w:t>
      </w:r>
      <w:r>
        <w:rPr>
          <w:spacing w:val="11"/>
          <w:sz w:val="20"/>
        </w:rPr>
        <w:t> </w:t>
      </w:r>
      <w:r>
        <w:rPr>
          <w:sz w:val="20"/>
        </w:rPr>
        <w:t>to</w:t>
      </w:r>
      <w:r>
        <w:rPr>
          <w:spacing w:val="11"/>
          <w:sz w:val="20"/>
        </w:rPr>
        <w:t> </w:t>
      </w:r>
      <w:r>
        <w:rPr>
          <w:sz w:val="20"/>
        </w:rPr>
        <w:t>his</w:t>
      </w:r>
      <w:r>
        <w:rPr>
          <w:spacing w:val="11"/>
          <w:sz w:val="20"/>
        </w:rPr>
        <w:t> </w:t>
      </w:r>
      <w:r>
        <w:rPr>
          <w:sz w:val="20"/>
        </w:rPr>
        <w:t>own</w:t>
      </w:r>
      <w:r>
        <w:rPr>
          <w:spacing w:val="11"/>
          <w:sz w:val="20"/>
        </w:rPr>
        <w:t> </w:t>
      </w:r>
      <w:r>
        <w:rPr>
          <w:spacing w:val="-2"/>
          <w:sz w:val="20"/>
        </w:rPr>
        <w:t>clien</w:t>
      </w:r>
      <w:r>
        <w:rPr>
          <w:spacing w:val="-2"/>
          <w:sz w:val="20"/>
        </w:rPr>
        <w:t>t</w:t>
      </w:r>
    </w:p>
    <w:p>
      <w:pPr>
        <w:spacing w:after="0" w:line="235" w:lineRule="auto"/>
        <w:jc w:val="both"/>
        <w:rPr>
          <w:sz w:val="20"/>
        </w:rPr>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for economic loss and that these terms satisfied the requirement of reasonableness to </w:t>
      </w:r>
      <w:r>
        <w:rPr/>
        <w:t>which they were subject under the Unfair Contract Terms Act 1977. No third party issue arose in this case. And see above para.15-057.</w:t>
      </w:r>
    </w:p>
    <w:p>
      <w:pPr>
        <w:pStyle w:val="BodyText"/>
        <w:spacing w:before="5"/>
      </w:pPr>
    </w:p>
    <w:p>
      <w:pPr>
        <w:spacing w:line="227" w:lineRule="exact" w:before="0"/>
        <w:ind w:left="165" w:right="0" w:firstLine="0"/>
        <w:jc w:val="both"/>
        <w:rPr>
          <w:rFonts w:ascii="Arial"/>
          <w:i/>
          <w:sz w:val="20"/>
        </w:rPr>
      </w:pPr>
      <w:bookmarkStart w:name="_bookmark438" w:id="440"/>
      <w:bookmarkEnd w:id="440"/>
      <w:r>
        <w:rPr/>
      </w:r>
      <w:hyperlink w:history="true" w:anchor="_bookmark309">
        <w:r>
          <w:rPr>
            <w:color w:val="005DA1"/>
            <w:position w:val="5"/>
            <w:sz w:val="14"/>
            <w:u w:val="single" w:color="005DA1"/>
          </w:rPr>
          <w:t>191</w:t>
        </w:r>
      </w:hyperlink>
      <w:r>
        <w:rPr>
          <w:position w:val="5"/>
          <w:sz w:val="14"/>
        </w:rPr>
        <w:t>.</w:t>
      </w:r>
      <w:r>
        <w:rPr>
          <w:spacing w:val="75"/>
          <w:w w:val="150"/>
          <w:position w:val="5"/>
          <w:sz w:val="14"/>
        </w:rPr>
        <w:t>  </w:t>
      </w:r>
      <w:r>
        <w:rPr>
          <w:sz w:val="20"/>
        </w:rPr>
        <w:t>As,</w:t>
      </w:r>
      <w:r>
        <w:rPr>
          <w:spacing w:val="9"/>
          <w:sz w:val="20"/>
        </w:rPr>
        <w:t> </w:t>
      </w:r>
      <w:r>
        <w:rPr>
          <w:sz w:val="20"/>
        </w:rPr>
        <w:t>for</w:t>
      </w:r>
      <w:r>
        <w:rPr>
          <w:spacing w:val="9"/>
          <w:sz w:val="20"/>
        </w:rPr>
        <w:t> </w:t>
      </w:r>
      <w:r>
        <w:rPr>
          <w:sz w:val="20"/>
        </w:rPr>
        <w:t>example,</w:t>
      </w:r>
      <w:r>
        <w:rPr>
          <w:spacing w:val="9"/>
          <w:sz w:val="20"/>
        </w:rPr>
        <w:t> </w:t>
      </w:r>
      <w:r>
        <w:rPr>
          <w:sz w:val="20"/>
        </w:rPr>
        <w:t>in</w:t>
      </w:r>
      <w:r>
        <w:rPr>
          <w:spacing w:val="9"/>
          <w:sz w:val="20"/>
        </w:rPr>
        <w:t> </w:t>
      </w:r>
      <w:r>
        <w:rPr>
          <w:rFonts w:ascii="Arial"/>
          <w:i/>
          <w:sz w:val="20"/>
        </w:rPr>
        <w:t>Henderson</w:t>
      </w:r>
      <w:r>
        <w:rPr>
          <w:rFonts w:ascii="Arial"/>
          <w:i/>
          <w:spacing w:val="9"/>
          <w:sz w:val="20"/>
        </w:rPr>
        <w:t> </w:t>
      </w:r>
      <w:r>
        <w:rPr>
          <w:rFonts w:ascii="Arial"/>
          <w:i/>
          <w:sz w:val="20"/>
        </w:rPr>
        <w:t>v</w:t>
      </w:r>
      <w:r>
        <w:rPr>
          <w:rFonts w:ascii="Arial"/>
          <w:i/>
          <w:spacing w:val="9"/>
          <w:sz w:val="20"/>
        </w:rPr>
        <w:t> </w:t>
      </w:r>
      <w:r>
        <w:rPr>
          <w:rFonts w:ascii="Arial"/>
          <w:i/>
          <w:sz w:val="20"/>
        </w:rPr>
        <w:t>Merrett</w:t>
      </w:r>
      <w:r>
        <w:rPr>
          <w:rFonts w:ascii="Arial"/>
          <w:i/>
          <w:spacing w:val="9"/>
          <w:sz w:val="20"/>
        </w:rPr>
        <w:t> </w:t>
      </w:r>
      <w:r>
        <w:rPr>
          <w:rFonts w:ascii="Arial"/>
          <w:i/>
          <w:sz w:val="20"/>
        </w:rPr>
        <w:t>Syndicates</w:t>
      </w:r>
      <w:r>
        <w:rPr>
          <w:rFonts w:ascii="Arial"/>
          <w:i/>
          <w:spacing w:val="8"/>
          <w:sz w:val="20"/>
        </w:rPr>
        <w:t> </w:t>
      </w:r>
      <w:r>
        <w:rPr>
          <w:rFonts w:ascii="Arial"/>
          <w:i/>
          <w:sz w:val="20"/>
        </w:rPr>
        <w:t>Ltd</w:t>
      </w:r>
      <w:r>
        <w:rPr>
          <w:rFonts w:ascii="Arial"/>
          <w:i/>
          <w:spacing w:val="9"/>
          <w:sz w:val="20"/>
        </w:rPr>
        <w:t> </w:t>
      </w:r>
      <w:r>
        <w:rPr>
          <w:rFonts w:ascii="Arial"/>
          <w:i/>
          <w:sz w:val="20"/>
        </w:rPr>
        <w:t>[1995]</w:t>
      </w:r>
      <w:r>
        <w:rPr>
          <w:rFonts w:ascii="Arial"/>
          <w:i/>
          <w:spacing w:val="9"/>
          <w:sz w:val="20"/>
        </w:rPr>
        <w:t> </w:t>
      </w:r>
      <w:r>
        <w:rPr>
          <w:rFonts w:ascii="Arial"/>
          <w:i/>
          <w:sz w:val="20"/>
        </w:rPr>
        <w:t>A.C.</w:t>
      </w:r>
      <w:r>
        <w:rPr>
          <w:rFonts w:ascii="Arial"/>
          <w:i/>
          <w:spacing w:val="9"/>
          <w:sz w:val="20"/>
        </w:rPr>
        <w:t> </w:t>
      </w:r>
      <w:r>
        <w:rPr>
          <w:rFonts w:ascii="Arial"/>
          <w:i/>
          <w:sz w:val="20"/>
        </w:rPr>
        <w:t>145</w:t>
      </w:r>
      <w:r>
        <w:rPr>
          <w:sz w:val="20"/>
        </w:rPr>
        <w:t>,</w:t>
      </w:r>
      <w:r>
        <w:rPr>
          <w:spacing w:val="9"/>
          <w:sz w:val="20"/>
        </w:rPr>
        <w:t> </w:t>
      </w:r>
      <w:r>
        <w:rPr>
          <w:rFonts w:ascii="Arial"/>
          <w:i/>
          <w:sz w:val="20"/>
        </w:rPr>
        <w:t>White</w:t>
      </w:r>
      <w:r>
        <w:rPr>
          <w:rFonts w:ascii="Arial"/>
          <w:i/>
          <w:spacing w:val="9"/>
          <w:sz w:val="20"/>
        </w:rPr>
        <w:t> </w:t>
      </w:r>
      <w:r>
        <w:rPr>
          <w:rFonts w:ascii="Arial"/>
          <w:i/>
          <w:sz w:val="20"/>
        </w:rPr>
        <w:t>v</w:t>
      </w:r>
      <w:r>
        <w:rPr>
          <w:rFonts w:ascii="Arial"/>
          <w:i/>
          <w:spacing w:val="9"/>
          <w:sz w:val="20"/>
        </w:rPr>
        <w:t> </w:t>
      </w:r>
      <w:r>
        <w:rPr>
          <w:rFonts w:ascii="Arial"/>
          <w:i/>
          <w:sz w:val="20"/>
        </w:rPr>
        <w:t>Jones</w:t>
      </w:r>
      <w:r>
        <w:rPr>
          <w:rFonts w:ascii="Arial"/>
          <w:i/>
          <w:spacing w:val="9"/>
          <w:sz w:val="20"/>
        </w:rPr>
        <w:t> </w:t>
      </w:r>
      <w:r>
        <w:rPr>
          <w:rFonts w:ascii="Arial"/>
          <w:i/>
          <w:spacing w:val="-2"/>
          <w:sz w:val="20"/>
        </w:rPr>
        <w:t>[1995]</w:t>
      </w:r>
    </w:p>
    <w:p>
      <w:pPr>
        <w:spacing w:line="235" w:lineRule="auto" w:before="1"/>
        <w:ind w:left="705" w:right="167" w:firstLine="0"/>
        <w:jc w:val="both"/>
        <w:rPr>
          <w:sz w:val="20"/>
        </w:rPr>
      </w:pPr>
      <w:r>
        <w:rPr>
          <w:rFonts w:ascii="Arial" w:hAnsi="Arial"/>
          <w:i/>
          <w:sz w:val="20"/>
        </w:rPr>
        <w:t>A.C. 207 </w:t>
      </w:r>
      <w:r>
        <w:rPr>
          <w:sz w:val="20"/>
        </w:rPr>
        <w:t>and </w:t>
      </w:r>
      <w:r>
        <w:rPr>
          <w:rFonts w:ascii="Arial" w:hAnsi="Arial"/>
          <w:i/>
          <w:sz w:val="20"/>
        </w:rPr>
        <w:t>BP plc v Aon Ltd [2006] EWHC 424, [2006] 1 All E.R. (Comm) 789</w:t>
      </w:r>
      <w:r>
        <w:rPr>
          <w:sz w:val="20"/>
        </w:rPr>
        <w:t>; and see the other authorities cited in para.18-024 above, nn.143-147; cf. </w:t>
      </w:r>
      <w:r>
        <w:rPr>
          <w:rFonts w:ascii="Arial" w:hAnsi="Arial"/>
          <w:i/>
          <w:sz w:val="20"/>
        </w:rPr>
        <w:t>Parkinson v St James &amp; Seacroft University NHS Trust [2001] EWCA Civ, 530; [2002] Q.B. 266</w:t>
      </w:r>
      <w:r>
        <w:rPr>
          <w:sz w:val="20"/>
        </w:rPr>
        <w:t>; </w:t>
      </w:r>
      <w:r>
        <w:rPr>
          <w:rFonts w:ascii="Arial" w:hAnsi="Arial"/>
          <w:i/>
          <w:sz w:val="20"/>
        </w:rPr>
        <w:t>Rees v Darlington Memorial Hospital NHS Trust [2003] UKHL 52; [2004] 1 A.C. 309</w:t>
      </w:r>
      <w:r>
        <w:rPr>
          <w:sz w:val="20"/>
        </w:rPr>
        <w:t>, esp. at [131]. For a possible extension of the scope of such an “assumption” beyond contracts for professional services, see n.191, </w:t>
      </w:r>
      <w:r>
        <w:rPr>
          <w:spacing w:val="-2"/>
          <w:sz w:val="20"/>
        </w:rPr>
        <w:t>below.</w:t>
      </w:r>
    </w:p>
    <w:p>
      <w:pPr>
        <w:pStyle w:val="BodyText"/>
        <w:spacing w:before="8"/>
      </w:pPr>
    </w:p>
    <w:p>
      <w:pPr>
        <w:spacing w:line="235" w:lineRule="auto" w:before="0"/>
        <w:ind w:left="705" w:right="167" w:hanging="541"/>
        <w:jc w:val="both"/>
        <w:rPr>
          <w:sz w:val="20"/>
        </w:rPr>
      </w:pPr>
      <w:bookmarkStart w:name="_bookmark439" w:id="441"/>
      <w:bookmarkEnd w:id="441"/>
      <w:r>
        <w:rPr/>
      </w:r>
      <w:hyperlink w:history="true" w:anchor="_bookmark310">
        <w:r>
          <w:rPr>
            <w:color w:val="005DA1"/>
            <w:position w:val="5"/>
            <w:sz w:val="14"/>
            <w:u w:val="single" w:color="005DA1"/>
          </w:rPr>
          <w:t>192</w:t>
        </w:r>
      </w:hyperlink>
      <w:r>
        <w:rPr>
          <w:position w:val="5"/>
          <w:sz w:val="14"/>
        </w:rPr>
        <w:t>.</w:t>
      </w:r>
      <w:r>
        <w:rPr>
          <w:spacing w:val="80"/>
          <w:position w:val="5"/>
          <w:sz w:val="14"/>
        </w:rPr>
        <w:t>  </w:t>
      </w:r>
      <w:r>
        <w:rPr>
          <w:sz w:val="20"/>
        </w:rPr>
        <w:t>The restrictions, discussed in this paragraph, on the recoverability of damages in tort in respect of economic loss do not apply where the claimant suffers such loss in consequence of damage caused by the defendant’s tortious conduct to a profit-earning thing owned by the claimant: </w:t>
      </w:r>
      <w:r>
        <w:rPr>
          <w:rFonts w:ascii="Arial" w:hAnsi="Arial"/>
          <w:i/>
          <w:sz w:val="20"/>
        </w:rPr>
        <w:t>Network Rail Infrastructure Ltd v Conarken Group Ltd [2011] EWCA Civ 644, [2012] 1 All E.R. (Comm) 692</w:t>
      </w:r>
      <w:r>
        <w:rPr>
          <w:sz w:val="20"/>
        </w:rPr>
        <w:t>.</w:t>
      </w:r>
    </w:p>
    <w:p>
      <w:pPr>
        <w:pStyle w:val="BodyText"/>
        <w:spacing w:before="8"/>
      </w:pPr>
    </w:p>
    <w:p>
      <w:pPr>
        <w:spacing w:line="235" w:lineRule="auto" w:before="0"/>
        <w:ind w:left="705" w:right="167" w:hanging="541"/>
        <w:jc w:val="both"/>
        <w:rPr>
          <w:rFonts w:ascii="Arial" w:hAnsi="Arial"/>
          <w:i/>
          <w:sz w:val="20"/>
        </w:rPr>
      </w:pPr>
      <w:bookmarkStart w:name="_bookmark440" w:id="442"/>
      <w:bookmarkEnd w:id="442"/>
      <w:r>
        <w:rPr/>
      </w:r>
      <w:hyperlink w:history="true" w:anchor="_bookmark311">
        <w:r>
          <w:rPr>
            <w:color w:val="005DA1"/>
            <w:position w:val="5"/>
            <w:sz w:val="14"/>
            <w:u w:val="single" w:color="005DA1"/>
          </w:rPr>
          <w:t>193</w:t>
        </w:r>
      </w:hyperlink>
      <w:r>
        <w:rPr>
          <w:position w:val="5"/>
          <w:sz w:val="14"/>
        </w:rPr>
        <w:t>.</w:t>
      </w:r>
      <w:r>
        <w:rPr>
          <w:spacing w:val="80"/>
          <w:position w:val="5"/>
          <w:sz w:val="14"/>
        </w:rPr>
        <w:t>  </w:t>
      </w:r>
      <w:r>
        <w:rPr>
          <w:rFonts w:ascii="Arial" w:hAnsi="Arial"/>
          <w:i/>
          <w:sz w:val="20"/>
        </w:rPr>
        <w:t>Tate &amp; Lyle Industries Ltd v G.L.C. [1983] 2 A.C. 509, 530–531</w:t>
      </w:r>
      <w:r>
        <w:rPr>
          <w:sz w:val="20"/>
        </w:rPr>
        <w:t>; cf. </w:t>
      </w:r>
      <w:r>
        <w:rPr>
          <w:rFonts w:ascii="Arial" w:hAnsi="Arial"/>
          <w:i/>
          <w:sz w:val="20"/>
        </w:rPr>
        <w:t>London </w:t>
      </w:r>
      <w:r>
        <w:rPr>
          <w:rFonts w:ascii="Arial" w:hAnsi="Arial"/>
          <w:i/>
          <w:sz w:val="20"/>
        </w:rPr>
        <w:t>Congregational Union Inc. v Harriss [1988] 1 All E.R. 15, 25</w:t>
      </w:r>
      <w:r>
        <w:rPr>
          <w:sz w:val="20"/>
        </w:rPr>
        <w:t>; </w:t>
      </w:r>
      <w:r>
        <w:rPr>
          <w:rFonts w:ascii="Arial" w:hAnsi="Arial"/>
          <w:i/>
          <w:sz w:val="20"/>
        </w:rPr>
        <w:t>Simaan General Contracting Co Ltd v Pilkington Glass Ltd (No.2) [1988] 1 Q.B. 758, 781</w:t>
      </w:r>
      <w:r>
        <w:rPr>
          <w:sz w:val="20"/>
        </w:rPr>
        <w:t>; </w:t>
      </w:r>
      <w:r>
        <w:rPr>
          <w:rFonts w:ascii="Arial" w:hAnsi="Arial"/>
          <w:i/>
          <w:sz w:val="20"/>
        </w:rPr>
        <w:t>Greater Nottingham Co-operative Society Ltd v Cementation Piling &amp; Foundation Ltd [1989] Q.B. 71, 94</w:t>
      </w:r>
      <w:r>
        <w:rPr>
          <w:sz w:val="20"/>
        </w:rPr>
        <w:t>; </w:t>
      </w:r>
      <w:r>
        <w:rPr>
          <w:rFonts w:ascii="Arial" w:hAnsi="Arial"/>
          <w:i/>
          <w:sz w:val="20"/>
        </w:rPr>
        <w:t>Verderame v Commercial Union Assurance Co plc., The Times, April 2, 1992</w:t>
      </w:r>
      <w:r>
        <w:rPr>
          <w:sz w:val="20"/>
        </w:rPr>
        <w:t>; </w:t>
      </w:r>
      <w:r>
        <w:rPr>
          <w:rFonts w:ascii="Arial" w:hAnsi="Arial"/>
          <w:i/>
          <w:sz w:val="20"/>
        </w:rPr>
        <w:t>Preston v Torfaen B.C. [1993] E.G.C.S. 137</w:t>
      </w:r>
      <w:r>
        <w:rPr>
          <w:sz w:val="20"/>
        </w:rPr>
        <w:t>; </w:t>
      </w:r>
      <w:r>
        <w:rPr>
          <w:rFonts w:ascii="Arial" w:hAnsi="Arial"/>
          <w:i/>
          <w:sz w:val="20"/>
        </w:rPr>
        <w:t>Abou-Rahmah</w:t>
      </w:r>
      <w:r>
        <w:rPr>
          <w:rFonts w:ascii="Arial" w:hAnsi="Arial"/>
          <w:i/>
          <w:spacing w:val="45"/>
          <w:sz w:val="20"/>
        </w:rPr>
        <w:t> </w:t>
      </w:r>
      <w:r>
        <w:rPr>
          <w:rFonts w:ascii="Arial" w:hAnsi="Arial"/>
          <w:i/>
          <w:sz w:val="20"/>
        </w:rPr>
        <w:t>v</w:t>
      </w:r>
      <w:r>
        <w:rPr>
          <w:rFonts w:ascii="Arial" w:hAnsi="Arial"/>
          <w:i/>
          <w:spacing w:val="45"/>
          <w:sz w:val="20"/>
        </w:rPr>
        <w:t> </w:t>
      </w:r>
      <w:r>
        <w:rPr>
          <w:rFonts w:ascii="Arial" w:hAnsi="Arial"/>
          <w:i/>
          <w:sz w:val="20"/>
        </w:rPr>
        <w:t>Abacha</w:t>
      </w:r>
      <w:r>
        <w:rPr>
          <w:rFonts w:ascii="Arial" w:hAnsi="Arial"/>
          <w:i/>
          <w:spacing w:val="45"/>
          <w:sz w:val="20"/>
        </w:rPr>
        <w:t> </w:t>
      </w:r>
      <w:r>
        <w:rPr>
          <w:rFonts w:ascii="Arial" w:hAnsi="Arial"/>
          <w:i/>
          <w:sz w:val="20"/>
        </w:rPr>
        <w:t>[2005]</w:t>
      </w:r>
      <w:r>
        <w:rPr>
          <w:rFonts w:ascii="Arial" w:hAnsi="Arial"/>
          <w:i/>
          <w:spacing w:val="45"/>
          <w:sz w:val="20"/>
        </w:rPr>
        <w:t> </w:t>
      </w:r>
      <w:r>
        <w:rPr>
          <w:rFonts w:ascii="Arial" w:hAnsi="Arial"/>
          <w:i/>
          <w:sz w:val="20"/>
        </w:rPr>
        <w:t>EWHC</w:t>
      </w:r>
      <w:r>
        <w:rPr>
          <w:rFonts w:ascii="Arial" w:hAnsi="Arial"/>
          <w:i/>
          <w:spacing w:val="45"/>
          <w:sz w:val="20"/>
        </w:rPr>
        <w:t> </w:t>
      </w:r>
      <w:r>
        <w:rPr>
          <w:rFonts w:ascii="Arial" w:hAnsi="Arial"/>
          <w:i/>
          <w:sz w:val="20"/>
        </w:rPr>
        <w:t>2662</w:t>
      </w:r>
      <w:r>
        <w:rPr>
          <w:rFonts w:ascii="Arial" w:hAnsi="Arial"/>
          <w:i/>
          <w:spacing w:val="45"/>
          <w:sz w:val="20"/>
        </w:rPr>
        <w:t> </w:t>
      </w:r>
      <w:r>
        <w:rPr>
          <w:rFonts w:ascii="Arial" w:hAnsi="Arial"/>
          <w:i/>
          <w:sz w:val="20"/>
        </w:rPr>
        <w:t>(QB),</w:t>
      </w:r>
      <w:r>
        <w:rPr>
          <w:rFonts w:ascii="Arial" w:hAnsi="Arial"/>
          <w:i/>
          <w:spacing w:val="45"/>
          <w:sz w:val="20"/>
        </w:rPr>
        <w:t> </w:t>
      </w:r>
      <w:r>
        <w:rPr>
          <w:rFonts w:ascii="Arial" w:hAnsi="Arial"/>
          <w:i/>
          <w:sz w:val="20"/>
        </w:rPr>
        <w:t>[2006]</w:t>
      </w:r>
      <w:r>
        <w:rPr>
          <w:rFonts w:ascii="Arial" w:hAnsi="Arial"/>
          <w:i/>
          <w:spacing w:val="45"/>
          <w:sz w:val="20"/>
        </w:rPr>
        <w:t> </w:t>
      </w:r>
      <w:r>
        <w:rPr>
          <w:rFonts w:ascii="Arial" w:hAnsi="Arial"/>
          <w:i/>
          <w:sz w:val="20"/>
        </w:rPr>
        <w:t>1</w:t>
      </w:r>
      <w:r>
        <w:rPr>
          <w:rFonts w:ascii="Arial" w:hAnsi="Arial"/>
          <w:i/>
          <w:spacing w:val="45"/>
          <w:sz w:val="20"/>
        </w:rPr>
        <w:t> </w:t>
      </w:r>
      <w:r>
        <w:rPr>
          <w:rFonts w:ascii="Arial" w:hAnsi="Arial"/>
          <w:i/>
          <w:sz w:val="20"/>
        </w:rPr>
        <w:t>All</w:t>
      </w:r>
      <w:r>
        <w:rPr>
          <w:rFonts w:ascii="Arial" w:hAnsi="Arial"/>
          <w:i/>
          <w:spacing w:val="45"/>
          <w:sz w:val="20"/>
        </w:rPr>
        <w:t> </w:t>
      </w:r>
      <w:r>
        <w:rPr>
          <w:rFonts w:ascii="Arial" w:hAnsi="Arial"/>
          <w:i/>
          <w:sz w:val="20"/>
        </w:rPr>
        <w:t>E.R.</w:t>
      </w:r>
      <w:r>
        <w:rPr>
          <w:rFonts w:ascii="Arial" w:hAnsi="Arial"/>
          <w:i/>
          <w:spacing w:val="45"/>
          <w:sz w:val="20"/>
        </w:rPr>
        <w:t> </w:t>
      </w:r>
      <w:r>
        <w:rPr>
          <w:rFonts w:ascii="Arial" w:hAnsi="Arial"/>
          <w:i/>
          <w:sz w:val="20"/>
        </w:rPr>
        <w:t>(Comm)</w:t>
      </w:r>
      <w:r>
        <w:rPr>
          <w:rFonts w:ascii="Arial" w:hAnsi="Arial"/>
          <w:i/>
          <w:spacing w:val="45"/>
          <w:sz w:val="20"/>
        </w:rPr>
        <w:t> </w:t>
      </w:r>
      <w:r>
        <w:rPr>
          <w:rFonts w:ascii="Arial" w:hAnsi="Arial"/>
          <w:i/>
          <w:sz w:val="20"/>
        </w:rPr>
        <w:t>268</w:t>
      </w:r>
      <w:r>
        <w:rPr>
          <w:rFonts w:ascii="Arial" w:hAnsi="Arial"/>
          <w:i/>
          <w:spacing w:val="45"/>
          <w:sz w:val="20"/>
        </w:rPr>
        <w:t> </w:t>
      </w:r>
      <w:r>
        <w:rPr>
          <w:rFonts w:ascii="Arial" w:hAnsi="Arial"/>
          <w:i/>
          <w:sz w:val="20"/>
        </w:rPr>
        <w:t>at</w:t>
      </w:r>
      <w:r>
        <w:rPr>
          <w:rFonts w:ascii="Arial" w:hAnsi="Arial"/>
          <w:i/>
          <w:spacing w:val="45"/>
          <w:sz w:val="20"/>
        </w:rPr>
        <w:t> </w:t>
      </w:r>
      <w:r>
        <w:rPr>
          <w:rFonts w:ascii="Arial" w:hAnsi="Arial"/>
          <w:i/>
          <w:spacing w:val="-4"/>
          <w:sz w:val="20"/>
        </w:rPr>
        <w:t>[67];</w:t>
      </w:r>
    </w:p>
    <w:p>
      <w:pPr>
        <w:spacing w:line="235" w:lineRule="auto" w:before="0"/>
        <w:ind w:left="705" w:right="167" w:firstLine="0"/>
        <w:jc w:val="both"/>
        <w:rPr>
          <w:sz w:val="20"/>
        </w:rPr>
      </w:pPr>
      <w:r>
        <w:rPr>
          <w:rFonts w:ascii="Arial" w:hAnsi="Arial"/>
          <w:i/>
          <w:sz w:val="20"/>
        </w:rPr>
        <w:t>affirmed [2006] EWCA Civ 1492, [2007] 1 All E.R. (Comm) 827 </w:t>
      </w:r>
      <w:r>
        <w:rPr>
          <w:sz w:val="20"/>
        </w:rPr>
        <w:t>on other grounds, there being</w:t>
      </w:r>
      <w:r>
        <w:rPr>
          <w:spacing w:val="40"/>
          <w:sz w:val="20"/>
        </w:rPr>
        <w:t> </w:t>
      </w:r>
      <w:r>
        <w:rPr>
          <w:sz w:val="20"/>
        </w:rPr>
        <w:t>no appeal against the dismissal of the negligence claim: see at [7]. cf., as to the </w:t>
      </w:r>
      <w:r>
        <w:rPr>
          <w:sz w:val="20"/>
        </w:rPr>
        <w:t>restricted</w:t>
      </w:r>
      <w:r>
        <w:rPr>
          <w:spacing w:val="40"/>
          <w:sz w:val="20"/>
        </w:rPr>
        <w:t> </w:t>
      </w:r>
      <w:r>
        <w:rPr>
          <w:sz w:val="20"/>
        </w:rPr>
        <w:t>scope of such a duty, </w:t>
      </w:r>
      <w:r>
        <w:rPr>
          <w:rFonts w:ascii="Arial" w:hAnsi="Arial"/>
          <w:i/>
          <w:sz w:val="20"/>
        </w:rPr>
        <w:t>Hill Samuel Bank v Frederick Brand Partnership (1994) 10 Const.L.J. 72</w:t>
      </w:r>
      <w:r>
        <w:rPr>
          <w:sz w:val="20"/>
        </w:rPr>
        <w:t>. See also </w:t>
      </w:r>
      <w:r>
        <w:rPr>
          <w:rFonts w:ascii="Arial" w:hAnsi="Arial"/>
          <w:i/>
          <w:sz w:val="20"/>
        </w:rPr>
        <w:t>West Bromwich Football Club v El Safty [2006] EWCA Civ 1299, (2006) B.M.L.R. 179 </w:t>
      </w:r>
      <w:r>
        <w:rPr>
          <w:sz w:val="20"/>
        </w:rPr>
        <w:t>at</w:t>
      </w:r>
      <w:r>
        <w:rPr>
          <w:spacing w:val="9"/>
          <w:sz w:val="20"/>
        </w:rPr>
        <w:t> </w:t>
      </w:r>
      <w:r>
        <w:rPr>
          <w:sz w:val="20"/>
        </w:rPr>
        <w:t>[58]–[63],</w:t>
      </w:r>
      <w:r>
        <w:rPr>
          <w:spacing w:val="11"/>
          <w:sz w:val="20"/>
        </w:rPr>
        <w:t> </w:t>
      </w:r>
      <w:r>
        <w:rPr>
          <w:sz w:val="20"/>
        </w:rPr>
        <w:t>[80]–[84];</w:t>
      </w:r>
      <w:r>
        <w:rPr>
          <w:spacing w:val="11"/>
          <w:sz w:val="20"/>
        </w:rPr>
        <w:t> </w:t>
      </w:r>
      <w:r>
        <w:rPr>
          <w:rFonts w:ascii="Arial" w:hAnsi="Arial"/>
          <w:i/>
          <w:sz w:val="20"/>
        </w:rPr>
        <w:t>OBG</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Allan</w:t>
      </w:r>
      <w:r>
        <w:rPr>
          <w:rFonts w:ascii="Arial" w:hAnsi="Arial"/>
          <w:i/>
          <w:spacing w:val="11"/>
          <w:sz w:val="20"/>
        </w:rPr>
        <w:t> </w:t>
      </w:r>
      <w:r>
        <w:rPr>
          <w:rFonts w:ascii="Arial" w:hAnsi="Arial"/>
          <w:i/>
          <w:sz w:val="20"/>
        </w:rPr>
        <w:t>[2007]</w:t>
      </w:r>
      <w:r>
        <w:rPr>
          <w:rFonts w:ascii="Arial" w:hAnsi="Arial"/>
          <w:i/>
          <w:spacing w:val="11"/>
          <w:sz w:val="20"/>
        </w:rPr>
        <w:t> </w:t>
      </w:r>
      <w:r>
        <w:rPr>
          <w:rFonts w:ascii="Arial" w:hAnsi="Arial"/>
          <w:i/>
          <w:sz w:val="20"/>
        </w:rPr>
        <w:t>UKHL</w:t>
      </w:r>
      <w:r>
        <w:rPr>
          <w:rFonts w:ascii="Arial" w:hAnsi="Arial"/>
          <w:i/>
          <w:spacing w:val="11"/>
          <w:sz w:val="20"/>
        </w:rPr>
        <w:t> </w:t>
      </w:r>
      <w:r>
        <w:rPr>
          <w:rFonts w:ascii="Arial" w:hAnsi="Arial"/>
          <w:i/>
          <w:sz w:val="20"/>
        </w:rPr>
        <w:t>21,</w:t>
      </w:r>
      <w:r>
        <w:rPr>
          <w:rFonts w:ascii="Arial" w:hAnsi="Arial"/>
          <w:i/>
          <w:spacing w:val="11"/>
          <w:sz w:val="20"/>
        </w:rPr>
        <w:t> </w:t>
      </w:r>
      <w:r>
        <w:rPr>
          <w:rFonts w:ascii="Arial" w:hAnsi="Arial"/>
          <w:i/>
          <w:sz w:val="20"/>
        </w:rPr>
        <w:t>[2008]</w:t>
      </w:r>
      <w:r>
        <w:rPr>
          <w:rFonts w:ascii="Arial" w:hAnsi="Arial"/>
          <w:i/>
          <w:spacing w:val="11"/>
          <w:sz w:val="20"/>
        </w:rPr>
        <w:t> </w:t>
      </w:r>
      <w:r>
        <w:rPr>
          <w:rFonts w:ascii="Arial" w:hAnsi="Arial"/>
          <w:i/>
          <w:sz w:val="20"/>
        </w:rPr>
        <w:t>1</w:t>
      </w:r>
      <w:r>
        <w:rPr>
          <w:rFonts w:ascii="Arial" w:hAnsi="Arial"/>
          <w:i/>
          <w:spacing w:val="11"/>
          <w:sz w:val="20"/>
        </w:rPr>
        <w:t> </w:t>
      </w:r>
      <w:r>
        <w:rPr>
          <w:rFonts w:ascii="Arial" w:hAnsi="Arial"/>
          <w:i/>
          <w:sz w:val="20"/>
        </w:rPr>
        <w:t>A.C.</w:t>
      </w:r>
      <w:r>
        <w:rPr>
          <w:rFonts w:ascii="Arial" w:hAnsi="Arial"/>
          <w:i/>
          <w:spacing w:val="11"/>
          <w:sz w:val="20"/>
        </w:rPr>
        <w:t> </w:t>
      </w:r>
      <w:r>
        <w:rPr>
          <w:rFonts w:ascii="Arial" w:hAnsi="Arial"/>
          <w:i/>
          <w:sz w:val="20"/>
        </w:rPr>
        <w:t>1</w:t>
      </w:r>
      <w:r>
        <w:rPr>
          <w:rFonts w:ascii="Arial" w:hAnsi="Arial"/>
          <w:i/>
          <w:spacing w:val="11"/>
          <w:sz w:val="20"/>
        </w:rPr>
        <w:t> </w:t>
      </w:r>
      <w:r>
        <w:rPr>
          <w:sz w:val="20"/>
        </w:rPr>
        <w:t>at</w:t>
      </w:r>
      <w:r>
        <w:rPr>
          <w:spacing w:val="11"/>
          <w:sz w:val="20"/>
        </w:rPr>
        <w:t> </w:t>
      </w:r>
      <w:r>
        <w:rPr>
          <w:sz w:val="20"/>
        </w:rPr>
        <w:t>[99]</w:t>
      </w:r>
      <w:r>
        <w:rPr>
          <w:spacing w:val="11"/>
          <w:sz w:val="20"/>
        </w:rPr>
        <w:t> </w:t>
      </w:r>
      <w:r>
        <w:rPr>
          <w:sz w:val="20"/>
        </w:rPr>
        <w:t>(“Even</w:t>
      </w:r>
      <w:r>
        <w:rPr>
          <w:spacing w:val="11"/>
          <w:sz w:val="20"/>
        </w:rPr>
        <w:t> </w:t>
      </w:r>
      <w:r>
        <w:rPr>
          <w:spacing w:val="-2"/>
          <w:sz w:val="20"/>
        </w:rPr>
        <w:t>liability</w:t>
      </w:r>
    </w:p>
    <w:p>
      <w:pPr>
        <w:pStyle w:val="BodyText"/>
        <w:spacing w:line="235" w:lineRule="auto"/>
        <w:ind w:left="705" w:right="167"/>
        <w:jc w:val="both"/>
      </w:pPr>
      <w:r>
        <w:rPr/>
        <w:t>for causing economic loss by negligence is very limited”); </w:t>
      </w:r>
      <w:r>
        <w:rPr>
          <w:rFonts w:ascii="Arial" w:hAnsi="Arial"/>
          <w:i/>
        </w:rPr>
        <w:t>An Informer v A Chief Constable [2012] EWCA Civ 197, [2013] Q.B. 579 </w:t>
      </w:r>
      <w:r>
        <w:rPr/>
        <w:t>at [67] (no duty of care on police authority, either in contract or in tort, to protect police informer against “pure economic loss” (at [57])). For discussion of the tests which determine whether a defendant owes a duty of care in tort not to cause</w:t>
      </w:r>
      <w:r>
        <w:rPr>
          <w:spacing w:val="-1"/>
        </w:rPr>
        <w:t> </w:t>
      </w:r>
      <w:r>
        <w:rPr/>
        <w:t>economic</w:t>
      </w:r>
      <w:r>
        <w:rPr>
          <w:spacing w:val="-1"/>
        </w:rPr>
        <w:t> </w:t>
      </w:r>
      <w:r>
        <w:rPr/>
        <w:t>loss</w:t>
      </w:r>
      <w:r>
        <w:rPr>
          <w:spacing w:val="-1"/>
        </w:rPr>
        <w:t> </w:t>
      </w:r>
      <w:r>
        <w:rPr/>
        <w:t>to</w:t>
      </w:r>
      <w:r>
        <w:rPr>
          <w:spacing w:val="-1"/>
        </w:rPr>
        <w:t> </w:t>
      </w:r>
      <w:r>
        <w:rPr/>
        <w:t>the</w:t>
      </w:r>
      <w:r>
        <w:rPr>
          <w:spacing w:val="-1"/>
        </w:rPr>
        <w:t> </w:t>
      </w:r>
      <w:r>
        <w:rPr/>
        <w:t>claimant,</w:t>
      </w:r>
      <w:r>
        <w:rPr>
          <w:spacing w:val="-1"/>
        </w:rPr>
        <w:t> </w:t>
      </w:r>
      <w:r>
        <w:rPr/>
        <w:t>see</w:t>
      </w:r>
      <w:r>
        <w:rPr>
          <w:spacing w:val="-2"/>
        </w:rPr>
        <w:t> </w:t>
      </w:r>
      <w:r>
        <w:rPr>
          <w:rFonts w:ascii="Arial" w:hAnsi="Arial"/>
          <w:i/>
        </w:rPr>
        <w:t>Customs</w:t>
      </w:r>
      <w:r>
        <w:rPr>
          <w:rFonts w:ascii="Arial" w:hAnsi="Arial"/>
          <w:i/>
          <w:spacing w:val="-1"/>
        </w:rPr>
        <w:t> </w:t>
      </w:r>
      <w:r>
        <w:rPr>
          <w:rFonts w:ascii="Arial" w:hAnsi="Arial"/>
          <w:i/>
        </w:rPr>
        <w:t>and</w:t>
      </w:r>
      <w:r>
        <w:rPr>
          <w:rFonts w:ascii="Arial" w:hAnsi="Arial"/>
          <w:i/>
          <w:spacing w:val="-1"/>
        </w:rPr>
        <w:t> </w:t>
      </w:r>
      <w:r>
        <w:rPr>
          <w:rFonts w:ascii="Arial" w:hAnsi="Arial"/>
          <w:i/>
        </w:rPr>
        <w:t>Excise</w:t>
      </w:r>
      <w:r>
        <w:rPr>
          <w:rFonts w:ascii="Arial" w:hAnsi="Arial"/>
          <w:i/>
          <w:spacing w:val="-1"/>
        </w:rPr>
        <w:t> </w:t>
      </w:r>
      <w:r>
        <w:rPr>
          <w:rFonts w:ascii="Arial" w:hAnsi="Arial"/>
          <w:i/>
        </w:rPr>
        <w:t>Commissioners</w:t>
      </w:r>
      <w:r>
        <w:rPr>
          <w:rFonts w:ascii="Arial" w:hAnsi="Arial"/>
          <w:i/>
          <w:spacing w:val="-1"/>
        </w:rPr>
        <w:t> </w:t>
      </w:r>
      <w:r>
        <w:rPr>
          <w:rFonts w:ascii="Arial" w:hAnsi="Arial"/>
          <w:i/>
        </w:rPr>
        <w:t>v</w:t>
      </w:r>
      <w:r>
        <w:rPr>
          <w:rFonts w:ascii="Arial" w:hAnsi="Arial"/>
          <w:i/>
          <w:spacing w:val="-1"/>
        </w:rPr>
        <w:t> </w:t>
      </w:r>
      <w:r>
        <w:rPr>
          <w:rFonts w:ascii="Arial" w:hAnsi="Arial"/>
          <w:i/>
        </w:rPr>
        <w:t>Barclays</w:t>
      </w:r>
      <w:r>
        <w:rPr>
          <w:rFonts w:ascii="Arial" w:hAnsi="Arial"/>
          <w:i/>
          <w:spacing w:val="-1"/>
        </w:rPr>
        <w:t> </w:t>
      </w:r>
      <w:r>
        <w:rPr>
          <w:rFonts w:ascii="Arial" w:hAnsi="Arial"/>
          <w:i/>
        </w:rPr>
        <w:t>Bank plc [2006] UKHL 28, [2007] 1 A.C. 181 </w:t>
      </w:r>
      <w:r>
        <w:rPr/>
        <w:t>where the claimant suffered such loss because the defendant</w:t>
      </w:r>
      <w:r>
        <w:rPr>
          <w:spacing w:val="-1"/>
        </w:rPr>
        <w:t> </w:t>
      </w:r>
      <w:r>
        <w:rPr/>
        <w:t>bank</w:t>
      </w:r>
      <w:r>
        <w:rPr>
          <w:spacing w:val="-1"/>
        </w:rPr>
        <w:t> </w:t>
      </w:r>
      <w:r>
        <w:rPr/>
        <w:t>failed</w:t>
      </w:r>
      <w:r>
        <w:rPr>
          <w:spacing w:val="-1"/>
        </w:rPr>
        <w:t> </w:t>
      </w:r>
      <w:r>
        <w:rPr/>
        <w:t>to</w:t>
      </w:r>
      <w:r>
        <w:rPr>
          <w:spacing w:val="-1"/>
        </w:rPr>
        <w:t> </w:t>
      </w:r>
      <w:r>
        <w:rPr/>
        <w:t>comply</w:t>
      </w:r>
      <w:r>
        <w:rPr>
          <w:spacing w:val="-1"/>
        </w:rPr>
        <w:t> </w:t>
      </w:r>
      <w:r>
        <w:rPr/>
        <w:t>with</w:t>
      </w:r>
      <w:r>
        <w:rPr>
          <w:spacing w:val="-1"/>
        </w:rPr>
        <w:t> </w:t>
      </w:r>
      <w:r>
        <w:rPr/>
        <w:t>an</w:t>
      </w:r>
      <w:r>
        <w:rPr>
          <w:spacing w:val="-1"/>
        </w:rPr>
        <w:t> </w:t>
      </w:r>
      <w:r>
        <w:rPr/>
        <w:t>injunction</w:t>
      </w:r>
      <w:r>
        <w:rPr>
          <w:spacing w:val="-1"/>
        </w:rPr>
        <w:t> </w:t>
      </w:r>
      <w:r>
        <w:rPr/>
        <w:t>which</w:t>
      </w:r>
      <w:r>
        <w:rPr>
          <w:spacing w:val="-1"/>
        </w:rPr>
        <w:t> </w:t>
      </w:r>
      <w:r>
        <w:rPr/>
        <w:t>the</w:t>
      </w:r>
      <w:r>
        <w:rPr>
          <w:spacing w:val="-1"/>
        </w:rPr>
        <w:t> </w:t>
      </w:r>
      <w:r>
        <w:rPr/>
        <w:t>claimant</w:t>
      </w:r>
      <w:r>
        <w:rPr>
          <w:spacing w:val="-1"/>
        </w:rPr>
        <w:t> </w:t>
      </w:r>
      <w:r>
        <w:rPr/>
        <w:t>had</w:t>
      </w:r>
      <w:r>
        <w:rPr>
          <w:spacing w:val="-1"/>
        </w:rPr>
        <w:t> </w:t>
      </w:r>
      <w:r>
        <w:rPr/>
        <w:t>obtained</w:t>
      </w:r>
      <w:r>
        <w:rPr>
          <w:spacing w:val="-1"/>
        </w:rPr>
        <w:t> </w:t>
      </w:r>
      <w:r>
        <w:rPr/>
        <w:t>to</w:t>
      </w:r>
      <w:r>
        <w:rPr>
          <w:spacing w:val="-1"/>
        </w:rPr>
        <w:t> </w:t>
      </w:r>
      <w:r>
        <w:rPr/>
        <w:t>freeze</w:t>
      </w:r>
      <w:r>
        <w:rPr>
          <w:spacing w:val="-1"/>
        </w:rPr>
        <w:t> </w:t>
      </w:r>
      <w:r>
        <w:rPr/>
        <w:t>an account held by one of the bank’s customers; and it was held that the bank owed no such duty to the claimant. The case does not directly affect the discussion in this Chapter since the claimant’s loss did not result from any breach of the contract between the bank and its customer. In </w:t>
      </w:r>
      <w:r>
        <w:rPr>
          <w:rFonts w:ascii="Arial" w:hAnsi="Arial"/>
          <w:i/>
        </w:rPr>
        <w:t>European Gas Turbines Ltd v MSAS Cargo International Ltd [2001] C.L.C. 880 </w:t>
      </w:r>
      <w:r>
        <w:rPr/>
        <w:t>a cargo-owner</w:t>
      </w:r>
      <w:r>
        <w:rPr>
          <w:spacing w:val="-3"/>
        </w:rPr>
        <w:t> </w:t>
      </w:r>
      <w:r>
        <w:rPr/>
        <w:t>(C)</w:t>
      </w:r>
      <w:r>
        <w:rPr>
          <w:spacing w:val="-3"/>
        </w:rPr>
        <w:t> </w:t>
      </w:r>
      <w:r>
        <w:rPr/>
        <w:t>recovered</w:t>
      </w:r>
      <w:r>
        <w:rPr>
          <w:spacing w:val="-3"/>
        </w:rPr>
        <w:t> </w:t>
      </w:r>
      <w:r>
        <w:rPr/>
        <w:t>damages</w:t>
      </w:r>
      <w:r>
        <w:rPr>
          <w:spacing w:val="-3"/>
        </w:rPr>
        <w:t> </w:t>
      </w:r>
      <w:r>
        <w:rPr/>
        <w:t>from</w:t>
      </w:r>
      <w:r>
        <w:rPr>
          <w:spacing w:val="-3"/>
        </w:rPr>
        <w:t> </w:t>
      </w:r>
      <w:r>
        <w:rPr/>
        <w:t>a</w:t>
      </w:r>
      <w:r>
        <w:rPr>
          <w:spacing w:val="-3"/>
        </w:rPr>
        <w:t> </w:t>
      </w:r>
      <w:r>
        <w:rPr/>
        <w:t>sub-contracting</w:t>
      </w:r>
      <w:r>
        <w:rPr>
          <w:spacing w:val="-3"/>
        </w:rPr>
        <w:t> </w:t>
      </w:r>
      <w:r>
        <w:rPr/>
        <w:t>carrier</w:t>
      </w:r>
      <w:r>
        <w:rPr>
          <w:spacing w:val="-3"/>
        </w:rPr>
        <w:t> </w:t>
      </w:r>
      <w:r>
        <w:rPr/>
        <w:t>(A)</w:t>
      </w:r>
      <w:r>
        <w:rPr>
          <w:spacing w:val="-3"/>
        </w:rPr>
        <w:t> </w:t>
      </w:r>
      <w:r>
        <w:rPr/>
        <w:t>for</w:t>
      </w:r>
      <w:r>
        <w:rPr>
          <w:spacing w:val="-3"/>
        </w:rPr>
        <w:t> </w:t>
      </w:r>
      <w:r>
        <w:rPr/>
        <w:t>purely</w:t>
      </w:r>
      <w:r>
        <w:rPr>
          <w:spacing w:val="-3"/>
        </w:rPr>
        <w:t> </w:t>
      </w:r>
      <w:r>
        <w:rPr/>
        <w:t>economic</w:t>
      </w:r>
      <w:r>
        <w:rPr>
          <w:spacing w:val="-3"/>
        </w:rPr>
        <w:t> </w:t>
      </w:r>
      <w:r>
        <w:rPr/>
        <w:t>loss resulting from breach of A’s subcontract with the contracting carrier (B) as to the mode of carriage. There was no contract between A and C so that this conclusion is at first sight hard to reconcile with the other authorities cited in this note. The case may be explicable on the ground that C’s agent had notified A of the importance to C of carriage by the stipulated mode and that A had accepted this position so as to give rise to an “assumption of responsibility” (cf. above, at n.188) to C to observe that stipulation.</w:t>
      </w:r>
    </w:p>
    <w:p>
      <w:pPr>
        <w:tabs>
          <w:tab w:pos="705" w:val="left" w:leader="none"/>
        </w:tabs>
        <w:spacing w:before="225"/>
        <w:ind w:left="165" w:right="0" w:firstLine="0"/>
        <w:jc w:val="left"/>
        <w:rPr>
          <w:sz w:val="20"/>
        </w:rPr>
      </w:pPr>
      <w:bookmarkStart w:name="_bookmark441" w:id="443"/>
      <w:bookmarkEnd w:id="443"/>
      <w:r>
        <w:rPr/>
      </w:r>
      <w:hyperlink w:history="true" w:anchor="_bookmark312">
        <w:r>
          <w:rPr>
            <w:color w:val="005DA1"/>
            <w:spacing w:val="-4"/>
            <w:position w:val="5"/>
            <w:sz w:val="14"/>
            <w:u w:val="single" w:color="005DA1"/>
          </w:rPr>
          <w:t>194</w:t>
        </w:r>
      </w:hyperlink>
      <w:r>
        <w:rPr>
          <w:spacing w:val="-4"/>
          <w:position w:val="5"/>
          <w:sz w:val="14"/>
        </w:rPr>
        <w:t>.</w:t>
      </w:r>
      <w:r>
        <w:rPr>
          <w:position w:val="5"/>
          <w:sz w:val="14"/>
        </w:rPr>
        <w:tab/>
      </w:r>
      <w:r>
        <w:rPr>
          <w:rFonts w:ascii="Arial"/>
          <w:i/>
          <w:sz w:val="20"/>
        </w:rPr>
        <w:t>[1988]</w:t>
      </w:r>
      <w:r>
        <w:rPr>
          <w:rFonts w:ascii="Arial"/>
          <w:i/>
          <w:spacing w:val="-2"/>
          <w:sz w:val="20"/>
        </w:rPr>
        <w:t> </w:t>
      </w:r>
      <w:r>
        <w:rPr>
          <w:rFonts w:ascii="Arial"/>
          <w:i/>
          <w:sz w:val="20"/>
        </w:rPr>
        <w:t>1 Q.B. </w:t>
      </w:r>
      <w:r>
        <w:rPr>
          <w:rFonts w:ascii="Arial"/>
          <w:i/>
          <w:spacing w:val="-4"/>
          <w:sz w:val="20"/>
        </w:rPr>
        <w:t>758</w:t>
      </w:r>
      <w:r>
        <w:rPr>
          <w:spacing w:val="-4"/>
          <w:sz w:val="20"/>
        </w:rPr>
        <w:t>.</w:t>
      </w:r>
    </w:p>
    <w:p>
      <w:pPr>
        <w:pStyle w:val="BodyText"/>
        <w:spacing w:before="9"/>
      </w:pPr>
    </w:p>
    <w:p>
      <w:pPr>
        <w:spacing w:line="235" w:lineRule="auto" w:before="0"/>
        <w:ind w:left="705" w:right="168" w:hanging="541"/>
        <w:jc w:val="both"/>
        <w:rPr>
          <w:sz w:val="20"/>
        </w:rPr>
      </w:pPr>
      <w:bookmarkStart w:name="_bookmark442" w:id="444"/>
      <w:bookmarkEnd w:id="444"/>
      <w:r>
        <w:rPr/>
      </w:r>
      <w:hyperlink w:history="true" w:anchor="_bookmark313">
        <w:r>
          <w:rPr>
            <w:color w:val="005DA1"/>
            <w:position w:val="5"/>
            <w:sz w:val="14"/>
            <w:u w:val="single" w:color="005DA1"/>
          </w:rPr>
          <w:t>195</w:t>
        </w:r>
      </w:hyperlink>
      <w:r>
        <w:rPr>
          <w:position w:val="5"/>
          <w:sz w:val="14"/>
        </w:rPr>
        <w:t>.</w:t>
      </w:r>
      <w:r>
        <w:rPr>
          <w:spacing w:val="80"/>
          <w:w w:val="150"/>
          <w:position w:val="5"/>
          <w:sz w:val="14"/>
        </w:rPr>
        <w:t> </w:t>
      </w:r>
      <w:r>
        <w:rPr>
          <w:rFonts w:ascii="Arial"/>
          <w:i/>
          <w:sz w:val="20"/>
        </w:rPr>
        <w:t>[1984] 1 W.L.R. 951</w:t>
      </w:r>
      <w:r>
        <w:rPr>
          <w:sz w:val="20"/>
        </w:rPr>
        <w:t>; Whittaker (1985) 48 M.L.R. 86. It seems that on facts such as those of </w:t>
      </w:r>
      <w:r>
        <w:rPr>
          <w:rFonts w:ascii="Arial"/>
          <w:i/>
          <w:sz w:val="20"/>
        </w:rPr>
        <w:t>Balsamo v Medici </w:t>
      </w:r>
      <w:r>
        <w:rPr>
          <w:sz w:val="20"/>
        </w:rPr>
        <w:t>the requirements of s.1(1), (2) and (3) of the Contracts (Rights of </w:t>
      </w:r>
      <w:r>
        <w:rPr>
          <w:sz w:val="20"/>
        </w:rPr>
        <w:t>Third Parties) Act 1999 (below, paras 18-091 to 18-195) would not now be satisfied. cf. also </w:t>
      </w:r>
      <w:r>
        <w:rPr>
          <w:rFonts w:ascii="Arial"/>
          <w:i/>
          <w:sz w:val="20"/>
        </w:rPr>
        <w:t>Michael Salliss &amp; Co v E.C.A. Call (1984) 4 Const. L.J. 125</w:t>
      </w:r>
      <w:r>
        <w:rPr>
          <w:sz w:val="20"/>
        </w:rPr>
        <w:t>.</w:t>
      </w:r>
    </w:p>
    <w:p>
      <w:pPr>
        <w:pStyle w:val="BodyText"/>
        <w:spacing w:before="8"/>
      </w:pPr>
    </w:p>
    <w:p>
      <w:pPr>
        <w:spacing w:line="235" w:lineRule="auto" w:before="0"/>
        <w:ind w:left="705" w:right="167" w:hanging="541"/>
        <w:jc w:val="both"/>
        <w:rPr>
          <w:sz w:val="20"/>
        </w:rPr>
      </w:pPr>
      <w:bookmarkStart w:name="_bookmark443" w:id="445"/>
      <w:bookmarkEnd w:id="445"/>
      <w:r>
        <w:rPr/>
      </w:r>
      <w:hyperlink w:history="true" w:anchor="_bookmark314">
        <w:r>
          <w:rPr>
            <w:color w:val="005DA1"/>
            <w:position w:val="5"/>
            <w:sz w:val="14"/>
            <w:u w:val="single" w:color="005DA1"/>
          </w:rPr>
          <w:t>196</w:t>
        </w:r>
      </w:hyperlink>
      <w:r>
        <w:rPr>
          <w:position w:val="5"/>
          <w:sz w:val="14"/>
        </w:rPr>
        <w:t>.</w:t>
      </w:r>
      <w:r>
        <w:rPr>
          <w:spacing w:val="80"/>
          <w:position w:val="5"/>
          <w:sz w:val="14"/>
        </w:rPr>
        <w:t>  </w:t>
      </w:r>
      <w:r>
        <w:rPr>
          <w:rFonts w:ascii="Arial" w:hAnsi="Arial"/>
          <w:i/>
          <w:sz w:val="20"/>
        </w:rPr>
        <w:t>[1984] 1 W.L.R. 951, 959–960</w:t>
      </w:r>
      <w:r>
        <w:rPr>
          <w:sz w:val="20"/>
        </w:rPr>
        <w:t>. The soundness of the decisions discussed in this paragraph is not questioned in </w:t>
      </w:r>
      <w:r>
        <w:rPr>
          <w:rFonts w:ascii="Arial" w:hAnsi="Arial"/>
          <w:i/>
          <w:sz w:val="20"/>
        </w:rPr>
        <w:t>Henderson v Merrett Syndicates Ltd [1995] 2 A.C. 145</w:t>
      </w:r>
      <w:r>
        <w:rPr>
          <w:sz w:val="20"/>
        </w:rPr>
        <w:t>, where the liability in tort of a subagent to a principal with whom he was in no contractual relationship was said at</w:t>
      </w:r>
      <w:r>
        <w:rPr>
          <w:spacing w:val="40"/>
          <w:sz w:val="20"/>
        </w:rPr>
        <w:t> </w:t>
      </w:r>
      <w:r>
        <w:rPr>
          <w:sz w:val="20"/>
        </w:rPr>
        <w:t>195 to be based on the “most unusual” situation in that case. cf. </w:t>
      </w:r>
      <w:r>
        <w:rPr>
          <w:rFonts w:ascii="Arial" w:hAnsi="Arial"/>
          <w:i/>
          <w:sz w:val="20"/>
        </w:rPr>
        <w:t>Hamble Fisheries Ltd v L. Gardner &amp; Sons Ltd (The Rebecca Elaine) [1999] 2 Lloyd’s Rep. 1 </w:t>
      </w:r>
      <w:r>
        <w:rPr>
          <w:sz w:val="20"/>
        </w:rPr>
        <w:t>at 8: “the dubious and lethal colonisation</w:t>
      </w:r>
      <w:r>
        <w:rPr>
          <w:spacing w:val="66"/>
          <w:w w:val="150"/>
          <w:sz w:val="20"/>
        </w:rPr>
        <w:t> </w:t>
      </w:r>
      <w:r>
        <w:rPr>
          <w:sz w:val="20"/>
        </w:rPr>
        <w:t>by</w:t>
      </w:r>
      <w:r>
        <w:rPr>
          <w:spacing w:val="66"/>
          <w:w w:val="150"/>
          <w:sz w:val="20"/>
        </w:rPr>
        <w:t> </w:t>
      </w:r>
      <w:r>
        <w:rPr>
          <w:sz w:val="20"/>
        </w:rPr>
        <w:t>the</w:t>
      </w:r>
      <w:r>
        <w:rPr>
          <w:spacing w:val="66"/>
          <w:w w:val="150"/>
          <w:sz w:val="20"/>
        </w:rPr>
        <w:t> </w:t>
      </w:r>
      <w:r>
        <w:rPr>
          <w:sz w:val="20"/>
        </w:rPr>
        <w:t>tort</w:t>
      </w:r>
      <w:r>
        <w:rPr>
          <w:spacing w:val="66"/>
          <w:w w:val="150"/>
          <w:sz w:val="20"/>
        </w:rPr>
        <w:t> </w:t>
      </w:r>
      <w:r>
        <w:rPr>
          <w:sz w:val="20"/>
        </w:rPr>
        <w:t>of</w:t>
      </w:r>
      <w:r>
        <w:rPr>
          <w:spacing w:val="67"/>
          <w:w w:val="150"/>
          <w:sz w:val="20"/>
        </w:rPr>
        <w:t> </w:t>
      </w:r>
      <w:r>
        <w:rPr>
          <w:sz w:val="20"/>
        </w:rPr>
        <w:t>negligence</w:t>
      </w:r>
      <w:r>
        <w:rPr>
          <w:spacing w:val="66"/>
          <w:w w:val="150"/>
          <w:sz w:val="20"/>
        </w:rPr>
        <w:t> </w:t>
      </w:r>
      <w:r>
        <w:rPr>
          <w:sz w:val="20"/>
        </w:rPr>
        <w:t>of</w:t>
      </w:r>
      <w:r>
        <w:rPr>
          <w:spacing w:val="66"/>
          <w:w w:val="150"/>
          <w:sz w:val="20"/>
        </w:rPr>
        <w:t> </w:t>
      </w:r>
      <w:r>
        <w:rPr>
          <w:sz w:val="20"/>
        </w:rPr>
        <w:t>the</w:t>
      </w:r>
      <w:r>
        <w:rPr>
          <w:spacing w:val="66"/>
          <w:w w:val="150"/>
          <w:sz w:val="20"/>
        </w:rPr>
        <w:t> </w:t>
      </w:r>
      <w:r>
        <w:rPr>
          <w:sz w:val="20"/>
        </w:rPr>
        <w:t>conceptual</w:t>
      </w:r>
      <w:r>
        <w:rPr>
          <w:spacing w:val="66"/>
          <w:w w:val="150"/>
          <w:sz w:val="20"/>
        </w:rPr>
        <w:t> </w:t>
      </w:r>
      <w:r>
        <w:rPr>
          <w:sz w:val="20"/>
        </w:rPr>
        <w:t>territory</w:t>
      </w:r>
      <w:r>
        <w:rPr>
          <w:spacing w:val="67"/>
          <w:w w:val="150"/>
          <w:sz w:val="20"/>
        </w:rPr>
        <w:t> </w:t>
      </w:r>
      <w:r>
        <w:rPr>
          <w:sz w:val="20"/>
        </w:rPr>
        <w:t>of</w:t>
      </w:r>
      <w:r>
        <w:rPr>
          <w:spacing w:val="66"/>
          <w:w w:val="150"/>
          <w:sz w:val="20"/>
        </w:rPr>
        <w:t> </w:t>
      </w:r>
      <w:r>
        <w:rPr>
          <w:sz w:val="20"/>
        </w:rPr>
        <w:t>contract”</w:t>
      </w:r>
      <w:r>
        <w:rPr>
          <w:spacing w:val="66"/>
          <w:w w:val="150"/>
          <w:sz w:val="20"/>
        </w:rPr>
        <w:t> </w:t>
      </w:r>
      <w:r>
        <w:rPr>
          <w:spacing w:val="-2"/>
          <w:sz w:val="20"/>
        </w:rPr>
        <w:t>(engine</w:t>
      </w:r>
    </w:p>
    <w:p>
      <w:pPr>
        <w:spacing w:after="0" w:line="235" w:lineRule="auto"/>
        <w:jc w:val="both"/>
        <w:rPr>
          <w:sz w:val="20"/>
        </w:rPr>
        <w:sectPr>
          <w:pgSz w:w="11900" w:h="16840"/>
          <w:pgMar w:header="971" w:footer="0" w:top="1160" w:bottom="280" w:left="1275" w:right="1275"/>
        </w:sectPr>
      </w:pPr>
    </w:p>
    <w:p>
      <w:pPr>
        <w:pStyle w:val="BodyText"/>
        <w:spacing w:before="24"/>
      </w:pPr>
    </w:p>
    <w:p>
      <w:pPr>
        <w:spacing w:line="235" w:lineRule="auto" w:before="1"/>
        <w:ind w:left="705" w:right="167" w:firstLine="0"/>
        <w:jc w:val="both"/>
        <w:rPr>
          <w:sz w:val="20"/>
        </w:rPr>
      </w:pPr>
      <w:r>
        <w:rPr>
          <w:sz w:val="20"/>
        </w:rPr>
        <w:t>manufacturer held not liable in negligence for purely economic loss, caused by failure of </w:t>
      </w:r>
      <w:r>
        <w:rPr>
          <w:sz w:val="20"/>
        </w:rPr>
        <w:t>the engine, to owner of fishing boat with whom he was not in any contractual relationship); </w:t>
      </w:r>
      <w:r>
        <w:rPr>
          <w:rFonts w:ascii="Arial" w:hAnsi="Arial"/>
          <w:i/>
          <w:sz w:val="20"/>
        </w:rPr>
        <w:t>Amiri Flight</w:t>
      </w:r>
      <w:r>
        <w:rPr>
          <w:rFonts w:ascii="Arial" w:hAnsi="Arial"/>
          <w:i/>
          <w:spacing w:val="-1"/>
          <w:sz w:val="20"/>
        </w:rPr>
        <w:t> </w:t>
      </w:r>
      <w:r>
        <w:rPr>
          <w:rFonts w:ascii="Arial" w:hAnsi="Arial"/>
          <w:i/>
          <w:sz w:val="20"/>
        </w:rPr>
        <w:t>Authority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BAE</w:t>
      </w:r>
      <w:r>
        <w:rPr>
          <w:rFonts w:ascii="Arial" w:hAnsi="Arial"/>
          <w:i/>
          <w:spacing w:val="-1"/>
          <w:sz w:val="20"/>
        </w:rPr>
        <w:t> </w:t>
      </w:r>
      <w:r>
        <w:rPr>
          <w:rFonts w:ascii="Arial" w:hAnsi="Arial"/>
          <w:i/>
          <w:sz w:val="20"/>
        </w:rPr>
        <w:t>Systems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50</w:t>
      </w:r>
      <w:r>
        <w:rPr>
          <w:rFonts w:ascii="Arial" w:hAnsi="Arial"/>
          <w:i/>
          <w:spacing w:val="-1"/>
          <w:sz w:val="20"/>
        </w:rPr>
        <w:t> </w:t>
      </w:r>
      <w:r>
        <w:rPr>
          <w:sz w:val="20"/>
        </w:rPr>
        <w:t>at</w:t>
      </w:r>
      <w:r>
        <w:rPr>
          <w:spacing w:val="-1"/>
          <w:sz w:val="20"/>
        </w:rPr>
        <w:t> </w:t>
      </w:r>
      <w:r>
        <w:rPr>
          <w:sz w:val="20"/>
        </w:rPr>
        <w:t>[35],</w:t>
      </w:r>
      <w:r>
        <w:rPr>
          <w:spacing w:val="-1"/>
          <w:sz w:val="20"/>
        </w:rPr>
        <w:t> </w:t>
      </w:r>
      <w:r>
        <w:rPr>
          <w:sz w:val="20"/>
        </w:rPr>
        <w:t>varied,</w:t>
      </w:r>
      <w:r>
        <w:rPr>
          <w:spacing w:val="-1"/>
          <w:sz w:val="20"/>
        </w:rPr>
        <w:t> </w:t>
      </w:r>
      <w:r>
        <w:rPr>
          <w:sz w:val="20"/>
        </w:rPr>
        <w:t>without</w:t>
      </w:r>
      <w:r>
        <w:rPr>
          <w:spacing w:val="-1"/>
          <w:sz w:val="20"/>
        </w:rPr>
        <w:t> </w:t>
      </w:r>
      <w:r>
        <w:rPr>
          <w:sz w:val="20"/>
        </w:rPr>
        <w:t>reference</w:t>
      </w:r>
      <w:r>
        <w:rPr>
          <w:spacing w:val="-1"/>
          <w:sz w:val="20"/>
        </w:rPr>
        <w:t> </w:t>
      </w:r>
      <w:r>
        <w:rPr>
          <w:sz w:val="20"/>
        </w:rPr>
        <w:t>to this point, </w:t>
      </w:r>
      <w:r>
        <w:rPr>
          <w:rFonts w:ascii="Arial" w:hAnsi="Arial"/>
          <w:i/>
          <w:sz w:val="20"/>
        </w:rPr>
        <w:t>[2003] EWCA Civ 1447; [2003] 2 Lloyd’s Rep. 767</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444" w:id="446"/>
      <w:bookmarkEnd w:id="446"/>
      <w:r>
        <w:rPr/>
      </w:r>
      <w:hyperlink w:history="true" w:anchor="_bookmark315">
        <w:r>
          <w:rPr>
            <w:color w:val="005DA1"/>
            <w:spacing w:val="-4"/>
            <w:position w:val="5"/>
            <w:sz w:val="14"/>
            <w:u w:val="single" w:color="005DA1"/>
          </w:rPr>
          <w:t>197</w:t>
        </w:r>
      </w:hyperlink>
      <w:r>
        <w:rPr>
          <w:spacing w:val="-4"/>
          <w:position w:val="5"/>
          <w:sz w:val="14"/>
        </w:rPr>
        <w:t>.</w:t>
      </w:r>
      <w:r>
        <w:rPr>
          <w:position w:val="5"/>
          <w:sz w:val="14"/>
        </w:rPr>
        <w:tab/>
      </w:r>
      <w:r>
        <w:rPr>
          <w:rFonts w:ascii="Arial"/>
          <w:i/>
          <w:sz w:val="20"/>
        </w:rPr>
        <w:t>Kapfunde v Abbey National plc, [1998] I.R.L.R. 583 </w:t>
      </w:r>
      <w:r>
        <w:rPr>
          <w:sz w:val="20"/>
        </w:rPr>
        <w:t>disapproving </w:t>
      </w:r>
      <w:r>
        <w:rPr>
          <w:rFonts w:ascii="Arial"/>
          <w:i/>
          <w:sz w:val="20"/>
        </w:rPr>
        <w:t>Baker v Kaye [1997] </w:t>
      </w:r>
      <w:r>
        <w:rPr>
          <w:rFonts w:ascii="Arial"/>
          <w:i/>
          <w:sz w:val="20"/>
        </w:rPr>
        <w:t>I.R.L.R. 219 </w:t>
      </w:r>
      <w:r>
        <w:rPr>
          <w:sz w:val="20"/>
        </w:rPr>
        <w:t>so far as it holds that a duty was owed by the doctor to the applicant.</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445" w:id="447"/>
      <w:bookmarkEnd w:id="447"/>
      <w:r>
        <w:rPr/>
      </w:r>
      <w:hyperlink w:history="true" w:anchor="_bookmark316">
        <w:r>
          <w:rPr>
            <w:color w:val="005DA1"/>
            <w:spacing w:val="-4"/>
            <w:position w:val="5"/>
            <w:sz w:val="14"/>
            <w:u w:val="single" w:color="005DA1"/>
          </w:rPr>
          <w:t>198</w:t>
        </w:r>
      </w:hyperlink>
      <w:r>
        <w:rPr>
          <w:spacing w:val="-4"/>
          <w:position w:val="5"/>
          <w:sz w:val="14"/>
        </w:rPr>
        <w:t>.</w:t>
      </w:r>
      <w:r>
        <w:rPr>
          <w:position w:val="5"/>
          <w:sz w:val="14"/>
        </w:rPr>
        <w:tab/>
      </w:r>
      <w:r>
        <w:rPr>
          <w:rFonts w:ascii="Arial"/>
          <w:i/>
          <w:sz w:val="20"/>
        </w:rPr>
        <w:t>West</w:t>
      </w:r>
      <w:r>
        <w:rPr>
          <w:rFonts w:ascii="Arial"/>
          <w:i/>
          <w:spacing w:val="2"/>
          <w:sz w:val="20"/>
        </w:rPr>
        <w:t> </w:t>
      </w:r>
      <w:r>
        <w:rPr>
          <w:rFonts w:ascii="Arial"/>
          <w:i/>
          <w:sz w:val="20"/>
        </w:rPr>
        <w:t>Bromwich</w:t>
      </w:r>
      <w:r>
        <w:rPr>
          <w:rFonts w:ascii="Arial"/>
          <w:i/>
          <w:spacing w:val="2"/>
          <w:sz w:val="20"/>
        </w:rPr>
        <w:t> </w:t>
      </w:r>
      <w:r>
        <w:rPr>
          <w:rFonts w:ascii="Arial"/>
          <w:i/>
          <w:sz w:val="20"/>
        </w:rPr>
        <w:t>Albion</w:t>
      </w:r>
      <w:r>
        <w:rPr>
          <w:rFonts w:ascii="Arial"/>
          <w:i/>
          <w:spacing w:val="2"/>
          <w:sz w:val="20"/>
        </w:rPr>
        <w:t> </w:t>
      </w:r>
      <w:r>
        <w:rPr>
          <w:rFonts w:ascii="Arial"/>
          <w:i/>
          <w:sz w:val="20"/>
        </w:rPr>
        <w:t>Football</w:t>
      </w:r>
      <w:r>
        <w:rPr>
          <w:rFonts w:ascii="Arial"/>
          <w:i/>
          <w:spacing w:val="2"/>
          <w:sz w:val="20"/>
        </w:rPr>
        <w:t> </w:t>
      </w:r>
      <w:r>
        <w:rPr>
          <w:rFonts w:ascii="Arial"/>
          <w:i/>
          <w:sz w:val="20"/>
        </w:rPr>
        <w:t>Club</w:t>
      </w:r>
      <w:r>
        <w:rPr>
          <w:rFonts w:ascii="Arial"/>
          <w:i/>
          <w:spacing w:val="2"/>
          <w:sz w:val="20"/>
        </w:rPr>
        <w:t> </w:t>
      </w:r>
      <w:r>
        <w:rPr>
          <w:rFonts w:ascii="Arial"/>
          <w:i/>
          <w:sz w:val="20"/>
        </w:rPr>
        <w:t>v</w:t>
      </w:r>
      <w:r>
        <w:rPr>
          <w:rFonts w:ascii="Arial"/>
          <w:i/>
          <w:spacing w:val="2"/>
          <w:sz w:val="20"/>
        </w:rPr>
        <w:t> </w:t>
      </w:r>
      <w:r>
        <w:rPr>
          <w:rFonts w:ascii="Arial"/>
          <w:i/>
          <w:sz w:val="20"/>
        </w:rPr>
        <w:t>El</w:t>
      </w:r>
      <w:r>
        <w:rPr>
          <w:rFonts w:ascii="Arial"/>
          <w:i/>
          <w:spacing w:val="2"/>
          <w:sz w:val="20"/>
        </w:rPr>
        <w:t> </w:t>
      </w:r>
      <w:r>
        <w:rPr>
          <w:rFonts w:ascii="Arial"/>
          <w:i/>
          <w:sz w:val="20"/>
        </w:rPr>
        <w:t>Safty</w:t>
      </w:r>
      <w:r>
        <w:rPr>
          <w:rFonts w:ascii="Arial"/>
          <w:i/>
          <w:spacing w:val="2"/>
          <w:sz w:val="20"/>
        </w:rPr>
        <w:t> </w:t>
      </w:r>
      <w:r>
        <w:rPr>
          <w:rFonts w:ascii="Arial"/>
          <w:i/>
          <w:sz w:val="20"/>
        </w:rPr>
        <w:t>[2006]</w:t>
      </w:r>
      <w:r>
        <w:rPr>
          <w:rFonts w:ascii="Arial"/>
          <w:i/>
          <w:spacing w:val="2"/>
          <w:sz w:val="20"/>
        </w:rPr>
        <w:t> </w:t>
      </w:r>
      <w:r>
        <w:rPr>
          <w:rFonts w:ascii="Arial"/>
          <w:i/>
          <w:sz w:val="20"/>
        </w:rPr>
        <w:t>EWCA</w:t>
      </w:r>
      <w:r>
        <w:rPr>
          <w:rFonts w:ascii="Arial"/>
          <w:i/>
          <w:spacing w:val="2"/>
          <w:sz w:val="20"/>
        </w:rPr>
        <w:t> </w:t>
      </w:r>
      <w:r>
        <w:rPr>
          <w:rFonts w:ascii="Arial"/>
          <w:i/>
          <w:sz w:val="20"/>
        </w:rPr>
        <w:t>Civ</w:t>
      </w:r>
      <w:r>
        <w:rPr>
          <w:rFonts w:ascii="Arial"/>
          <w:i/>
          <w:spacing w:val="2"/>
          <w:sz w:val="20"/>
        </w:rPr>
        <w:t> </w:t>
      </w:r>
      <w:r>
        <w:rPr>
          <w:rFonts w:ascii="Arial"/>
          <w:i/>
          <w:sz w:val="20"/>
        </w:rPr>
        <w:t>1299,</w:t>
      </w:r>
      <w:r>
        <w:rPr>
          <w:rFonts w:ascii="Arial"/>
          <w:i/>
          <w:spacing w:val="2"/>
          <w:sz w:val="20"/>
        </w:rPr>
        <w:t> </w:t>
      </w:r>
      <w:r>
        <w:rPr>
          <w:rFonts w:ascii="Arial"/>
          <w:i/>
          <w:sz w:val="20"/>
        </w:rPr>
        <w:t>(2006)</w:t>
      </w:r>
      <w:r>
        <w:rPr>
          <w:rFonts w:ascii="Arial"/>
          <w:i/>
          <w:spacing w:val="2"/>
          <w:sz w:val="20"/>
        </w:rPr>
        <w:t> </w:t>
      </w:r>
      <w:r>
        <w:rPr>
          <w:rFonts w:ascii="Arial"/>
          <w:i/>
          <w:sz w:val="20"/>
        </w:rPr>
        <w:t>92</w:t>
      </w:r>
      <w:r>
        <w:rPr>
          <w:rFonts w:ascii="Arial"/>
          <w:i/>
          <w:spacing w:val="2"/>
          <w:sz w:val="20"/>
        </w:rPr>
        <w:t> </w:t>
      </w:r>
      <w:r>
        <w:rPr>
          <w:rFonts w:ascii="Arial"/>
          <w:i/>
          <w:sz w:val="20"/>
        </w:rPr>
        <w:t>B.M.L.R.</w:t>
      </w:r>
      <w:r>
        <w:rPr>
          <w:rFonts w:ascii="Arial"/>
          <w:i/>
          <w:spacing w:val="2"/>
          <w:sz w:val="20"/>
        </w:rPr>
        <w:t> </w:t>
      </w:r>
      <w:r>
        <w:rPr>
          <w:rFonts w:ascii="Arial"/>
          <w:i/>
          <w:spacing w:val="-5"/>
          <w:sz w:val="20"/>
        </w:rPr>
        <w:t>179</w:t>
      </w:r>
    </w:p>
    <w:p>
      <w:pPr>
        <w:spacing w:line="227" w:lineRule="exact" w:before="0"/>
        <w:ind w:left="705" w:right="0" w:firstLine="0"/>
        <w:jc w:val="left"/>
        <w:rPr>
          <w:sz w:val="20"/>
        </w:rPr>
      </w:pPr>
      <w:r>
        <w:rPr>
          <w:spacing w:val="-10"/>
          <w:sz w:val="20"/>
        </w:rPr>
        <w:t>.</w:t>
      </w:r>
    </w:p>
    <w:p>
      <w:pPr>
        <w:pStyle w:val="BodyText"/>
        <w:spacing w:before="5"/>
      </w:pPr>
    </w:p>
    <w:p>
      <w:pPr>
        <w:pStyle w:val="BodyText"/>
        <w:tabs>
          <w:tab w:pos="705" w:val="left" w:leader="none"/>
        </w:tabs>
        <w:ind w:left="165"/>
      </w:pPr>
      <w:bookmarkStart w:name="_bookmark446" w:id="448"/>
      <w:bookmarkEnd w:id="448"/>
      <w:r>
        <w:rPr/>
      </w:r>
      <w:hyperlink w:history="true" w:anchor="_bookmark317">
        <w:r>
          <w:rPr>
            <w:color w:val="005DA1"/>
            <w:spacing w:val="-4"/>
            <w:position w:val="5"/>
            <w:sz w:val="14"/>
            <w:u w:val="single" w:color="005DA1"/>
          </w:rPr>
          <w:t>199</w:t>
        </w:r>
      </w:hyperlink>
      <w:r>
        <w:rPr>
          <w:spacing w:val="-4"/>
          <w:position w:val="5"/>
          <w:sz w:val="14"/>
        </w:rPr>
        <w:t>.</w:t>
      </w:r>
      <w:r>
        <w:rPr>
          <w:position w:val="5"/>
          <w:sz w:val="14"/>
        </w:rPr>
        <w:tab/>
      </w:r>
      <w:r>
        <w:rPr/>
        <w:t>Above, para.18-033 at nn.192, </w:t>
      </w:r>
      <w:r>
        <w:rPr>
          <w:spacing w:val="-4"/>
        </w:rPr>
        <w:t>193.</w:t>
      </w:r>
    </w:p>
    <w:p>
      <w:pPr>
        <w:pStyle w:val="BodyText"/>
        <w:spacing w:before="8"/>
      </w:pPr>
    </w:p>
    <w:p>
      <w:pPr>
        <w:spacing w:line="235" w:lineRule="auto" w:before="1"/>
        <w:ind w:left="705" w:right="167" w:hanging="541"/>
        <w:jc w:val="both"/>
        <w:rPr>
          <w:sz w:val="20"/>
        </w:rPr>
      </w:pPr>
      <w:bookmarkStart w:name="_bookmark447" w:id="449"/>
      <w:bookmarkEnd w:id="449"/>
      <w:r>
        <w:rPr/>
      </w:r>
      <w:hyperlink w:history="true" w:anchor="_bookmark318">
        <w:r>
          <w:rPr>
            <w:color w:val="005DA1"/>
            <w:position w:val="5"/>
            <w:sz w:val="14"/>
            <w:u w:val="single" w:color="005DA1"/>
          </w:rPr>
          <w:t>200</w:t>
        </w:r>
      </w:hyperlink>
      <w:r>
        <w:rPr>
          <w:position w:val="5"/>
          <w:sz w:val="14"/>
        </w:rPr>
        <w:t>.</w:t>
      </w:r>
      <w:r>
        <w:rPr>
          <w:spacing w:val="80"/>
          <w:position w:val="5"/>
          <w:sz w:val="14"/>
        </w:rPr>
        <w:t> </w:t>
      </w:r>
      <w:r>
        <w:rPr>
          <w:sz w:val="20"/>
        </w:rPr>
        <w:t>For these requirements, see, inter alia, </w:t>
      </w:r>
      <w:r>
        <w:rPr>
          <w:rFonts w:ascii="Arial" w:hAnsi="Arial"/>
          <w:i/>
          <w:sz w:val="20"/>
        </w:rPr>
        <w:t>Caparo Industries plc v Dickman [1990] 2 A.C. 605, 617–618 </w:t>
      </w:r>
      <w:r>
        <w:rPr>
          <w:sz w:val="20"/>
        </w:rPr>
        <w:t>(where it is also said at 632 that “these requirements are, at least in most </w:t>
      </w:r>
      <w:r>
        <w:rPr>
          <w:sz w:val="20"/>
        </w:rPr>
        <w:t>cases, merely facets of the same thing”); </w:t>
      </w:r>
      <w:r>
        <w:rPr>
          <w:rFonts w:ascii="Arial" w:hAnsi="Arial"/>
          <w:i/>
          <w:sz w:val="20"/>
        </w:rPr>
        <w:t>Murphy v Brentwood DC [1991] 1 A.C. 398, 480, 486</w:t>
      </w:r>
      <w:r>
        <w:rPr>
          <w:sz w:val="20"/>
        </w:rPr>
        <w:t>; </w:t>
      </w:r>
      <w:r>
        <w:rPr>
          <w:rFonts w:ascii="Arial" w:hAnsi="Arial"/>
          <w:i/>
          <w:sz w:val="20"/>
        </w:rPr>
        <w:t>X (Minors) v Bedfordshire C.C. [1995] 2 A.C. 633, 739</w:t>
      </w:r>
      <w:r>
        <w:rPr>
          <w:sz w:val="20"/>
        </w:rPr>
        <w:t>.</w:t>
      </w:r>
    </w:p>
    <w:p>
      <w:pPr>
        <w:pStyle w:val="BodyText"/>
        <w:spacing w:before="8"/>
      </w:pPr>
    </w:p>
    <w:p>
      <w:pPr>
        <w:spacing w:line="235" w:lineRule="auto" w:before="0"/>
        <w:ind w:left="705" w:right="169" w:hanging="541"/>
        <w:jc w:val="both"/>
        <w:rPr>
          <w:rFonts w:ascii="Arial" w:hAnsi="Arial"/>
          <w:i/>
          <w:sz w:val="20"/>
        </w:rPr>
      </w:pPr>
      <w:bookmarkStart w:name="_bookmark448" w:id="450"/>
      <w:bookmarkEnd w:id="450"/>
      <w:r>
        <w:rPr/>
      </w:r>
      <w:hyperlink w:history="true" w:anchor="_bookmark319">
        <w:r>
          <w:rPr>
            <w:color w:val="005DA1"/>
            <w:position w:val="5"/>
            <w:sz w:val="14"/>
            <w:u w:val="single" w:color="005DA1"/>
          </w:rPr>
          <w:t>201</w:t>
        </w:r>
      </w:hyperlink>
      <w:r>
        <w:rPr>
          <w:position w:val="5"/>
          <w:sz w:val="14"/>
        </w:rPr>
        <w:t>.</w:t>
      </w:r>
      <w:r>
        <w:rPr>
          <w:spacing w:val="80"/>
          <w:position w:val="5"/>
          <w:sz w:val="14"/>
        </w:rPr>
        <w:t>  </w:t>
      </w:r>
      <w:r>
        <w:rPr>
          <w:rFonts w:ascii="Arial" w:hAnsi="Arial"/>
          <w:i/>
          <w:sz w:val="20"/>
        </w:rPr>
        <w:t>Marc Rich &amp; Co AG v Bishop Rock Marine Co Ltd (The Nicholas H.), [1996] A.C. 211</w:t>
      </w:r>
      <w:r>
        <w:rPr>
          <w:sz w:val="20"/>
        </w:rPr>
        <w:t>; see also the </w:t>
      </w:r>
      <w:r>
        <w:rPr>
          <w:rFonts w:ascii="Arial" w:hAnsi="Arial"/>
          <w:i/>
          <w:sz w:val="20"/>
        </w:rPr>
        <w:t>X (Minors) </w:t>
      </w:r>
      <w:r>
        <w:rPr>
          <w:sz w:val="20"/>
        </w:rPr>
        <w:t>case, above, n.198 at 749; </w:t>
      </w:r>
      <w:r>
        <w:rPr>
          <w:rFonts w:ascii="Arial" w:hAnsi="Arial"/>
          <w:i/>
          <w:sz w:val="20"/>
        </w:rPr>
        <w:t>Reeman v Department of Transport [1997] 2 Lloyd’s Rep.</w:t>
      </w:r>
      <w:r>
        <w:rPr>
          <w:rFonts w:ascii="Arial" w:hAnsi="Arial"/>
          <w:i/>
          <w:spacing w:val="6"/>
          <w:sz w:val="20"/>
        </w:rPr>
        <w:t> </w:t>
      </w:r>
      <w:r>
        <w:rPr>
          <w:rFonts w:ascii="Arial" w:hAnsi="Arial"/>
          <w:i/>
          <w:sz w:val="20"/>
        </w:rPr>
        <w:t>648</w:t>
      </w:r>
      <w:r>
        <w:rPr>
          <w:sz w:val="20"/>
        </w:rPr>
        <w:t>;</w:t>
      </w:r>
      <w:r>
        <w:rPr>
          <w:spacing w:val="8"/>
          <w:sz w:val="20"/>
        </w:rPr>
        <w:t> </w:t>
      </w:r>
      <w:r>
        <w:rPr>
          <w:rFonts w:ascii="Arial" w:hAnsi="Arial"/>
          <w:i/>
          <w:sz w:val="20"/>
        </w:rPr>
        <w:t>Architype</w:t>
      </w:r>
      <w:r>
        <w:rPr>
          <w:rFonts w:ascii="Arial" w:hAnsi="Arial"/>
          <w:i/>
          <w:spacing w:val="7"/>
          <w:sz w:val="20"/>
        </w:rPr>
        <w:t> </w:t>
      </w:r>
      <w:r>
        <w:rPr>
          <w:rFonts w:ascii="Arial" w:hAnsi="Arial"/>
          <w:i/>
          <w:sz w:val="20"/>
        </w:rPr>
        <w:t>Projects</w:t>
      </w:r>
      <w:r>
        <w:rPr>
          <w:rFonts w:ascii="Arial" w:hAnsi="Arial"/>
          <w:i/>
          <w:spacing w:val="7"/>
          <w:sz w:val="20"/>
        </w:rPr>
        <w:t> </w:t>
      </w:r>
      <w:r>
        <w:rPr>
          <w:rFonts w:ascii="Arial" w:hAnsi="Arial"/>
          <w:i/>
          <w:sz w:val="20"/>
        </w:rPr>
        <w:t>Ltd</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Dewhurst</w:t>
      </w:r>
      <w:r>
        <w:rPr>
          <w:rFonts w:ascii="Arial" w:hAnsi="Arial"/>
          <w:i/>
          <w:spacing w:val="7"/>
          <w:sz w:val="20"/>
        </w:rPr>
        <w:t> </w:t>
      </w:r>
      <w:r>
        <w:rPr>
          <w:rFonts w:ascii="Arial" w:hAnsi="Arial"/>
          <w:i/>
          <w:sz w:val="20"/>
        </w:rPr>
        <w:t>McFarlane</w:t>
      </w:r>
      <w:r>
        <w:rPr>
          <w:rFonts w:ascii="Arial" w:hAnsi="Arial"/>
          <w:i/>
          <w:spacing w:val="7"/>
          <w:sz w:val="20"/>
        </w:rPr>
        <w:t> </w:t>
      </w:r>
      <w:r>
        <w:rPr>
          <w:rFonts w:ascii="Arial" w:hAnsi="Arial"/>
          <w:i/>
          <w:sz w:val="20"/>
        </w:rPr>
        <w:t>&amp;</w:t>
      </w:r>
      <w:r>
        <w:rPr>
          <w:rFonts w:ascii="Arial" w:hAnsi="Arial"/>
          <w:i/>
          <w:spacing w:val="7"/>
          <w:sz w:val="20"/>
        </w:rPr>
        <w:t> </w:t>
      </w:r>
      <w:r>
        <w:rPr>
          <w:rFonts w:ascii="Arial" w:hAnsi="Arial"/>
          <w:i/>
          <w:sz w:val="20"/>
        </w:rPr>
        <w:t>Partners</w:t>
      </w:r>
      <w:r>
        <w:rPr>
          <w:rFonts w:ascii="Arial" w:hAnsi="Arial"/>
          <w:i/>
          <w:spacing w:val="7"/>
          <w:sz w:val="20"/>
        </w:rPr>
        <w:t> </w:t>
      </w:r>
      <w:r>
        <w:rPr>
          <w:rFonts w:ascii="Arial" w:hAnsi="Arial"/>
          <w:i/>
          <w:sz w:val="20"/>
        </w:rPr>
        <w:t>[2003]</w:t>
      </w:r>
      <w:r>
        <w:rPr>
          <w:rFonts w:ascii="Arial" w:hAnsi="Arial"/>
          <w:i/>
          <w:spacing w:val="7"/>
          <w:sz w:val="20"/>
        </w:rPr>
        <w:t> </w:t>
      </w:r>
      <w:r>
        <w:rPr>
          <w:rFonts w:ascii="Arial" w:hAnsi="Arial"/>
          <w:i/>
          <w:sz w:val="20"/>
        </w:rPr>
        <w:t>EWHC</w:t>
      </w:r>
      <w:r>
        <w:rPr>
          <w:rFonts w:ascii="Arial" w:hAnsi="Arial"/>
          <w:i/>
          <w:spacing w:val="7"/>
          <w:sz w:val="20"/>
        </w:rPr>
        <w:t> </w:t>
      </w:r>
      <w:r>
        <w:rPr>
          <w:rFonts w:ascii="Arial" w:hAnsi="Arial"/>
          <w:i/>
          <w:sz w:val="20"/>
        </w:rPr>
        <w:t>3341,</w:t>
      </w:r>
      <w:r>
        <w:rPr>
          <w:rFonts w:ascii="Arial" w:hAnsi="Arial"/>
          <w:i/>
          <w:spacing w:val="7"/>
          <w:sz w:val="20"/>
        </w:rPr>
        <w:t> </w:t>
      </w:r>
      <w:r>
        <w:rPr>
          <w:rFonts w:ascii="Arial" w:hAnsi="Arial"/>
          <w:i/>
          <w:spacing w:val="-2"/>
          <w:sz w:val="20"/>
        </w:rPr>
        <w:t>[2004]</w:t>
      </w:r>
    </w:p>
    <w:p>
      <w:pPr>
        <w:spacing w:line="235" w:lineRule="auto" w:before="0"/>
        <w:ind w:left="705" w:right="168" w:firstLine="0"/>
        <w:jc w:val="both"/>
        <w:rPr>
          <w:sz w:val="20"/>
        </w:rPr>
      </w:pPr>
      <w:r>
        <w:rPr>
          <w:rFonts w:ascii="Arial" w:hAnsi="Arial"/>
          <w:i/>
          <w:sz w:val="20"/>
        </w:rPr>
        <w:t>P.N.L.R. 38</w:t>
      </w:r>
      <w:r>
        <w:rPr>
          <w:sz w:val="20"/>
        </w:rPr>
        <w:t>; </w:t>
      </w:r>
      <w:r>
        <w:rPr>
          <w:rFonts w:ascii="Arial" w:hAnsi="Arial"/>
          <w:i/>
          <w:sz w:val="20"/>
        </w:rPr>
        <w:t>R.M. Turton &amp; Co Ltd v Kerslake &amp; Partners [2000] Lloyd’s Rep. P.N. 967 (New Zealand CA)</w:t>
      </w:r>
      <w:r>
        <w:rPr>
          <w:sz w:val="20"/>
        </w:rPr>
        <w:t>.</w:t>
      </w:r>
    </w:p>
    <w:p>
      <w:pPr>
        <w:pStyle w:val="BodyText"/>
        <w:spacing w:before="8"/>
      </w:pPr>
    </w:p>
    <w:p>
      <w:pPr>
        <w:pStyle w:val="BodyText"/>
        <w:spacing w:line="235" w:lineRule="auto"/>
        <w:ind w:left="705" w:right="167" w:hanging="541"/>
        <w:jc w:val="both"/>
      </w:pPr>
      <w:bookmarkStart w:name="_bookmark449" w:id="451"/>
      <w:bookmarkEnd w:id="451"/>
      <w:r>
        <w:rPr/>
      </w:r>
      <w:hyperlink w:history="true" w:anchor="_bookmark320">
        <w:r>
          <w:rPr>
            <w:color w:val="005DA1"/>
            <w:position w:val="5"/>
            <w:sz w:val="14"/>
            <w:u w:val="single" w:color="005DA1"/>
          </w:rPr>
          <w:t>202</w:t>
        </w:r>
      </w:hyperlink>
      <w:r>
        <w:rPr>
          <w:position w:val="5"/>
          <w:sz w:val="14"/>
        </w:rPr>
        <w:t>.</w:t>
      </w:r>
      <w:r>
        <w:rPr>
          <w:spacing w:val="80"/>
          <w:position w:val="5"/>
          <w:sz w:val="14"/>
        </w:rPr>
        <w:t> </w:t>
      </w:r>
      <w:r>
        <w:rPr/>
        <w:t>Nor had there been an “assumption of responsibility” (above, para.18-033) since </w:t>
      </w:r>
      <w:r>
        <w:rPr/>
        <w:t>the</w:t>
      </w:r>
      <w:r>
        <w:rPr>
          <w:spacing w:val="80"/>
        </w:rPr>
        <w:t> </w:t>
      </w:r>
      <w:r>
        <w:rPr/>
        <w:t>cargoowners were “not even aware of [the classification society’s] examination of the ship:” </w:t>
      </w:r>
      <w:r>
        <w:rPr>
          <w:rFonts w:ascii="Arial" w:hAnsi="Arial"/>
          <w:i/>
        </w:rPr>
        <w:t>[1996] A.C. 211, 242</w:t>
      </w:r>
      <w:r>
        <w:rPr/>
        <w:t>.</w:t>
      </w:r>
    </w:p>
    <w:p>
      <w:pPr>
        <w:pStyle w:val="BodyText"/>
        <w:spacing w:before="9"/>
      </w:pPr>
    </w:p>
    <w:p>
      <w:pPr>
        <w:spacing w:line="235" w:lineRule="auto" w:before="0"/>
        <w:ind w:left="705" w:right="167" w:hanging="541"/>
        <w:jc w:val="both"/>
        <w:rPr>
          <w:sz w:val="20"/>
        </w:rPr>
      </w:pPr>
      <w:bookmarkStart w:name="_bookmark450" w:id="452"/>
      <w:bookmarkEnd w:id="452"/>
      <w:r>
        <w:rPr/>
      </w:r>
      <w:hyperlink w:history="true" w:anchor="_bookmark321">
        <w:r>
          <w:rPr>
            <w:color w:val="005DA1"/>
            <w:position w:val="5"/>
            <w:sz w:val="14"/>
            <w:u w:val="single" w:color="005DA1"/>
          </w:rPr>
          <w:t>203</w:t>
        </w:r>
      </w:hyperlink>
      <w:r>
        <w:rPr>
          <w:position w:val="5"/>
          <w:sz w:val="14"/>
        </w:rPr>
        <w:t>.</w:t>
      </w:r>
      <w:r>
        <w:rPr>
          <w:spacing w:val="80"/>
          <w:position w:val="5"/>
          <w:sz w:val="14"/>
        </w:rPr>
        <w:t>  </w:t>
      </w:r>
      <w:r>
        <w:rPr>
          <w:sz w:val="20"/>
        </w:rPr>
        <w:t>The Convention in question related to tonnage limitations; effect was given to this </w:t>
      </w:r>
      <w:r>
        <w:rPr>
          <w:sz w:val="20"/>
        </w:rPr>
        <w:t>Convention</w:t>
      </w:r>
      <w:r>
        <w:rPr>
          <w:spacing w:val="40"/>
          <w:sz w:val="20"/>
        </w:rPr>
        <w:t> </w:t>
      </w:r>
      <w:r>
        <w:rPr>
          <w:sz w:val="20"/>
        </w:rPr>
        <w:t>by Merchant Shipping Act 1979 s.17 and Sch.4, now superseded by Merchant Shipping Act 1995, s.185 and Sch.7, Part I. The reasoning of the House of Lords is equally applicable to the contractual limitations and exceptions which protect the carrier under the Hague-Visby Rules, which have the force of law by virtue of Carriage of Goods by Sea Act 1971 s.1(2) and Sch.:</w:t>
      </w:r>
      <w:r>
        <w:rPr>
          <w:spacing w:val="40"/>
          <w:sz w:val="20"/>
        </w:rPr>
        <w:t> </w:t>
      </w:r>
      <w:r>
        <w:rPr>
          <w:sz w:val="20"/>
        </w:rPr>
        <w:t>see </w:t>
      </w:r>
      <w:r>
        <w:rPr>
          <w:rFonts w:ascii="Arial" w:hAnsi="Arial"/>
          <w:i/>
          <w:sz w:val="20"/>
        </w:rPr>
        <w:t>Marc Rich &amp; Co v Bishop Rock Marine (The Nicholas H) [1996] A.C. 211, 238</w:t>
      </w:r>
      <w:r>
        <w:rPr>
          <w:sz w:val="20"/>
        </w:rPr>
        <w:t>; (and see below, para.18-036 n.218 for the possible replacement of the Hague-Visby Rules by the Rotterdam Rules). No similar policy reasons for protecting an aircraft inspection authority from liability for personal injury to a passenger were said to exist in </w:t>
      </w:r>
      <w:r>
        <w:rPr>
          <w:rFonts w:ascii="Arial" w:hAnsi="Arial"/>
          <w:i/>
          <w:sz w:val="20"/>
        </w:rPr>
        <w:t>Perrett v Collins [1998] 2 Lloyd’s Rep. 225</w:t>
      </w:r>
      <w:r>
        <w:rPr>
          <w:sz w:val="20"/>
        </w:rPr>
        <w:t>; cf. </w:t>
      </w:r>
      <w:r>
        <w:rPr>
          <w:rFonts w:ascii="Arial" w:hAnsi="Arial"/>
          <w:i/>
          <w:sz w:val="20"/>
        </w:rPr>
        <w:t>Watson v British Boxing Board of Control Ltd [2001] Q.B. 1134</w:t>
      </w:r>
      <w:r>
        <w:rPr>
          <w:sz w:val="20"/>
        </w:rPr>
        <w:t>. Contrast</w:t>
      </w:r>
      <w:r>
        <w:rPr>
          <w:spacing w:val="40"/>
          <w:sz w:val="20"/>
        </w:rPr>
        <w:t> </w:t>
      </w:r>
      <w:r>
        <w:rPr>
          <w:rFonts w:ascii="Arial" w:hAnsi="Arial"/>
          <w:i/>
          <w:sz w:val="20"/>
        </w:rPr>
        <w:t>Sutradhar v Natural Environment Research Council [2006] UKHL 33, [2006] 4 All E.R. 490 </w:t>
      </w:r>
      <w:r>
        <w:rPr>
          <w:sz w:val="20"/>
        </w:rPr>
        <w:t>where a body which had carried out hydrogeological tests of artesian wells was held not liable</w:t>
      </w:r>
      <w:r>
        <w:rPr>
          <w:spacing w:val="40"/>
          <w:sz w:val="20"/>
        </w:rPr>
        <w:t> </w:t>
      </w:r>
      <w:r>
        <w:rPr>
          <w:sz w:val="20"/>
        </w:rPr>
        <w:t>to a consumer who had developed arsenical poisoning as a result of drinking water from the wells. </w:t>
      </w:r>
      <w:r>
        <w:rPr>
          <w:rFonts w:ascii="Arial" w:hAnsi="Arial"/>
          <w:i/>
          <w:sz w:val="20"/>
        </w:rPr>
        <w:t>Perrett v Collins </w:t>
      </w:r>
      <w:r>
        <w:rPr>
          <w:sz w:val="20"/>
        </w:rPr>
        <w:t>(above) was distinguished at [37] on the ground that there, but not in the </w:t>
      </w:r>
      <w:r>
        <w:rPr>
          <w:rFonts w:ascii="Arial" w:hAnsi="Arial"/>
          <w:i/>
          <w:sz w:val="20"/>
        </w:rPr>
        <w:t>Sutradhar </w:t>
      </w:r>
      <w:r>
        <w:rPr>
          <w:sz w:val="20"/>
        </w:rPr>
        <w:t>case, the defendants had a “measure of control” over the activity which caused the injury to persons with whom they had no contractual relationship.</w:t>
      </w:r>
    </w:p>
    <w:p>
      <w:pPr>
        <w:pStyle w:val="BodyText"/>
      </w:pPr>
    </w:p>
    <w:p>
      <w:pPr>
        <w:pStyle w:val="BodyText"/>
        <w:tabs>
          <w:tab w:pos="705" w:val="left" w:leader="none"/>
        </w:tabs>
        <w:ind w:left="165"/>
      </w:pPr>
      <w:bookmarkStart w:name="_bookmark451" w:id="453"/>
      <w:bookmarkEnd w:id="453"/>
      <w:r>
        <w:rPr/>
      </w:r>
      <w:hyperlink w:history="true" w:anchor="_bookmark322">
        <w:r>
          <w:rPr>
            <w:color w:val="005DA1"/>
            <w:spacing w:val="-4"/>
            <w:position w:val="5"/>
            <w:sz w:val="14"/>
            <w:u w:val="single" w:color="005DA1"/>
          </w:rPr>
          <w:t>204</w:t>
        </w:r>
      </w:hyperlink>
      <w:r>
        <w:rPr>
          <w:spacing w:val="-4"/>
          <w:position w:val="5"/>
          <w:sz w:val="14"/>
        </w:rPr>
        <w:t>.</w:t>
      </w:r>
      <w:r>
        <w:rPr>
          <w:position w:val="5"/>
          <w:sz w:val="14"/>
        </w:rPr>
        <w:tab/>
      </w:r>
      <w:r>
        <w:rPr/>
        <w:t>cf. below para.18-036 at nn.218 and </w:t>
      </w:r>
      <w:r>
        <w:rPr>
          <w:spacing w:val="-4"/>
        </w:rPr>
        <w:t>219.</w:t>
      </w:r>
    </w:p>
    <w:p>
      <w:pPr>
        <w:pStyle w:val="BodyText"/>
        <w:spacing w:before="5"/>
      </w:pPr>
    </w:p>
    <w:p>
      <w:pPr>
        <w:tabs>
          <w:tab w:pos="705" w:val="left" w:leader="none"/>
        </w:tabs>
        <w:spacing w:before="0"/>
        <w:ind w:left="165" w:right="0" w:firstLine="0"/>
        <w:jc w:val="left"/>
        <w:rPr>
          <w:sz w:val="20"/>
        </w:rPr>
      </w:pPr>
      <w:bookmarkStart w:name="_bookmark452" w:id="454"/>
      <w:bookmarkEnd w:id="454"/>
      <w:r>
        <w:rPr/>
      </w:r>
      <w:hyperlink w:history="true" w:anchor="_bookmark323">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The Nicholas H [1996] A.C. 211, </w:t>
      </w:r>
      <w:r>
        <w:rPr>
          <w:rFonts w:ascii="Arial"/>
          <w:i/>
          <w:spacing w:val="-4"/>
          <w:sz w:val="20"/>
        </w:rPr>
        <w:t>242</w:t>
      </w:r>
      <w:r>
        <w:rPr>
          <w:spacing w:val="-4"/>
          <w:sz w:val="20"/>
        </w:rPr>
        <w:t>.</w:t>
      </w:r>
    </w:p>
    <w:p>
      <w:pPr>
        <w:pStyle w:val="BodyText"/>
        <w:spacing w:before="9"/>
      </w:pPr>
    </w:p>
    <w:p>
      <w:pPr>
        <w:spacing w:line="235" w:lineRule="auto" w:before="0"/>
        <w:ind w:left="705" w:right="167" w:hanging="541"/>
        <w:jc w:val="both"/>
        <w:rPr>
          <w:sz w:val="20"/>
        </w:rPr>
      </w:pPr>
      <w:bookmarkStart w:name="_bookmark453" w:id="455"/>
      <w:bookmarkEnd w:id="455"/>
      <w:r>
        <w:rPr/>
      </w:r>
      <w:hyperlink w:history="true" w:anchor="_bookmark324">
        <w:r>
          <w:rPr>
            <w:color w:val="005DA1"/>
            <w:position w:val="5"/>
            <w:sz w:val="14"/>
            <w:u w:val="single" w:color="005DA1"/>
          </w:rPr>
          <w:t>206</w:t>
        </w:r>
      </w:hyperlink>
      <w:r>
        <w:rPr>
          <w:position w:val="5"/>
          <w:sz w:val="14"/>
        </w:rPr>
        <w:t>.</w:t>
      </w:r>
      <w:r>
        <w:rPr>
          <w:spacing w:val="40"/>
          <w:position w:val="5"/>
          <w:sz w:val="14"/>
        </w:rPr>
        <w:t>  </w:t>
      </w:r>
      <w:r>
        <w:rPr>
          <w:rFonts w:ascii="Arial" w:hAnsi="Arial"/>
          <w:i/>
          <w:sz w:val="20"/>
        </w:rPr>
        <w:t>Robinson v P.E. Jones (Contractors) Ltd [2011] EWCA Civ 9, [2011] B.L.R. 206 </w:t>
      </w:r>
      <w:r>
        <w:rPr>
          <w:sz w:val="20"/>
        </w:rPr>
        <w:t>at [93] (“the crucial distinction is between a person who supplies something defective and a person </w:t>
      </w:r>
      <w:r>
        <w:rPr>
          <w:sz w:val="20"/>
        </w:rPr>
        <w:t>who supplies something which, because of its defects, causes loss or damage to something else”); cf. ibid., at [94] and the reference at [68] to “personal injury or damage to other property”; for</w:t>
      </w:r>
      <w:r>
        <w:rPr>
          <w:spacing w:val="40"/>
          <w:sz w:val="20"/>
        </w:rPr>
        <w:t> </w:t>
      </w:r>
      <w:r>
        <w:rPr>
          <w:sz w:val="20"/>
        </w:rPr>
        <w:t>this case, see above, para.18-028.</w:t>
      </w:r>
    </w:p>
    <w:p>
      <w:pPr>
        <w:pStyle w:val="BodyText"/>
        <w:spacing w:before="8"/>
      </w:pPr>
    </w:p>
    <w:p>
      <w:pPr>
        <w:spacing w:line="235" w:lineRule="auto" w:before="0"/>
        <w:ind w:left="705" w:right="167" w:hanging="541"/>
        <w:jc w:val="both"/>
        <w:rPr>
          <w:sz w:val="20"/>
        </w:rPr>
      </w:pPr>
      <w:bookmarkStart w:name="_bookmark454" w:id="456"/>
      <w:bookmarkEnd w:id="456"/>
      <w:r>
        <w:rPr/>
      </w:r>
      <w:hyperlink w:history="true" w:anchor="_bookmark325">
        <w:r>
          <w:rPr>
            <w:color w:val="005DA1"/>
            <w:position w:val="5"/>
            <w:sz w:val="14"/>
            <w:u w:val="single" w:color="005DA1"/>
          </w:rPr>
          <w:t>207</w:t>
        </w:r>
      </w:hyperlink>
      <w:r>
        <w:rPr>
          <w:position w:val="5"/>
          <w:sz w:val="14"/>
        </w:rPr>
        <w:t>.</w:t>
      </w:r>
      <w:r>
        <w:rPr>
          <w:spacing w:val="80"/>
          <w:position w:val="5"/>
          <w:sz w:val="14"/>
        </w:rPr>
        <w:t>  </w:t>
      </w:r>
      <w:r>
        <w:rPr>
          <w:rFonts w:ascii="Arial"/>
          <w:i/>
          <w:sz w:val="20"/>
        </w:rPr>
        <w:t>Aswan Engineering Establishment Co v Lupdine Ltd [1987] 1 W.L.R. 1</w:t>
      </w:r>
      <w:r>
        <w:rPr>
          <w:sz w:val="20"/>
        </w:rPr>
        <w:t>; cf. </w:t>
      </w:r>
      <w:r>
        <w:rPr>
          <w:rFonts w:ascii="Arial"/>
          <w:i/>
          <w:sz w:val="20"/>
        </w:rPr>
        <w:t>D. &amp; F. Estates Ltd v Church Commissioners for England [1989] A.C. 177, 202, 216</w:t>
      </w:r>
      <w:r>
        <w:rPr>
          <w:sz w:val="20"/>
        </w:rPr>
        <w:t>; </w:t>
      </w:r>
      <w:r>
        <w:rPr>
          <w:rFonts w:ascii="Arial"/>
          <w:i/>
          <w:sz w:val="20"/>
        </w:rPr>
        <w:t>Reid v Rush &amp; Tompkins </w:t>
      </w:r>
      <w:r>
        <w:rPr>
          <w:rFonts w:ascii="Arial"/>
          <w:i/>
          <w:sz w:val="20"/>
        </w:rPr>
        <w:t>Group plc [1990] 1 W.L.R. 212, 224</w:t>
      </w:r>
      <w:r>
        <w:rPr>
          <w:sz w:val="20"/>
        </w:rPr>
        <w:t>; </w:t>
      </w:r>
      <w:r>
        <w:rPr>
          <w:rFonts w:ascii="Arial"/>
          <w:i/>
          <w:sz w:val="20"/>
        </w:rPr>
        <w:t>Warner v Basildon Development Corp. (1991) 7 Const.L.J. 146</w:t>
      </w:r>
      <w:r>
        <w:rPr>
          <w:sz w:val="20"/>
        </w:rPr>
        <w:t>; </w:t>
      </w:r>
      <w:r>
        <w:rPr>
          <w:rFonts w:ascii="Arial"/>
          <w:i/>
          <w:sz w:val="20"/>
        </w:rPr>
        <w:t>Holding &amp; Management (Solitaire) Ltd v Ideal Homes Northwest Ltd [2004] EWHC 2408, 96 Con. L.R. 114; affirmed [2005] EWCA Civ 59</w:t>
      </w:r>
      <w:r>
        <w:rPr>
          <w:sz w:val="20"/>
        </w:rPr>
        <w:t>; cf. </w:t>
      </w:r>
      <w:r>
        <w:rPr>
          <w:rFonts w:ascii="Arial"/>
          <w:i/>
          <w:sz w:val="20"/>
        </w:rPr>
        <w:t>Bacardi-Martini Beverages Ltd v Thomas Hardy</w:t>
      </w:r>
      <w:r>
        <w:rPr>
          <w:rFonts w:ascii="Arial"/>
          <w:i/>
          <w:spacing w:val="40"/>
          <w:sz w:val="20"/>
        </w:rPr>
        <w:t> </w:t>
      </w:r>
      <w:r>
        <w:rPr>
          <w:rFonts w:ascii="Arial"/>
          <w:i/>
          <w:sz w:val="20"/>
        </w:rPr>
        <w:t>Packaging</w:t>
      </w:r>
      <w:r>
        <w:rPr>
          <w:rFonts w:ascii="Arial"/>
          <w:i/>
          <w:spacing w:val="40"/>
          <w:sz w:val="20"/>
        </w:rPr>
        <w:t> </w:t>
      </w:r>
      <w:r>
        <w:rPr>
          <w:rFonts w:ascii="Arial"/>
          <w:i/>
          <w:sz w:val="20"/>
        </w:rPr>
        <w:t>Ltd</w:t>
      </w:r>
      <w:r>
        <w:rPr>
          <w:rFonts w:ascii="Arial"/>
          <w:i/>
          <w:spacing w:val="40"/>
          <w:sz w:val="20"/>
        </w:rPr>
        <w:t> </w:t>
      </w:r>
      <w:r>
        <w:rPr>
          <w:rFonts w:ascii="Arial"/>
          <w:i/>
          <w:sz w:val="20"/>
        </w:rPr>
        <w:t>[2002]</w:t>
      </w:r>
      <w:r>
        <w:rPr>
          <w:rFonts w:ascii="Arial"/>
          <w:i/>
          <w:spacing w:val="40"/>
          <w:sz w:val="20"/>
        </w:rPr>
        <w:t> </w:t>
      </w:r>
      <w:r>
        <w:rPr>
          <w:rFonts w:ascii="Arial"/>
          <w:i/>
          <w:sz w:val="20"/>
        </w:rPr>
        <w:t>EWCA</w:t>
      </w:r>
      <w:r>
        <w:rPr>
          <w:rFonts w:ascii="Arial"/>
          <w:i/>
          <w:spacing w:val="40"/>
          <w:sz w:val="20"/>
        </w:rPr>
        <w:t> </w:t>
      </w:r>
      <w:r>
        <w:rPr>
          <w:rFonts w:ascii="Arial"/>
          <w:i/>
          <w:sz w:val="20"/>
        </w:rPr>
        <w:t>Civ</w:t>
      </w:r>
      <w:r>
        <w:rPr>
          <w:rFonts w:ascii="Arial"/>
          <w:i/>
          <w:spacing w:val="40"/>
          <w:sz w:val="20"/>
        </w:rPr>
        <w:t> </w:t>
      </w:r>
      <w:r>
        <w:rPr>
          <w:rFonts w:ascii="Arial"/>
          <w:i/>
          <w:sz w:val="20"/>
        </w:rPr>
        <w:t>549;</w:t>
      </w:r>
      <w:r>
        <w:rPr>
          <w:rFonts w:ascii="Arial"/>
          <w:i/>
          <w:spacing w:val="40"/>
          <w:sz w:val="20"/>
        </w:rPr>
        <w:t> </w:t>
      </w:r>
      <w:r>
        <w:rPr>
          <w:rFonts w:ascii="Arial"/>
          <w:i/>
          <w:sz w:val="20"/>
        </w:rPr>
        <w:t>[2002]</w:t>
      </w:r>
      <w:r>
        <w:rPr>
          <w:rFonts w:ascii="Arial"/>
          <w:i/>
          <w:spacing w:val="40"/>
          <w:sz w:val="20"/>
        </w:rPr>
        <w:t> </w:t>
      </w:r>
      <w:r>
        <w:rPr>
          <w:rFonts w:ascii="Arial"/>
          <w:i/>
          <w:sz w:val="20"/>
        </w:rPr>
        <w:t>2</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(Comm)</w:t>
      </w:r>
      <w:r>
        <w:rPr>
          <w:rFonts w:ascii="Arial"/>
          <w:i/>
          <w:spacing w:val="40"/>
          <w:sz w:val="20"/>
        </w:rPr>
        <w:t> </w:t>
      </w:r>
      <w:r>
        <w:rPr>
          <w:rFonts w:ascii="Arial"/>
          <w:i/>
          <w:sz w:val="20"/>
        </w:rPr>
        <w:t>335</w:t>
      </w:r>
      <w:r>
        <w:rPr>
          <w:rFonts w:ascii="Arial"/>
          <w:i/>
          <w:spacing w:val="39"/>
          <w:sz w:val="20"/>
        </w:rPr>
        <w:t> </w:t>
      </w:r>
      <w:r>
        <w:rPr>
          <w:sz w:val="20"/>
        </w:rPr>
        <w:t>at</w:t>
      </w:r>
      <w:r>
        <w:rPr>
          <w:spacing w:val="40"/>
          <w:sz w:val="20"/>
        </w:rPr>
        <w:t> </w:t>
      </w:r>
      <w:r>
        <w:rPr>
          <w:sz w:val="20"/>
        </w:rPr>
        <w:t>[18]</w:t>
      </w:r>
      <w:r>
        <w:rPr>
          <w:spacing w:val="40"/>
          <w:sz w:val="20"/>
        </w:rPr>
        <w:t> </w:t>
      </w:r>
      <w:r>
        <w:rPr>
          <w:spacing w:val="-2"/>
          <w:sz w:val="20"/>
        </w:rPr>
        <w:t>(where</w:t>
      </w:r>
    </w:p>
    <w:p>
      <w:pPr>
        <w:spacing w:after="0" w:line="235" w:lineRule="auto"/>
        <w:jc w:val="both"/>
        <w:rPr>
          <w:sz w:val="20"/>
        </w:rPr>
        <w:sectPr>
          <w:pgSz w:w="11900" w:h="16840"/>
          <w:pgMar w:header="971" w:footer="0" w:top="1160" w:bottom="280" w:left="1275" w:right="1275"/>
        </w:sectPr>
      </w:pPr>
    </w:p>
    <w:p>
      <w:pPr>
        <w:pStyle w:val="BodyText"/>
        <w:spacing w:before="21"/>
      </w:pPr>
    </w:p>
    <w:p>
      <w:pPr>
        <w:pStyle w:val="BodyText"/>
        <w:spacing w:line="227" w:lineRule="exact"/>
        <w:ind w:left="705"/>
      </w:pPr>
      <w:r>
        <w:rPr/>
        <w:t>contaminated</w:t>
      </w:r>
      <w:r>
        <w:rPr>
          <w:spacing w:val="68"/>
        </w:rPr>
        <w:t> </w:t>
      </w:r>
      <w:r>
        <w:rPr/>
        <w:t>ingredient</w:t>
      </w:r>
      <w:r>
        <w:rPr>
          <w:spacing w:val="70"/>
        </w:rPr>
        <w:t> </w:t>
      </w:r>
      <w:r>
        <w:rPr/>
        <w:t>used</w:t>
      </w:r>
      <w:r>
        <w:rPr>
          <w:spacing w:val="70"/>
        </w:rPr>
        <w:t> </w:t>
      </w:r>
      <w:r>
        <w:rPr/>
        <w:t>in</w:t>
      </w:r>
      <w:r>
        <w:rPr>
          <w:spacing w:val="70"/>
        </w:rPr>
        <w:t> </w:t>
      </w:r>
      <w:r>
        <w:rPr/>
        <w:t>manufacturing</w:t>
      </w:r>
      <w:r>
        <w:rPr>
          <w:spacing w:val="70"/>
        </w:rPr>
        <w:t> </w:t>
      </w:r>
      <w:r>
        <w:rPr/>
        <w:t>had</w:t>
      </w:r>
      <w:r>
        <w:rPr>
          <w:spacing w:val="70"/>
        </w:rPr>
        <w:t> </w:t>
      </w:r>
      <w:r>
        <w:rPr/>
        <w:t>made</w:t>
      </w:r>
      <w:r>
        <w:rPr>
          <w:spacing w:val="70"/>
        </w:rPr>
        <w:t> </w:t>
      </w:r>
      <w:r>
        <w:rPr/>
        <w:t>the</w:t>
      </w:r>
      <w:r>
        <w:rPr>
          <w:spacing w:val="70"/>
        </w:rPr>
        <w:t> </w:t>
      </w:r>
      <w:r>
        <w:rPr/>
        <w:t>finished</w:t>
      </w:r>
      <w:r>
        <w:rPr>
          <w:spacing w:val="70"/>
        </w:rPr>
        <w:t> </w:t>
      </w:r>
      <w:r>
        <w:rPr/>
        <w:t>product</w:t>
      </w:r>
      <w:r>
        <w:rPr>
          <w:spacing w:val="70"/>
        </w:rPr>
        <w:t> </w:t>
      </w:r>
      <w:r>
        <w:rPr>
          <w:spacing w:val="-2"/>
        </w:rPr>
        <w:t>useless);</w:t>
      </w:r>
    </w:p>
    <w:p>
      <w:pPr>
        <w:spacing w:line="225" w:lineRule="exact" w:before="0"/>
        <w:ind w:left="705" w:right="0" w:firstLine="0"/>
        <w:jc w:val="left"/>
        <w:rPr>
          <w:rFonts w:ascii="Arial"/>
          <w:i/>
          <w:sz w:val="20"/>
        </w:rPr>
      </w:pPr>
      <w:r>
        <w:rPr>
          <w:rFonts w:ascii="Arial"/>
          <w:i/>
          <w:sz w:val="20"/>
        </w:rPr>
        <w:t>Linklaters</w:t>
      </w:r>
      <w:r>
        <w:rPr>
          <w:rFonts w:ascii="Arial"/>
          <w:i/>
          <w:spacing w:val="31"/>
          <w:sz w:val="20"/>
        </w:rPr>
        <w:t> </w:t>
      </w:r>
      <w:r>
        <w:rPr>
          <w:rFonts w:ascii="Arial"/>
          <w:i/>
          <w:sz w:val="20"/>
        </w:rPr>
        <w:t>Business</w:t>
      </w:r>
      <w:r>
        <w:rPr>
          <w:rFonts w:ascii="Arial"/>
          <w:i/>
          <w:spacing w:val="31"/>
          <w:sz w:val="20"/>
        </w:rPr>
        <w:t> </w:t>
      </w:r>
      <w:r>
        <w:rPr>
          <w:rFonts w:ascii="Arial"/>
          <w:i/>
          <w:sz w:val="20"/>
        </w:rPr>
        <w:t>Services</w:t>
      </w:r>
      <w:r>
        <w:rPr>
          <w:rFonts w:ascii="Arial"/>
          <w:i/>
          <w:spacing w:val="31"/>
          <w:sz w:val="20"/>
        </w:rPr>
        <w:t> </w:t>
      </w:r>
      <w:r>
        <w:rPr>
          <w:rFonts w:ascii="Arial"/>
          <w:i/>
          <w:sz w:val="20"/>
        </w:rPr>
        <w:t>v</w:t>
      </w:r>
      <w:r>
        <w:rPr>
          <w:rFonts w:ascii="Arial"/>
          <w:i/>
          <w:spacing w:val="31"/>
          <w:sz w:val="20"/>
        </w:rPr>
        <w:t> </w:t>
      </w:r>
      <w:r>
        <w:rPr>
          <w:rFonts w:ascii="Arial"/>
          <w:i/>
          <w:sz w:val="20"/>
        </w:rPr>
        <w:t>Sir</w:t>
      </w:r>
      <w:r>
        <w:rPr>
          <w:rFonts w:ascii="Arial"/>
          <w:i/>
          <w:spacing w:val="31"/>
          <w:sz w:val="20"/>
        </w:rPr>
        <w:t> </w:t>
      </w:r>
      <w:r>
        <w:rPr>
          <w:rFonts w:ascii="Arial"/>
          <w:i/>
          <w:sz w:val="20"/>
        </w:rPr>
        <w:t>Robert</w:t>
      </w:r>
      <w:r>
        <w:rPr>
          <w:rFonts w:ascii="Arial"/>
          <w:i/>
          <w:spacing w:val="31"/>
          <w:sz w:val="20"/>
        </w:rPr>
        <w:t> </w:t>
      </w:r>
      <w:r>
        <w:rPr>
          <w:rFonts w:ascii="Arial"/>
          <w:i/>
          <w:sz w:val="20"/>
        </w:rPr>
        <w:t>McAlpine</w:t>
      </w:r>
      <w:r>
        <w:rPr>
          <w:rFonts w:ascii="Arial"/>
          <w:i/>
          <w:spacing w:val="31"/>
          <w:sz w:val="20"/>
        </w:rPr>
        <w:t> </w:t>
      </w:r>
      <w:r>
        <w:rPr>
          <w:rFonts w:ascii="Arial"/>
          <w:i/>
          <w:sz w:val="20"/>
        </w:rPr>
        <w:t>Ltd</w:t>
      </w:r>
      <w:r>
        <w:rPr>
          <w:rFonts w:ascii="Arial"/>
          <w:i/>
          <w:spacing w:val="31"/>
          <w:sz w:val="20"/>
        </w:rPr>
        <w:t> </w:t>
      </w:r>
      <w:r>
        <w:rPr>
          <w:rFonts w:ascii="Arial"/>
          <w:i/>
          <w:sz w:val="20"/>
        </w:rPr>
        <w:t>[2010]</w:t>
      </w:r>
      <w:r>
        <w:rPr>
          <w:rFonts w:ascii="Arial"/>
          <w:i/>
          <w:spacing w:val="31"/>
          <w:sz w:val="20"/>
        </w:rPr>
        <w:t> </w:t>
      </w:r>
      <w:r>
        <w:rPr>
          <w:rFonts w:ascii="Arial"/>
          <w:i/>
          <w:sz w:val="20"/>
        </w:rPr>
        <w:t>EWHC</w:t>
      </w:r>
      <w:r>
        <w:rPr>
          <w:rFonts w:ascii="Arial"/>
          <w:i/>
          <w:spacing w:val="31"/>
          <w:sz w:val="20"/>
        </w:rPr>
        <w:t> </w:t>
      </w:r>
      <w:r>
        <w:rPr>
          <w:rFonts w:ascii="Arial"/>
          <w:i/>
          <w:sz w:val="20"/>
        </w:rPr>
        <w:t>2931</w:t>
      </w:r>
      <w:r>
        <w:rPr>
          <w:rFonts w:ascii="Arial"/>
          <w:i/>
          <w:spacing w:val="31"/>
          <w:sz w:val="20"/>
        </w:rPr>
        <w:t> </w:t>
      </w:r>
      <w:r>
        <w:rPr>
          <w:rFonts w:ascii="Arial"/>
          <w:i/>
          <w:sz w:val="20"/>
        </w:rPr>
        <w:t>(TCC),</w:t>
      </w:r>
      <w:r>
        <w:rPr>
          <w:rFonts w:ascii="Arial"/>
          <w:i/>
          <w:spacing w:val="31"/>
          <w:sz w:val="20"/>
        </w:rPr>
        <w:t> </w:t>
      </w:r>
      <w:r>
        <w:rPr>
          <w:rFonts w:ascii="Arial"/>
          <w:i/>
          <w:sz w:val="20"/>
        </w:rPr>
        <w:t>13</w:t>
      </w:r>
      <w:r>
        <w:rPr>
          <w:rFonts w:ascii="Arial"/>
          <w:i/>
          <w:spacing w:val="31"/>
          <w:sz w:val="20"/>
        </w:rPr>
        <w:t> </w:t>
      </w:r>
      <w:r>
        <w:rPr>
          <w:rFonts w:ascii="Arial"/>
          <w:i/>
          <w:spacing w:val="-4"/>
          <w:sz w:val="20"/>
        </w:rPr>
        <w:t>Con.</w:t>
      </w:r>
    </w:p>
    <w:p>
      <w:pPr>
        <w:pStyle w:val="BodyText"/>
        <w:spacing w:line="235" w:lineRule="auto" w:before="1"/>
        <w:ind w:left="705" w:right="167"/>
        <w:jc w:val="both"/>
      </w:pPr>
      <w:r>
        <w:rPr>
          <w:rFonts w:ascii="Arial" w:hAnsi="Arial"/>
          <w:i/>
        </w:rPr>
        <w:t>L.R. 133 </w:t>
      </w:r>
      <w:r>
        <w:rPr/>
        <w:t>(building sub-contractor held to owe no duty in tort to the employer in respect of the cost of replacing corroded pipes, because damage to them was “damage to the thing itself” (at [114],</w:t>
      </w:r>
      <w:r>
        <w:rPr>
          <w:spacing w:val="-2"/>
        </w:rPr>
        <w:t> </w:t>
      </w:r>
      <w:r>
        <w:rPr/>
        <w:t>[119])</w:t>
      </w:r>
      <w:r>
        <w:rPr>
          <w:spacing w:val="-2"/>
        </w:rPr>
        <w:t> </w:t>
      </w:r>
      <w:r>
        <w:rPr/>
        <w:t>supplied</w:t>
      </w:r>
      <w:r>
        <w:rPr>
          <w:spacing w:val="-2"/>
        </w:rPr>
        <w:t> </w:t>
      </w:r>
      <w:r>
        <w:rPr/>
        <w:t>by</w:t>
      </w:r>
      <w:r>
        <w:rPr>
          <w:spacing w:val="-2"/>
        </w:rPr>
        <w:t> </w:t>
      </w:r>
      <w:r>
        <w:rPr/>
        <w:t>the</w:t>
      </w:r>
      <w:r>
        <w:rPr>
          <w:spacing w:val="-2"/>
        </w:rPr>
        <w:t> </w:t>
      </w:r>
      <w:r>
        <w:rPr/>
        <w:t>sub-contractor),</w:t>
      </w:r>
      <w:r>
        <w:rPr>
          <w:spacing w:val="-2"/>
        </w:rPr>
        <w:t> </w:t>
      </w:r>
      <w:r>
        <w:rPr/>
        <w:t>followed</w:t>
      </w:r>
      <w:r>
        <w:rPr>
          <w:spacing w:val="-2"/>
        </w:rPr>
        <w:t> </w:t>
      </w:r>
      <w:r>
        <w:rPr/>
        <w:t>in</w:t>
      </w:r>
      <w:r>
        <w:rPr>
          <w:spacing w:val="-3"/>
        </w:rPr>
        <w:t> </w:t>
      </w:r>
      <w:r>
        <w:rPr>
          <w:rFonts w:ascii="Arial" w:hAnsi="Arial"/>
          <w:i/>
        </w:rPr>
        <w:t>Broster</w:t>
      </w:r>
      <w:r>
        <w:rPr>
          <w:rFonts w:ascii="Arial" w:hAnsi="Arial"/>
          <w:i/>
          <w:spacing w:val="-2"/>
        </w:rPr>
        <w:t> </w:t>
      </w:r>
      <w:r>
        <w:rPr>
          <w:rFonts w:ascii="Arial" w:hAnsi="Arial"/>
          <w:i/>
        </w:rPr>
        <w:t>v</w:t>
      </w:r>
      <w:r>
        <w:rPr>
          <w:rFonts w:ascii="Arial" w:hAnsi="Arial"/>
          <w:i/>
          <w:spacing w:val="-2"/>
        </w:rPr>
        <w:t> </w:t>
      </w:r>
      <w:r>
        <w:rPr>
          <w:rFonts w:ascii="Arial" w:hAnsi="Arial"/>
          <w:i/>
        </w:rPr>
        <w:t>Galliard</w:t>
      </w:r>
      <w:r>
        <w:rPr>
          <w:rFonts w:ascii="Arial" w:hAnsi="Arial"/>
          <w:i/>
          <w:spacing w:val="-2"/>
        </w:rPr>
        <w:t> </w:t>
      </w:r>
      <w:r>
        <w:rPr>
          <w:rFonts w:ascii="Arial" w:hAnsi="Arial"/>
          <w:i/>
        </w:rPr>
        <w:t>Docklands</w:t>
      </w:r>
      <w:r>
        <w:rPr>
          <w:rFonts w:ascii="Arial" w:hAnsi="Arial"/>
          <w:i/>
          <w:spacing w:val="-2"/>
        </w:rPr>
        <w:t> </w:t>
      </w:r>
      <w:r>
        <w:rPr>
          <w:rFonts w:ascii="Arial" w:hAnsi="Arial"/>
          <w:i/>
        </w:rPr>
        <w:t>Ltd</w:t>
      </w:r>
      <w:r>
        <w:rPr>
          <w:rFonts w:ascii="Arial" w:hAnsi="Arial"/>
          <w:i/>
          <w:spacing w:val="-2"/>
        </w:rPr>
        <w:t> </w:t>
      </w:r>
      <w:r>
        <w:rPr>
          <w:rFonts w:ascii="Arial" w:hAnsi="Arial"/>
          <w:i/>
        </w:rPr>
        <w:t>[2011] EWHC 1722 (TCC), [2011] B.L.R. 569 </w:t>
      </w:r>
      <w:r>
        <w:rPr/>
        <w:t>(designer of houses not liable in tort for economic </w:t>
      </w:r>
      <w:r>
        <w:rPr/>
        <w:t>loss suffered by the current occupier of one of the houses as this was damage to the thing itself supplied by the designer).</w:t>
      </w:r>
    </w:p>
    <w:p>
      <w:pPr>
        <w:pStyle w:val="BodyText"/>
        <w:spacing w:before="4"/>
      </w:pPr>
    </w:p>
    <w:p>
      <w:pPr>
        <w:pStyle w:val="BodyText"/>
        <w:tabs>
          <w:tab w:pos="705" w:val="left" w:leader="none"/>
        </w:tabs>
        <w:ind w:left="165"/>
      </w:pPr>
      <w:bookmarkStart w:name="_bookmark455" w:id="457"/>
      <w:bookmarkEnd w:id="457"/>
      <w:r>
        <w:rPr/>
      </w:r>
      <w:hyperlink w:history="true" w:anchor="_bookmark326">
        <w:r>
          <w:rPr>
            <w:color w:val="005DA1"/>
            <w:spacing w:val="-4"/>
            <w:position w:val="5"/>
            <w:sz w:val="14"/>
            <w:u w:val="single" w:color="005DA1"/>
          </w:rPr>
          <w:t>208</w:t>
        </w:r>
      </w:hyperlink>
      <w:r>
        <w:rPr>
          <w:spacing w:val="-4"/>
          <w:position w:val="5"/>
          <w:sz w:val="14"/>
        </w:rPr>
        <w:t>.</w:t>
      </w:r>
      <w:r>
        <w:rPr>
          <w:position w:val="5"/>
          <w:sz w:val="14"/>
        </w:rPr>
        <w:tab/>
      </w:r>
      <w:r>
        <w:rPr/>
        <w:t>For possible liability under a manufacturer’s guarantee, see above, para.18-</w:t>
      </w:r>
      <w:r>
        <w:rPr>
          <w:spacing w:val="-4"/>
        </w:rPr>
        <w:t>005.</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56" w:id="458"/>
      <w:bookmarkEnd w:id="458"/>
      <w:r>
        <w:rPr/>
      </w:r>
      <w:hyperlink w:history="true" w:anchor="_bookmark327">
        <w:r>
          <w:rPr>
            <w:color w:val="005DA1"/>
            <w:spacing w:val="-4"/>
            <w:position w:val="5"/>
            <w:sz w:val="14"/>
            <w:u w:val="single" w:color="005DA1"/>
          </w:rPr>
          <w:t>209</w:t>
        </w:r>
      </w:hyperlink>
      <w:r>
        <w:rPr>
          <w:spacing w:val="-4"/>
          <w:position w:val="5"/>
          <w:sz w:val="14"/>
        </w:rPr>
        <w:t>.</w:t>
      </w:r>
      <w:r>
        <w:rPr>
          <w:position w:val="5"/>
          <w:sz w:val="14"/>
        </w:rPr>
        <w:tab/>
      </w:r>
      <w:r>
        <w:rPr>
          <w:rFonts w:ascii="Arial"/>
          <w:i/>
          <w:sz w:val="20"/>
        </w:rPr>
        <w:t>Murphy</w:t>
      </w:r>
      <w:r>
        <w:rPr>
          <w:rFonts w:ascii="Arial"/>
          <w:i/>
          <w:spacing w:val="6"/>
          <w:sz w:val="20"/>
        </w:rPr>
        <w:t> </w:t>
      </w:r>
      <w:r>
        <w:rPr>
          <w:rFonts w:ascii="Arial"/>
          <w:i/>
          <w:sz w:val="20"/>
        </w:rPr>
        <w:t>v</w:t>
      </w:r>
      <w:r>
        <w:rPr>
          <w:rFonts w:ascii="Arial"/>
          <w:i/>
          <w:spacing w:val="7"/>
          <w:sz w:val="20"/>
        </w:rPr>
        <w:t> </w:t>
      </w:r>
      <w:r>
        <w:rPr>
          <w:rFonts w:ascii="Arial"/>
          <w:i/>
          <w:sz w:val="20"/>
        </w:rPr>
        <w:t>Brentwood</w:t>
      </w:r>
      <w:r>
        <w:rPr>
          <w:rFonts w:ascii="Arial"/>
          <w:i/>
          <w:spacing w:val="7"/>
          <w:sz w:val="20"/>
        </w:rPr>
        <w:t> </w:t>
      </w:r>
      <w:r>
        <w:rPr>
          <w:rFonts w:ascii="Arial"/>
          <w:i/>
          <w:sz w:val="20"/>
        </w:rPr>
        <w:t>DC</w:t>
      </w:r>
      <w:r>
        <w:rPr>
          <w:rFonts w:ascii="Arial"/>
          <w:i/>
          <w:spacing w:val="7"/>
          <w:sz w:val="20"/>
        </w:rPr>
        <w:t> </w:t>
      </w:r>
      <w:r>
        <w:rPr>
          <w:rFonts w:ascii="Arial"/>
          <w:i/>
          <w:sz w:val="20"/>
        </w:rPr>
        <w:t>[1991]</w:t>
      </w:r>
      <w:r>
        <w:rPr>
          <w:rFonts w:ascii="Arial"/>
          <w:i/>
          <w:spacing w:val="7"/>
          <w:sz w:val="20"/>
        </w:rPr>
        <w:t> </w:t>
      </w:r>
      <w:r>
        <w:rPr>
          <w:rFonts w:ascii="Arial"/>
          <w:i/>
          <w:sz w:val="20"/>
        </w:rPr>
        <w:t>1</w:t>
      </w:r>
      <w:r>
        <w:rPr>
          <w:rFonts w:ascii="Arial"/>
          <w:i/>
          <w:spacing w:val="7"/>
          <w:sz w:val="20"/>
        </w:rPr>
        <w:t> </w:t>
      </w:r>
      <w:r>
        <w:rPr>
          <w:rFonts w:ascii="Arial"/>
          <w:i/>
          <w:sz w:val="20"/>
        </w:rPr>
        <w:t>A.C.</w:t>
      </w:r>
      <w:r>
        <w:rPr>
          <w:rFonts w:ascii="Arial"/>
          <w:i/>
          <w:spacing w:val="7"/>
          <w:sz w:val="20"/>
        </w:rPr>
        <w:t> </w:t>
      </w:r>
      <w:r>
        <w:rPr>
          <w:rFonts w:ascii="Arial"/>
          <w:i/>
          <w:sz w:val="20"/>
        </w:rPr>
        <w:t>398,</w:t>
      </w:r>
      <w:r>
        <w:rPr>
          <w:rFonts w:ascii="Arial"/>
          <w:i/>
          <w:spacing w:val="7"/>
          <w:sz w:val="20"/>
        </w:rPr>
        <w:t> </w:t>
      </w:r>
      <w:r>
        <w:rPr>
          <w:rFonts w:ascii="Arial"/>
          <w:i/>
          <w:sz w:val="20"/>
        </w:rPr>
        <w:t>469,</w:t>
      </w:r>
      <w:r>
        <w:rPr>
          <w:rFonts w:ascii="Arial"/>
          <w:i/>
          <w:spacing w:val="7"/>
          <w:sz w:val="20"/>
        </w:rPr>
        <w:t> </w:t>
      </w:r>
      <w:r>
        <w:rPr>
          <w:rFonts w:ascii="Arial"/>
          <w:i/>
          <w:sz w:val="20"/>
        </w:rPr>
        <w:t>475</w:t>
      </w:r>
      <w:r>
        <w:rPr>
          <w:sz w:val="20"/>
        </w:rPr>
        <w:t>;</w:t>
      </w:r>
      <w:r>
        <w:rPr>
          <w:spacing w:val="7"/>
          <w:sz w:val="20"/>
        </w:rPr>
        <w:t> </w:t>
      </w:r>
      <w:r>
        <w:rPr>
          <w:sz w:val="20"/>
        </w:rPr>
        <w:t>cf.</w:t>
      </w:r>
      <w:r>
        <w:rPr>
          <w:spacing w:val="7"/>
          <w:sz w:val="20"/>
        </w:rPr>
        <w:t> </w:t>
      </w:r>
      <w:r>
        <w:rPr>
          <w:rFonts w:ascii="Arial"/>
          <w:i/>
          <w:sz w:val="20"/>
        </w:rPr>
        <w:t>Nitrigin</w:t>
      </w:r>
      <w:r>
        <w:rPr>
          <w:rFonts w:ascii="Arial"/>
          <w:i/>
          <w:spacing w:val="7"/>
          <w:sz w:val="20"/>
        </w:rPr>
        <w:t> </w:t>
      </w:r>
      <w:r>
        <w:rPr>
          <w:rFonts w:ascii="Arial"/>
          <w:i/>
          <w:sz w:val="20"/>
        </w:rPr>
        <w:t>Eirann</w:t>
      </w:r>
      <w:r>
        <w:rPr>
          <w:rFonts w:ascii="Arial"/>
          <w:i/>
          <w:spacing w:val="7"/>
          <w:sz w:val="20"/>
        </w:rPr>
        <w:t> </w:t>
      </w:r>
      <w:r>
        <w:rPr>
          <w:rFonts w:ascii="Arial"/>
          <w:i/>
          <w:sz w:val="20"/>
        </w:rPr>
        <w:t>Teoranta</w:t>
      </w:r>
      <w:r>
        <w:rPr>
          <w:rFonts w:ascii="Arial"/>
          <w:i/>
          <w:spacing w:val="7"/>
          <w:sz w:val="20"/>
        </w:rPr>
        <w:t> </w:t>
      </w:r>
      <w:r>
        <w:rPr>
          <w:rFonts w:ascii="Arial"/>
          <w:i/>
          <w:sz w:val="20"/>
        </w:rPr>
        <w:t>v</w:t>
      </w:r>
      <w:r>
        <w:rPr>
          <w:rFonts w:ascii="Arial"/>
          <w:i/>
          <w:spacing w:val="7"/>
          <w:sz w:val="20"/>
        </w:rPr>
        <w:t> </w:t>
      </w:r>
      <w:r>
        <w:rPr>
          <w:rFonts w:ascii="Arial"/>
          <w:i/>
          <w:sz w:val="20"/>
        </w:rPr>
        <w:t>Inco</w:t>
      </w:r>
      <w:r>
        <w:rPr>
          <w:rFonts w:ascii="Arial"/>
          <w:i/>
          <w:spacing w:val="7"/>
          <w:sz w:val="20"/>
        </w:rPr>
        <w:t> </w:t>
      </w:r>
      <w:r>
        <w:rPr>
          <w:rFonts w:ascii="Arial"/>
          <w:i/>
          <w:spacing w:val="-2"/>
          <w:sz w:val="20"/>
        </w:rPr>
        <w:t>Alloys</w:t>
      </w:r>
    </w:p>
    <w:p>
      <w:pPr>
        <w:spacing w:line="227" w:lineRule="exact" w:before="0"/>
        <w:ind w:left="705" w:right="0" w:firstLine="0"/>
        <w:jc w:val="left"/>
        <w:rPr>
          <w:sz w:val="20"/>
        </w:rPr>
      </w:pPr>
      <w:r>
        <w:rPr>
          <w:rFonts w:ascii="Arial"/>
          <w:i/>
          <w:sz w:val="20"/>
        </w:rPr>
        <w:t>Ltd</w:t>
      </w:r>
      <w:r>
        <w:rPr>
          <w:rFonts w:ascii="Arial"/>
          <w:i/>
          <w:spacing w:val="-2"/>
          <w:sz w:val="20"/>
        </w:rPr>
        <w:t> </w:t>
      </w:r>
      <w:r>
        <w:rPr>
          <w:rFonts w:ascii="Arial"/>
          <w:i/>
          <w:sz w:val="20"/>
        </w:rPr>
        <w:t>[1992] 1 W.L.R. </w:t>
      </w:r>
      <w:r>
        <w:rPr>
          <w:rFonts w:ascii="Arial"/>
          <w:i/>
          <w:spacing w:val="-4"/>
          <w:sz w:val="20"/>
        </w:rPr>
        <w:t>498</w:t>
      </w:r>
      <w:r>
        <w:rPr>
          <w:spacing w:val="-4"/>
          <w:sz w:val="20"/>
        </w:rPr>
        <w:t>.</w:t>
      </w:r>
    </w:p>
    <w:p>
      <w:pPr>
        <w:pStyle w:val="BodyText"/>
        <w:spacing w:before="9"/>
      </w:pPr>
    </w:p>
    <w:p>
      <w:pPr>
        <w:spacing w:line="235" w:lineRule="auto" w:before="0"/>
        <w:ind w:left="705" w:right="167" w:hanging="541"/>
        <w:jc w:val="both"/>
        <w:rPr>
          <w:sz w:val="20"/>
        </w:rPr>
      </w:pPr>
      <w:bookmarkStart w:name="_bookmark457" w:id="459"/>
      <w:bookmarkEnd w:id="459"/>
      <w:r>
        <w:rPr/>
      </w:r>
      <w:hyperlink w:history="true" w:anchor="_bookmark328">
        <w:r>
          <w:rPr>
            <w:color w:val="005DA1"/>
            <w:position w:val="5"/>
            <w:sz w:val="14"/>
            <w:u w:val="single" w:color="005DA1"/>
          </w:rPr>
          <w:t>210</w:t>
        </w:r>
      </w:hyperlink>
      <w:r>
        <w:rPr>
          <w:position w:val="5"/>
          <w:sz w:val="14"/>
        </w:rPr>
        <w:t>.</w:t>
      </w:r>
      <w:r>
        <w:rPr>
          <w:spacing w:val="80"/>
          <w:position w:val="5"/>
          <w:sz w:val="14"/>
        </w:rPr>
        <w:t>  </w:t>
      </w:r>
      <w:r>
        <w:rPr>
          <w:rFonts w:ascii="Arial" w:hAnsi="Arial"/>
          <w:i/>
          <w:sz w:val="20"/>
        </w:rPr>
        <w:t>Losinjska Plovida v Transco Overseas Ltd (The Orjula) [1995] 2 Lloyd’s Rep. 395, 402</w:t>
      </w:r>
      <w:r>
        <w:rPr>
          <w:sz w:val="20"/>
        </w:rPr>
        <w:t>, where </w:t>
      </w:r>
      <w:r>
        <w:rPr>
          <w:sz w:val="20"/>
        </w:rPr>
        <w:t>it was also arguable that the defective thing supplied by the defendant had caused physical harm to </w:t>
      </w:r>
      <w:r>
        <w:rPr>
          <w:rFonts w:ascii="Arial" w:hAnsi="Arial"/>
          <w:i/>
          <w:sz w:val="20"/>
        </w:rPr>
        <w:t>other </w:t>
      </w:r>
      <w:r>
        <w:rPr>
          <w:sz w:val="20"/>
        </w:rPr>
        <w:t>property in which the claimant had a prior interest as lessee.</w:t>
      </w:r>
    </w:p>
    <w:p>
      <w:pPr>
        <w:pStyle w:val="BodyText"/>
        <w:spacing w:before="5"/>
      </w:pPr>
    </w:p>
    <w:p>
      <w:pPr>
        <w:pStyle w:val="BodyText"/>
        <w:tabs>
          <w:tab w:pos="705" w:val="left" w:leader="none"/>
        </w:tabs>
        <w:ind w:left="165"/>
      </w:pPr>
      <w:bookmarkStart w:name="_bookmark458" w:id="460"/>
      <w:bookmarkEnd w:id="460"/>
      <w:r>
        <w:rPr/>
      </w:r>
      <w:hyperlink w:history="true" w:anchor="_bookmark329">
        <w:r>
          <w:rPr>
            <w:color w:val="005DA1"/>
            <w:spacing w:val="-4"/>
            <w:position w:val="5"/>
            <w:sz w:val="14"/>
            <w:u w:val="single" w:color="005DA1"/>
          </w:rPr>
          <w:t>211</w:t>
        </w:r>
      </w:hyperlink>
      <w:r>
        <w:rPr>
          <w:spacing w:val="-4"/>
          <w:position w:val="5"/>
          <w:sz w:val="14"/>
        </w:rPr>
        <w:t>.</w:t>
      </w:r>
      <w:r>
        <w:rPr>
          <w:position w:val="5"/>
          <w:sz w:val="14"/>
        </w:rPr>
        <w:tab/>
      </w:r>
      <w:r>
        <w:rPr/>
        <w:t>Above, para.18-029 at </w:t>
      </w:r>
      <w:r>
        <w:rPr>
          <w:spacing w:val="-2"/>
        </w:rPr>
        <w:t>n.171.</w:t>
      </w:r>
    </w:p>
    <w:p>
      <w:pPr>
        <w:pStyle w:val="BodyText"/>
        <w:spacing w:before="5"/>
      </w:pPr>
    </w:p>
    <w:p>
      <w:pPr>
        <w:tabs>
          <w:tab w:pos="705" w:val="left" w:leader="none"/>
        </w:tabs>
        <w:spacing w:line="227" w:lineRule="exact" w:before="0"/>
        <w:ind w:left="165" w:right="0" w:firstLine="0"/>
        <w:jc w:val="left"/>
        <w:rPr>
          <w:sz w:val="20"/>
        </w:rPr>
      </w:pPr>
      <w:bookmarkStart w:name="_bookmark459" w:id="461"/>
      <w:bookmarkEnd w:id="461"/>
      <w:r>
        <w:rPr/>
      </w:r>
      <w:hyperlink w:history="true" w:anchor="_bookmark330">
        <w:r>
          <w:rPr>
            <w:color w:val="005DA1"/>
            <w:spacing w:val="-4"/>
            <w:position w:val="5"/>
            <w:sz w:val="14"/>
            <w:u w:val="single" w:color="005DA1"/>
          </w:rPr>
          <w:t>212</w:t>
        </w:r>
      </w:hyperlink>
      <w:r>
        <w:rPr>
          <w:spacing w:val="-4"/>
          <w:position w:val="5"/>
          <w:sz w:val="14"/>
        </w:rPr>
        <w:t>.</w:t>
      </w:r>
      <w:r>
        <w:rPr>
          <w:position w:val="5"/>
          <w:sz w:val="14"/>
        </w:rPr>
        <w:tab/>
      </w:r>
      <w:r>
        <w:rPr>
          <w:rFonts w:ascii="Arial"/>
          <w:i/>
          <w:sz w:val="20"/>
        </w:rPr>
        <w:t>Leigh &amp;</w:t>
      </w:r>
      <w:r>
        <w:rPr>
          <w:rFonts w:ascii="Arial"/>
          <w:i/>
          <w:spacing w:val="3"/>
          <w:sz w:val="20"/>
        </w:rPr>
        <w:t> </w:t>
      </w:r>
      <w:r>
        <w:rPr>
          <w:rFonts w:ascii="Arial"/>
          <w:i/>
          <w:sz w:val="20"/>
        </w:rPr>
        <w:t>Sillavan</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Aliakmon</w:t>
      </w:r>
      <w:r>
        <w:rPr>
          <w:rFonts w:ascii="Arial"/>
          <w:i/>
          <w:spacing w:val="3"/>
          <w:sz w:val="20"/>
        </w:rPr>
        <w:t> </w:t>
      </w:r>
      <w:r>
        <w:rPr>
          <w:rFonts w:ascii="Arial"/>
          <w:i/>
          <w:sz w:val="20"/>
        </w:rPr>
        <w:t>Shipping</w:t>
      </w:r>
      <w:r>
        <w:rPr>
          <w:rFonts w:ascii="Arial"/>
          <w:i/>
          <w:spacing w:val="3"/>
          <w:sz w:val="20"/>
        </w:rPr>
        <w:t> </w:t>
      </w:r>
      <w:r>
        <w:rPr>
          <w:rFonts w:ascii="Arial"/>
          <w:i/>
          <w:sz w:val="20"/>
        </w:rPr>
        <w:t>Co</w:t>
      </w:r>
      <w:r>
        <w:rPr>
          <w:rFonts w:ascii="Arial"/>
          <w:i/>
          <w:spacing w:val="2"/>
          <w:sz w:val="20"/>
        </w:rPr>
        <w:t> </w:t>
      </w:r>
      <w:r>
        <w:rPr>
          <w:rFonts w:ascii="Arial"/>
          <w:i/>
          <w:sz w:val="20"/>
        </w:rPr>
        <w:t>Ltd</w:t>
      </w:r>
      <w:r>
        <w:rPr>
          <w:rFonts w:ascii="Arial"/>
          <w:i/>
          <w:spacing w:val="3"/>
          <w:sz w:val="20"/>
        </w:rPr>
        <w:t> </w:t>
      </w:r>
      <w:r>
        <w:rPr>
          <w:rFonts w:ascii="Arial"/>
          <w:i/>
          <w:sz w:val="20"/>
        </w:rPr>
        <w:t>(The</w:t>
      </w:r>
      <w:r>
        <w:rPr>
          <w:rFonts w:ascii="Arial"/>
          <w:i/>
          <w:spacing w:val="3"/>
          <w:sz w:val="20"/>
        </w:rPr>
        <w:t> </w:t>
      </w:r>
      <w:r>
        <w:rPr>
          <w:rFonts w:ascii="Arial"/>
          <w:i/>
          <w:sz w:val="20"/>
        </w:rPr>
        <w:t>Aliakmon)</w:t>
      </w:r>
      <w:r>
        <w:rPr>
          <w:rFonts w:ascii="Arial"/>
          <w:i/>
          <w:spacing w:val="3"/>
          <w:sz w:val="20"/>
        </w:rPr>
        <w:t> </w:t>
      </w:r>
      <w:r>
        <w:rPr>
          <w:rFonts w:ascii="Arial"/>
          <w:i/>
          <w:sz w:val="20"/>
        </w:rPr>
        <w:t>[1986]</w:t>
      </w:r>
      <w:r>
        <w:rPr>
          <w:rFonts w:ascii="Arial"/>
          <w:i/>
          <w:spacing w:val="3"/>
          <w:sz w:val="20"/>
        </w:rPr>
        <w:t> </w:t>
      </w:r>
      <w:r>
        <w:rPr>
          <w:rFonts w:ascii="Arial"/>
          <w:i/>
          <w:sz w:val="20"/>
        </w:rPr>
        <w:t>A.C.</w:t>
      </w:r>
      <w:r>
        <w:rPr>
          <w:rFonts w:ascii="Arial"/>
          <w:i/>
          <w:spacing w:val="3"/>
          <w:sz w:val="20"/>
        </w:rPr>
        <w:t> </w:t>
      </w:r>
      <w:r>
        <w:rPr>
          <w:rFonts w:ascii="Arial"/>
          <w:i/>
          <w:sz w:val="20"/>
        </w:rPr>
        <w:t>785</w:t>
      </w:r>
      <w:r>
        <w:rPr>
          <w:sz w:val="20"/>
        </w:rPr>
        <w:t>;</w:t>
      </w:r>
      <w:r>
        <w:rPr>
          <w:spacing w:val="3"/>
          <w:sz w:val="20"/>
        </w:rPr>
        <w:t> </w:t>
      </w:r>
      <w:r>
        <w:rPr>
          <w:sz w:val="20"/>
        </w:rPr>
        <w:t>Treitel</w:t>
      </w:r>
      <w:r>
        <w:rPr>
          <w:spacing w:val="3"/>
          <w:sz w:val="20"/>
        </w:rPr>
        <w:t> </w:t>
      </w:r>
      <w:r>
        <w:rPr>
          <w:spacing w:val="-2"/>
          <w:sz w:val="20"/>
        </w:rPr>
        <w:t>[1986]</w:t>
      </w:r>
    </w:p>
    <w:p>
      <w:pPr>
        <w:pStyle w:val="BodyText"/>
        <w:spacing w:line="225" w:lineRule="exact"/>
        <w:ind w:left="705"/>
      </w:pPr>
      <w:r>
        <w:rPr/>
        <w:t>L.M.C.L.Q.</w:t>
      </w:r>
      <w:r>
        <w:rPr>
          <w:spacing w:val="21"/>
        </w:rPr>
        <w:t> </w:t>
      </w:r>
      <w:r>
        <w:rPr/>
        <w:t>294;</w:t>
      </w:r>
      <w:r>
        <w:rPr>
          <w:spacing w:val="21"/>
        </w:rPr>
        <w:t> </w:t>
      </w:r>
      <w:r>
        <w:rPr/>
        <w:t>Markesinis</w:t>
      </w:r>
      <w:r>
        <w:rPr>
          <w:spacing w:val="21"/>
        </w:rPr>
        <w:t> </w:t>
      </w:r>
      <w:r>
        <w:rPr/>
        <w:t>(1987)</w:t>
      </w:r>
      <w:r>
        <w:rPr>
          <w:spacing w:val="21"/>
        </w:rPr>
        <w:t> </w:t>
      </w:r>
      <w:r>
        <w:rPr/>
        <w:t>103</w:t>
      </w:r>
      <w:r>
        <w:rPr>
          <w:spacing w:val="21"/>
        </w:rPr>
        <w:t> </w:t>
      </w:r>
      <w:r>
        <w:rPr/>
        <w:t>L.Q.R.</w:t>
      </w:r>
      <w:r>
        <w:rPr>
          <w:spacing w:val="21"/>
        </w:rPr>
        <w:t> </w:t>
      </w:r>
      <w:r>
        <w:rPr/>
        <w:t>354,</w:t>
      </w:r>
      <w:r>
        <w:rPr>
          <w:spacing w:val="21"/>
        </w:rPr>
        <w:t> </w:t>
      </w:r>
      <w:r>
        <w:rPr/>
        <w:t>384–390;</w:t>
      </w:r>
      <w:r>
        <w:rPr>
          <w:spacing w:val="21"/>
        </w:rPr>
        <w:t> </w:t>
      </w:r>
      <w:r>
        <w:rPr/>
        <w:t>Tettenborn</w:t>
      </w:r>
      <w:r>
        <w:rPr>
          <w:spacing w:val="21"/>
        </w:rPr>
        <w:t> </w:t>
      </w:r>
      <w:r>
        <w:rPr/>
        <w:t>[1987]</w:t>
      </w:r>
      <w:r>
        <w:rPr>
          <w:spacing w:val="21"/>
        </w:rPr>
        <w:t> </w:t>
      </w:r>
      <w:r>
        <w:rPr/>
        <w:t>J.B.L.</w:t>
      </w:r>
      <w:r>
        <w:rPr>
          <w:spacing w:val="21"/>
        </w:rPr>
        <w:t> </w:t>
      </w:r>
      <w:r>
        <w:rPr/>
        <w:t>12;</w:t>
      </w:r>
      <w:r>
        <w:rPr>
          <w:spacing w:val="21"/>
        </w:rPr>
        <w:t> </w:t>
      </w:r>
      <w:r>
        <w:rPr>
          <w:spacing w:val="-5"/>
        </w:rPr>
        <w:t>cf.</w:t>
      </w:r>
    </w:p>
    <w:p>
      <w:pPr>
        <w:spacing w:line="235" w:lineRule="auto" w:before="1"/>
        <w:ind w:left="705" w:right="167" w:firstLine="0"/>
        <w:jc w:val="both"/>
        <w:rPr>
          <w:sz w:val="20"/>
        </w:rPr>
      </w:pPr>
      <w:r>
        <w:rPr>
          <w:rFonts w:ascii="Arial" w:hAnsi="Arial"/>
          <w:i/>
          <w:sz w:val="20"/>
        </w:rPr>
        <w:t>Transcontainer</w:t>
      </w:r>
      <w:r>
        <w:rPr>
          <w:rFonts w:ascii="Arial" w:hAnsi="Arial"/>
          <w:i/>
          <w:spacing w:val="-2"/>
          <w:sz w:val="20"/>
        </w:rPr>
        <w:t> </w:t>
      </w:r>
      <w:r>
        <w:rPr>
          <w:rFonts w:ascii="Arial" w:hAnsi="Arial"/>
          <w:i/>
          <w:sz w:val="20"/>
        </w:rPr>
        <w:t>Express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Custodian</w:t>
      </w:r>
      <w:r>
        <w:rPr>
          <w:rFonts w:ascii="Arial" w:hAnsi="Arial"/>
          <w:i/>
          <w:spacing w:val="-2"/>
          <w:sz w:val="20"/>
        </w:rPr>
        <w:t> </w:t>
      </w:r>
      <w:r>
        <w:rPr>
          <w:rFonts w:ascii="Arial" w:hAnsi="Arial"/>
          <w:i/>
          <w:sz w:val="20"/>
        </w:rPr>
        <w:t>Security</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128</w:t>
      </w:r>
      <w:r>
        <w:rPr>
          <w:sz w:val="20"/>
        </w:rPr>
        <w:t>;</w:t>
      </w:r>
      <w:r>
        <w:rPr>
          <w:spacing w:val="-1"/>
          <w:sz w:val="20"/>
        </w:rPr>
        <w:t> </w:t>
      </w:r>
      <w:r>
        <w:rPr>
          <w:rFonts w:ascii="Arial" w:hAnsi="Arial"/>
          <w:i/>
          <w:sz w:val="20"/>
        </w:rPr>
        <w:t>Mitsui</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 v Flota Mercante Grancolombiana SA (The Ciudad de Pasto) [1988] 1 W.L.R. 1145</w:t>
      </w:r>
      <w:r>
        <w:rPr>
          <w:sz w:val="20"/>
        </w:rPr>
        <w:t>; </w:t>
      </w:r>
      <w:r>
        <w:rPr>
          <w:rFonts w:ascii="Arial" w:hAnsi="Arial"/>
          <w:i/>
          <w:sz w:val="20"/>
        </w:rPr>
        <w:t>Anonima Petroli Italiana S.p.A. v Marlucidez Armadora SA (The Filiatra Legacy) [1991] 2 Lloyd’s Rep.</w:t>
      </w:r>
      <w:r>
        <w:rPr>
          <w:rFonts w:ascii="Arial" w:hAnsi="Arial"/>
          <w:i/>
          <w:spacing w:val="40"/>
          <w:sz w:val="20"/>
        </w:rPr>
        <w:t> </w:t>
      </w:r>
      <w:r>
        <w:rPr>
          <w:rFonts w:ascii="Arial" w:hAnsi="Arial"/>
          <w:i/>
          <w:sz w:val="20"/>
        </w:rPr>
        <w:t>337 </w:t>
      </w:r>
      <w:r>
        <w:rPr>
          <w:sz w:val="20"/>
        </w:rPr>
        <w:t>at 339; </w:t>
      </w:r>
      <w:r>
        <w:rPr>
          <w:rFonts w:ascii="Arial" w:hAnsi="Arial"/>
          <w:i/>
          <w:sz w:val="20"/>
        </w:rPr>
        <w:t>Mitsui &amp; Co v. Novorossiysk Shipping Co (The Gudermes) [1993] 1 Lloyd’s Rep. 311 </w:t>
      </w:r>
      <w:r>
        <w:rPr>
          <w:sz w:val="20"/>
        </w:rPr>
        <w:t>at 326; </w:t>
      </w:r>
      <w:r>
        <w:rPr>
          <w:rFonts w:ascii="Arial" w:hAnsi="Arial"/>
          <w:i/>
          <w:sz w:val="20"/>
        </w:rPr>
        <w:t>The Hamburg Star [1994] 1 Lloyd’s Rep. 399 </w:t>
      </w:r>
      <w:r>
        <w:rPr>
          <w:sz w:val="20"/>
        </w:rPr>
        <w:t>at 404–405; </w:t>
      </w:r>
      <w:r>
        <w:rPr>
          <w:rFonts w:ascii="Arial" w:hAnsi="Arial"/>
          <w:i/>
          <w:sz w:val="20"/>
        </w:rPr>
        <w:t>The Seven Pioneer</w:t>
      </w:r>
      <w:r>
        <w:rPr>
          <w:rFonts w:ascii="Arial" w:hAnsi="Arial"/>
          <w:i/>
          <w:spacing w:val="40"/>
          <w:sz w:val="20"/>
        </w:rPr>
        <w:t> </w:t>
      </w:r>
      <w:r>
        <w:rPr>
          <w:rFonts w:ascii="Arial" w:hAnsi="Arial"/>
          <w:i/>
          <w:sz w:val="20"/>
        </w:rPr>
        <w:t>[2001] 2 Lloyd’s Rep. 57 </w:t>
      </w:r>
      <w:r>
        <w:rPr>
          <w:sz w:val="20"/>
        </w:rPr>
        <w:t>(High Court of New Zealand). For a possible qualification, see </w:t>
      </w:r>
      <w:r>
        <w:rPr>
          <w:rFonts w:ascii="Arial" w:hAnsi="Arial"/>
          <w:i/>
          <w:sz w:val="20"/>
        </w:rPr>
        <w:t>Virgo Steamship Co SA v Skaarup Shipping Corp. (The Kapetan Georgis) [1988] 1 Lloyd’s Rep. 352</w:t>
      </w:r>
      <w:r>
        <w:rPr>
          <w:sz w:val="20"/>
        </w:rPr>
        <w:t>.</w:t>
      </w:r>
    </w:p>
    <w:p>
      <w:pPr>
        <w:pStyle w:val="BodyText"/>
        <w:spacing w:before="8"/>
      </w:pPr>
    </w:p>
    <w:p>
      <w:pPr>
        <w:pStyle w:val="BodyText"/>
        <w:spacing w:line="235" w:lineRule="auto"/>
        <w:ind w:left="705" w:right="167" w:hanging="541"/>
        <w:jc w:val="both"/>
      </w:pPr>
      <w:bookmarkStart w:name="_bookmark460" w:id="462"/>
      <w:bookmarkEnd w:id="462"/>
      <w:r>
        <w:rPr/>
      </w:r>
      <w:hyperlink w:history="true" w:anchor="_bookmark331">
        <w:r>
          <w:rPr>
            <w:color w:val="005DA1"/>
            <w:position w:val="5"/>
            <w:sz w:val="14"/>
            <w:u w:val="single" w:color="005DA1"/>
          </w:rPr>
          <w:t>213</w:t>
        </w:r>
      </w:hyperlink>
      <w:r>
        <w:rPr>
          <w:position w:val="5"/>
          <w:sz w:val="14"/>
        </w:rPr>
        <w:t>.</w:t>
      </w:r>
      <w:r>
        <w:rPr>
          <w:spacing w:val="80"/>
          <w:position w:val="5"/>
          <w:sz w:val="14"/>
        </w:rPr>
        <w:t>  </w:t>
      </w:r>
      <w:r>
        <w:rPr/>
        <w:t>The benefit of the contract of carriage had not been transferred to C under Bills of Lading Act 1855, s.1 as the property in the goods had not passed to him. On the facts of </w:t>
      </w:r>
      <w:r>
        <w:rPr>
          <w:rFonts w:ascii="Arial"/>
          <w:i/>
        </w:rPr>
        <w:t>The Aliakmon </w:t>
      </w:r>
      <w:r>
        <w:rPr/>
        <w:t>rights under the contract of carriage would now be transferred to C by virtue of the Carriage of Goods by Sea Act 1992, s.2: see </w:t>
      </w:r>
      <w:r>
        <w:rPr>
          <w:rFonts w:ascii="Arial"/>
          <w:i/>
        </w:rPr>
        <w:t>White v Jones [1995] 2 A.C. 207, 265</w:t>
      </w:r>
      <w:r>
        <w:rPr/>
        <w:t>. But cases can still </w:t>
      </w:r>
      <w:r>
        <w:rPr/>
        <w:t>be imagined where this would not be the case: see Carver on Bills of Lading, 3rd ed. (2011)</w:t>
      </w:r>
      <w:r>
        <w:rPr>
          <w:spacing w:val="40"/>
        </w:rPr>
        <w:t> </w:t>
      </w:r>
      <w:r>
        <w:rPr>
          <w:spacing w:val="-2"/>
        </w:rPr>
        <w:t>para.5-108.</w:t>
      </w:r>
    </w:p>
    <w:p>
      <w:pPr>
        <w:pStyle w:val="BodyText"/>
        <w:spacing w:before="7"/>
      </w:pPr>
    </w:p>
    <w:p>
      <w:pPr>
        <w:tabs>
          <w:tab w:pos="705" w:val="left" w:leader="none"/>
        </w:tabs>
        <w:spacing w:line="235" w:lineRule="auto" w:before="1"/>
        <w:ind w:left="705" w:right="168" w:hanging="541"/>
        <w:jc w:val="left"/>
        <w:rPr>
          <w:sz w:val="20"/>
        </w:rPr>
      </w:pPr>
      <w:bookmarkStart w:name="_bookmark461" w:id="463"/>
      <w:bookmarkEnd w:id="463"/>
      <w:r>
        <w:rPr/>
      </w:r>
      <w:hyperlink w:history="true" w:anchor="_bookmark332">
        <w:r>
          <w:rPr>
            <w:color w:val="005DA1"/>
            <w:spacing w:val="-4"/>
            <w:position w:val="5"/>
            <w:sz w:val="14"/>
            <w:u w:val="single" w:color="005DA1"/>
          </w:rPr>
          <w:t>214</w:t>
        </w:r>
      </w:hyperlink>
      <w:r>
        <w:rPr>
          <w:spacing w:val="-4"/>
          <w:position w:val="5"/>
          <w:sz w:val="14"/>
        </w:rPr>
        <w:t>.</w:t>
      </w:r>
      <w:r>
        <w:rPr>
          <w:position w:val="5"/>
          <w:sz w:val="14"/>
        </w:rPr>
        <w:tab/>
      </w:r>
      <w:r>
        <w:rPr>
          <w:sz w:val="20"/>
        </w:rPr>
        <w:t>Stretching</w:t>
      </w:r>
      <w:r>
        <w:rPr>
          <w:spacing w:val="40"/>
          <w:sz w:val="20"/>
        </w:rPr>
        <w:t> </w:t>
      </w:r>
      <w:r>
        <w:rPr>
          <w:sz w:val="20"/>
        </w:rPr>
        <w:t>from</w:t>
      </w:r>
      <w:r>
        <w:rPr>
          <w:spacing w:val="40"/>
          <w:sz w:val="20"/>
        </w:rPr>
        <w:t> </w:t>
      </w:r>
      <w:r>
        <w:rPr>
          <w:rFonts w:ascii="Arial"/>
          <w:i/>
          <w:sz w:val="20"/>
        </w:rPr>
        <w:t>Cattle</w:t>
      </w:r>
      <w:r>
        <w:rPr>
          <w:rFonts w:ascii="Arial"/>
          <w:i/>
          <w:spacing w:val="40"/>
          <w:sz w:val="20"/>
        </w:rPr>
        <w:t> </w:t>
      </w:r>
      <w:r>
        <w:rPr>
          <w:rFonts w:ascii="Arial"/>
          <w:i/>
          <w:sz w:val="20"/>
        </w:rPr>
        <w:t>v</w:t>
      </w:r>
      <w:r>
        <w:rPr>
          <w:rFonts w:ascii="Arial"/>
          <w:i/>
          <w:spacing w:val="40"/>
          <w:sz w:val="20"/>
        </w:rPr>
        <w:t> </w:t>
      </w:r>
      <w:r>
        <w:rPr>
          <w:rFonts w:ascii="Arial"/>
          <w:i/>
          <w:sz w:val="20"/>
        </w:rPr>
        <w:t>Stockton</w:t>
      </w:r>
      <w:r>
        <w:rPr>
          <w:rFonts w:ascii="Arial"/>
          <w:i/>
          <w:spacing w:val="40"/>
          <w:sz w:val="20"/>
        </w:rPr>
        <w:t> </w:t>
      </w:r>
      <w:r>
        <w:rPr>
          <w:rFonts w:ascii="Arial"/>
          <w:i/>
          <w:sz w:val="20"/>
        </w:rPr>
        <w:t>Waterworks</w:t>
      </w:r>
      <w:r>
        <w:rPr>
          <w:rFonts w:ascii="Arial"/>
          <w:i/>
          <w:spacing w:val="40"/>
          <w:sz w:val="20"/>
        </w:rPr>
        <w:t> </w:t>
      </w:r>
      <w:r>
        <w:rPr>
          <w:rFonts w:ascii="Arial"/>
          <w:i/>
          <w:sz w:val="20"/>
        </w:rPr>
        <w:t>Co</w:t>
      </w:r>
      <w:r>
        <w:rPr>
          <w:rFonts w:ascii="Arial"/>
          <w:i/>
          <w:spacing w:val="40"/>
          <w:sz w:val="20"/>
        </w:rPr>
        <w:t> </w:t>
      </w:r>
      <w:r>
        <w:rPr>
          <w:rFonts w:ascii="Arial"/>
          <w:i/>
          <w:sz w:val="20"/>
        </w:rPr>
        <w:t>(1875)</w:t>
      </w:r>
      <w:r>
        <w:rPr>
          <w:rFonts w:ascii="Arial"/>
          <w:i/>
          <w:spacing w:val="40"/>
          <w:sz w:val="20"/>
        </w:rPr>
        <w:t> </w:t>
      </w:r>
      <w:r>
        <w:rPr>
          <w:rFonts w:ascii="Arial"/>
          <w:i/>
          <w:sz w:val="20"/>
        </w:rPr>
        <w:t>L.R.</w:t>
      </w:r>
      <w:r>
        <w:rPr>
          <w:rFonts w:ascii="Arial"/>
          <w:i/>
          <w:spacing w:val="40"/>
          <w:sz w:val="20"/>
        </w:rPr>
        <w:t> </w:t>
      </w:r>
      <w:r>
        <w:rPr>
          <w:rFonts w:ascii="Arial"/>
          <w:i/>
          <w:sz w:val="20"/>
        </w:rPr>
        <w:t>10</w:t>
      </w:r>
      <w:r>
        <w:rPr>
          <w:rFonts w:ascii="Arial"/>
          <w:i/>
          <w:spacing w:val="40"/>
          <w:sz w:val="20"/>
        </w:rPr>
        <w:t> </w:t>
      </w:r>
      <w:r>
        <w:rPr>
          <w:rFonts w:ascii="Arial"/>
          <w:i/>
          <w:sz w:val="20"/>
        </w:rPr>
        <w:t>Q.B.</w:t>
      </w:r>
      <w:r>
        <w:rPr>
          <w:rFonts w:ascii="Arial"/>
          <w:i/>
          <w:spacing w:val="40"/>
          <w:sz w:val="20"/>
        </w:rPr>
        <w:t> </w:t>
      </w:r>
      <w:r>
        <w:rPr>
          <w:rFonts w:ascii="Arial"/>
          <w:i/>
          <w:sz w:val="20"/>
        </w:rPr>
        <w:t>453</w:t>
      </w:r>
      <w:r>
        <w:rPr>
          <w:rFonts w:ascii="Arial"/>
          <w:i/>
          <w:spacing w:val="40"/>
          <w:sz w:val="20"/>
        </w:rPr>
        <w:t> </w:t>
      </w:r>
      <w:r>
        <w:rPr>
          <w:sz w:val="20"/>
        </w:rPr>
        <w:t>to</w:t>
      </w:r>
      <w:r>
        <w:rPr>
          <w:spacing w:val="40"/>
          <w:sz w:val="20"/>
        </w:rPr>
        <w:t> </w:t>
      </w:r>
      <w:r>
        <w:rPr>
          <w:rFonts w:ascii="Arial"/>
          <w:i/>
          <w:sz w:val="20"/>
        </w:rPr>
        <w:t>Candlewood Navigation Corp. v Mitsui O.S.K. Lines (The Mineral Transporter) [1986] A.C.1</w:t>
      </w:r>
      <w:r>
        <w:rPr>
          <w:sz w:val="20"/>
        </w:rPr>
        <w:t>.</w:t>
      </w:r>
    </w:p>
    <w:p>
      <w:pPr>
        <w:pStyle w:val="BodyText"/>
        <w:spacing w:before="9"/>
      </w:pPr>
    </w:p>
    <w:p>
      <w:pPr>
        <w:spacing w:line="235" w:lineRule="auto" w:before="0"/>
        <w:ind w:left="705" w:right="167" w:hanging="541"/>
        <w:jc w:val="both"/>
        <w:rPr>
          <w:rFonts w:ascii="Arial" w:hAnsi="Arial"/>
          <w:i/>
          <w:sz w:val="20"/>
        </w:rPr>
      </w:pPr>
      <w:bookmarkStart w:name="_bookmark462" w:id="464"/>
      <w:bookmarkEnd w:id="464"/>
      <w:r>
        <w:rPr/>
      </w:r>
      <w:hyperlink w:history="true" w:anchor="_bookmark333">
        <w:r>
          <w:rPr>
            <w:color w:val="005DA1"/>
            <w:position w:val="5"/>
            <w:sz w:val="14"/>
            <w:u w:val="single" w:color="005DA1"/>
          </w:rPr>
          <w:t>215</w:t>
        </w:r>
      </w:hyperlink>
      <w:r>
        <w:rPr>
          <w:position w:val="5"/>
          <w:sz w:val="14"/>
        </w:rPr>
        <w:t>.</w:t>
      </w:r>
      <w:r>
        <w:rPr>
          <w:spacing w:val="80"/>
          <w:position w:val="5"/>
          <w:sz w:val="14"/>
        </w:rPr>
        <w:t>  </w:t>
      </w:r>
      <w:r>
        <w:rPr>
          <w:sz w:val="20"/>
        </w:rPr>
        <w:t>A bailor of goods has been held to have a sufficient possessory title even after the transfer </w:t>
      </w:r>
      <w:r>
        <w:rPr>
          <w:sz w:val="20"/>
        </w:rPr>
        <w:t>by him of his contractual rights under the contract giving rise to the bailment: </w:t>
      </w:r>
      <w:r>
        <w:rPr>
          <w:rFonts w:ascii="Arial" w:hAnsi="Arial"/>
          <w:i/>
          <w:sz w:val="20"/>
        </w:rPr>
        <w:t>East West Corp. v DKBS</w:t>
      </w:r>
      <w:r>
        <w:rPr>
          <w:rFonts w:ascii="Arial" w:hAnsi="Arial"/>
          <w:i/>
          <w:spacing w:val="16"/>
          <w:sz w:val="20"/>
        </w:rPr>
        <w:t> </w:t>
      </w:r>
      <w:r>
        <w:rPr>
          <w:rFonts w:ascii="Arial" w:hAnsi="Arial"/>
          <w:i/>
          <w:sz w:val="20"/>
        </w:rPr>
        <w:t>1912</w:t>
      </w:r>
      <w:r>
        <w:rPr>
          <w:rFonts w:ascii="Arial" w:hAnsi="Arial"/>
          <w:i/>
          <w:spacing w:val="16"/>
          <w:sz w:val="20"/>
        </w:rPr>
        <w:t> </w:t>
      </w:r>
      <w:r>
        <w:rPr>
          <w:rFonts w:ascii="Arial" w:hAnsi="Arial"/>
          <w:i/>
          <w:sz w:val="20"/>
        </w:rPr>
        <w:t>[2003]</w:t>
      </w:r>
      <w:r>
        <w:rPr>
          <w:rFonts w:ascii="Arial" w:hAnsi="Arial"/>
          <w:i/>
          <w:spacing w:val="16"/>
          <w:sz w:val="20"/>
        </w:rPr>
        <w:t> </w:t>
      </w:r>
      <w:r>
        <w:rPr>
          <w:rFonts w:ascii="Arial" w:hAnsi="Arial"/>
          <w:i/>
          <w:sz w:val="20"/>
        </w:rPr>
        <w:t>EWCA</w:t>
      </w:r>
      <w:r>
        <w:rPr>
          <w:rFonts w:ascii="Arial" w:hAnsi="Arial"/>
          <w:i/>
          <w:spacing w:val="16"/>
          <w:sz w:val="20"/>
        </w:rPr>
        <w:t> </w:t>
      </w:r>
      <w:r>
        <w:rPr>
          <w:rFonts w:ascii="Arial" w:hAnsi="Arial"/>
          <w:i/>
          <w:sz w:val="20"/>
        </w:rPr>
        <w:t>Civ</w:t>
      </w:r>
      <w:r>
        <w:rPr>
          <w:rFonts w:ascii="Arial" w:hAnsi="Arial"/>
          <w:i/>
          <w:spacing w:val="16"/>
          <w:sz w:val="20"/>
        </w:rPr>
        <w:t> </w:t>
      </w:r>
      <w:r>
        <w:rPr>
          <w:rFonts w:ascii="Arial" w:hAnsi="Arial"/>
          <w:i/>
          <w:sz w:val="20"/>
        </w:rPr>
        <w:t>83;</w:t>
      </w:r>
      <w:r>
        <w:rPr>
          <w:rFonts w:ascii="Arial" w:hAnsi="Arial"/>
          <w:i/>
          <w:spacing w:val="16"/>
          <w:sz w:val="20"/>
        </w:rPr>
        <w:t> </w:t>
      </w:r>
      <w:r>
        <w:rPr>
          <w:rFonts w:ascii="Arial" w:hAnsi="Arial"/>
          <w:i/>
          <w:sz w:val="20"/>
        </w:rPr>
        <w:t>[2003]</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Lloyd’s</w:t>
      </w:r>
      <w:r>
        <w:rPr>
          <w:rFonts w:ascii="Arial" w:hAnsi="Arial"/>
          <w:i/>
          <w:spacing w:val="16"/>
          <w:sz w:val="20"/>
        </w:rPr>
        <w:t> </w:t>
      </w:r>
      <w:r>
        <w:rPr>
          <w:rFonts w:ascii="Arial" w:hAnsi="Arial"/>
          <w:i/>
          <w:sz w:val="20"/>
        </w:rPr>
        <w:t>Rep</w:t>
      </w:r>
      <w:r>
        <w:rPr>
          <w:rFonts w:ascii="Arial" w:hAnsi="Arial"/>
          <w:i/>
          <w:spacing w:val="16"/>
          <w:sz w:val="20"/>
        </w:rPr>
        <w:t> </w:t>
      </w:r>
      <w:r>
        <w:rPr>
          <w:rFonts w:ascii="Arial" w:hAnsi="Arial"/>
          <w:i/>
          <w:sz w:val="20"/>
        </w:rPr>
        <w:t>265</w:t>
      </w:r>
      <w:r>
        <w:rPr>
          <w:rFonts w:ascii="Arial" w:hAnsi="Arial"/>
          <w:i/>
          <w:spacing w:val="15"/>
          <w:sz w:val="20"/>
        </w:rPr>
        <w:t> </w:t>
      </w:r>
      <w:r>
        <w:rPr>
          <w:sz w:val="20"/>
        </w:rPr>
        <w:t>at</w:t>
      </w:r>
      <w:r>
        <w:rPr>
          <w:spacing w:val="16"/>
          <w:sz w:val="20"/>
        </w:rPr>
        <w:t> </w:t>
      </w:r>
      <w:r>
        <w:rPr>
          <w:sz w:val="20"/>
        </w:rPr>
        <w:t>[38]–[39],</w:t>
      </w:r>
      <w:r>
        <w:rPr>
          <w:spacing w:val="16"/>
          <w:sz w:val="20"/>
        </w:rPr>
        <w:t> </w:t>
      </w:r>
      <w:r>
        <w:rPr>
          <w:sz w:val="20"/>
        </w:rPr>
        <w:t>[49],</w:t>
      </w:r>
      <w:r>
        <w:rPr>
          <w:spacing w:val="16"/>
          <w:sz w:val="20"/>
        </w:rPr>
        <w:t> </w:t>
      </w:r>
      <w:r>
        <w:rPr>
          <w:sz w:val="20"/>
        </w:rPr>
        <w:t>[86];</w:t>
      </w:r>
      <w:r>
        <w:rPr>
          <w:spacing w:val="16"/>
          <w:sz w:val="20"/>
        </w:rPr>
        <w:t> </w:t>
      </w:r>
      <w:r>
        <w:rPr>
          <w:rFonts w:ascii="Arial" w:hAnsi="Arial"/>
          <w:i/>
          <w:sz w:val="20"/>
        </w:rPr>
        <w:t>Scottish</w:t>
      </w:r>
      <w:r>
        <w:rPr>
          <w:rFonts w:ascii="Arial" w:hAnsi="Arial"/>
          <w:i/>
          <w:spacing w:val="16"/>
          <w:sz w:val="20"/>
        </w:rPr>
        <w:t> </w:t>
      </w:r>
      <w:r>
        <w:rPr>
          <w:rFonts w:ascii="Arial" w:hAnsi="Arial"/>
          <w:i/>
          <w:spacing w:val="-10"/>
          <w:sz w:val="20"/>
        </w:rPr>
        <w:t>&amp;</w:t>
      </w:r>
    </w:p>
    <w:p>
      <w:pPr>
        <w:spacing w:line="223" w:lineRule="exact" w:before="0"/>
        <w:ind w:left="705" w:right="0" w:firstLine="0"/>
        <w:jc w:val="left"/>
        <w:rPr>
          <w:rFonts w:ascii="Arial" w:hAnsi="Arial"/>
          <w:i/>
          <w:sz w:val="20"/>
        </w:rPr>
      </w:pPr>
      <w:r>
        <w:rPr>
          <w:rFonts w:ascii="Arial" w:hAnsi="Arial"/>
          <w:i/>
          <w:sz w:val="20"/>
        </w:rPr>
        <w:t>Newcastle</w:t>
      </w:r>
      <w:r>
        <w:rPr>
          <w:rFonts w:ascii="Arial" w:hAnsi="Arial"/>
          <w:i/>
          <w:spacing w:val="14"/>
          <w:sz w:val="20"/>
        </w:rPr>
        <w:t> </w:t>
      </w:r>
      <w:r>
        <w:rPr>
          <w:rFonts w:ascii="Arial" w:hAnsi="Arial"/>
          <w:i/>
          <w:sz w:val="20"/>
        </w:rPr>
        <w:t>International</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Othon</w:t>
      </w:r>
      <w:r>
        <w:rPr>
          <w:rFonts w:ascii="Arial" w:hAnsi="Arial"/>
          <w:i/>
          <w:spacing w:val="14"/>
          <w:sz w:val="20"/>
        </w:rPr>
        <w:t> </w:t>
      </w:r>
      <w:r>
        <w:rPr>
          <w:rFonts w:ascii="Arial" w:hAnsi="Arial"/>
          <w:i/>
          <w:sz w:val="20"/>
        </w:rPr>
        <w:t>Ghalanos</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[2008]</w:t>
      </w:r>
      <w:r>
        <w:rPr>
          <w:rFonts w:ascii="Arial" w:hAnsi="Arial"/>
          <w:i/>
          <w:spacing w:val="14"/>
          <w:sz w:val="20"/>
        </w:rPr>
        <w:t> </w:t>
      </w:r>
      <w:r>
        <w:rPr>
          <w:rFonts w:ascii="Arial" w:hAnsi="Arial"/>
          <w:i/>
          <w:sz w:val="20"/>
        </w:rPr>
        <w:t>UKHL</w:t>
      </w:r>
      <w:r>
        <w:rPr>
          <w:rFonts w:ascii="Arial" w:hAnsi="Arial"/>
          <w:i/>
          <w:spacing w:val="14"/>
          <w:sz w:val="20"/>
        </w:rPr>
        <w:t> </w:t>
      </w:r>
      <w:r>
        <w:rPr>
          <w:rFonts w:ascii="Arial" w:hAnsi="Arial"/>
          <w:i/>
          <w:sz w:val="20"/>
        </w:rPr>
        <w:t>11,</w:t>
      </w:r>
      <w:r>
        <w:rPr>
          <w:rFonts w:ascii="Arial" w:hAnsi="Arial"/>
          <w:i/>
          <w:spacing w:val="14"/>
          <w:sz w:val="20"/>
        </w:rPr>
        <w:t> </w:t>
      </w:r>
      <w:r>
        <w:rPr>
          <w:rFonts w:ascii="Arial" w:hAnsi="Arial"/>
          <w:i/>
          <w:sz w:val="20"/>
        </w:rPr>
        <w:t>[2008]</w:t>
      </w:r>
      <w:r>
        <w:rPr>
          <w:rFonts w:ascii="Arial" w:hAnsi="Arial"/>
          <w:i/>
          <w:spacing w:val="14"/>
          <w:sz w:val="20"/>
        </w:rPr>
        <w:t> </w:t>
      </w:r>
      <w:r>
        <w:rPr>
          <w:rFonts w:ascii="Arial" w:hAnsi="Arial"/>
          <w:i/>
          <w:sz w:val="20"/>
        </w:rPr>
        <w:t>1</w:t>
      </w:r>
      <w:r>
        <w:rPr>
          <w:rFonts w:ascii="Arial" w:hAnsi="Arial"/>
          <w:i/>
          <w:spacing w:val="14"/>
          <w:sz w:val="20"/>
        </w:rPr>
        <w:t> </w:t>
      </w:r>
      <w:r>
        <w:rPr>
          <w:rFonts w:ascii="Arial" w:hAnsi="Arial"/>
          <w:i/>
          <w:sz w:val="20"/>
        </w:rPr>
        <w:t>Lloyd’s</w:t>
      </w:r>
      <w:r>
        <w:rPr>
          <w:rFonts w:ascii="Arial" w:hAnsi="Arial"/>
          <w:i/>
          <w:spacing w:val="14"/>
          <w:sz w:val="20"/>
        </w:rPr>
        <w:t> </w:t>
      </w:r>
      <w:r>
        <w:rPr>
          <w:rFonts w:ascii="Arial" w:hAnsi="Arial"/>
          <w:i/>
          <w:sz w:val="20"/>
        </w:rPr>
        <w:t>Rep.</w:t>
      </w:r>
      <w:r>
        <w:rPr>
          <w:rFonts w:ascii="Arial" w:hAnsi="Arial"/>
          <w:i/>
          <w:spacing w:val="14"/>
          <w:sz w:val="20"/>
        </w:rPr>
        <w:t> </w:t>
      </w:r>
      <w:r>
        <w:rPr>
          <w:rFonts w:ascii="Arial" w:hAnsi="Arial"/>
          <w:i/>
          <w:spacing w:val="-5"/>
          <w:sz w:val="20"/>
        </w:rPr>
        <w:t>462</w:t>
      </w:r>
    </w:p>
    <w:p>
      <w:pPr>
        <w:pStyle w:val="BodyText"/>
        <w:spacing w:line="227" w:lineRule="exact"/>
        <w:ind w:left="705"/>
      </w:pPr>
      <w:r>
        <w:rPr/>
        <w:t>at </w:t>
      </w:r>
      <w:r>
        <w:rPr>
          <w:spacing w:val="-2"/>
        </w:rPr>
        <w:t>[46].</w:t>
      </w:r>
    </w:p>
    <w:p>
      <w:pPr>
        <w:pStyle w:val="BodyText"/>
        <w:spacing w:before="5"/>
      </w:pPr>
    </w:p>
    <w:p>
      <w:pPr>
        <w:tabs>
          <w:tab w:pos="705" w:val="left" w:leader="none"/>
        </w:tabs>
        <w:spacing w:before="0"/>
        <w:ind w:left="165" w:right="0" w:firstLine="0"/>
        <w:jc w:val="left"/>
        <w:rPr>
          <w:sz w:val="20"/>
        </w:rPr>
      </w:pPr>
      <w:bookmarkStart w:name="_bookmark463" w:id="465"/>
      <w:bookmarkEnd w:id="465"/>
      <w:r>
        <w:rPr/>
      </w:r>
      <w:hyperlink w:history="true" w:anchor="_bookmark333">
        <w:r>
          <w:rPr>
            <w:color w:val="005DA1"/>
            <w:spacing w:val="-4"/>
            <w:position w:val="5"/>
            <w:sz w:val="14"/>
            <w:u w:val="single" w:color="005DA1"/>
          </w:rPr>
          <w:t>216</w:t>
        </w:r>
      </w:hyperlink>
      <w:r>
        <w:rPr>
          <w:spacing w:val="-4"/>
          <w:position w:val="5"/>
          <w:sz w:val="14"/>
        </w:rPr>
        <w:t>.</w:t>
      </w:r>
      <w:r>
        <w:rPr>
          <w:position w:val="5"/>
          <w:sz w:val="14"/>
        </w:rPr>
        <w:tab/>
      </w:r>
      <w:r>
        <w:rPr>
          <w:rFonts w:ascii="Arial"/>
          <w:i/>
          <w:sz w:val="20"/>
        </w:rPr>
        <w:t>[1986] A.C. 785</w:t>
      </w:r>
      <w:r>
        <w:rPr>
          <w:rFonts w:ascii="Arial"/>
          <w:i/>
          <w:spacing w:val="-1"/>
          <w:sz w:val="20"/>
        </w:rPr>
        <w:t> </w:t>
      </w:r>
      <w:r>
        <w:rPr>
          <w:sz w:val="20"/>
        </w:rPr>
        <w:t>at </w:t>
      </w:r>
      <w:r>
        <w:rPr>
          <w:spacing w:val="-4"/>
          <w:sz w:val="20"/>
        </w:rPr>
        <w:t>809.</w:t>
      </w:r>
    </w:p>
    <w:p>
      <w:pPr>
        <w:pStyle w:val="BodyText"/>
        <w:spacing w:before="8"/>
      </w:pPr>
    </w:p>
    <w:p>
      <w:pPr>
        <w:tabs>
          <w:tab w:pos="705" w:val="left" w:leader="none"/>
        </w:tabs>
        <w:spacing w:line="235" w:lineRule="auto" w:before="1"/>
        <w:ind w:left="705" w:right="168" w:hanging="541"/>
        <w:jc w:val="left"/>
        <w:rPr>
          <w:sz w:val="20"/>
        </w:rPr>
      </w:pPr>
      <w:bookmarkStart w:name="_bookmark464" w:id="466"/>
      <w:bookmarkEnd w:id="466"/>
      <w:r>
        <w:rPr/>
      </w:r>
      <w:hyperlink w:history="true" w:anchor="_bookmark334">
        <w:r>
          <w:rPr>
            <w:color w:val="005DA1"/>
            <w:spacing w:val="-4"/>
            <w:position w:val="5"/>
            <w:sz w:val="14"/>
            <w:u w:val="single" w:color="005DA1"/>
          </w:rPr>
          <w:t>217</w:t>
        </w:r>
      </w:hyperlink>
      <w:r>
        <w:rPr>
          <w:spacing w:val="-4"/>
          <w:position w:val="5"/>
          <w:sz w:val="14"/>
        </w:rPr>
        <w:t>.</w:t>
      </w:r>
      <w:r>
        <w:rPr>
          <w:position w:val="5"/>
          <w:sz w:val="14"/>
        </w:rPr>
        <w:tab/>
      </w:r>
      <w:r>
        <w:rPr>
          <w:rFonts w:ascii="Arial"/>
          <w:i/>
          <w:sz w:val="20"/>
        </w:rPr>
        <w:t>Shell</w:t>
      </w:r>
      <w:r>
        <w:rPr>
          <w:rFonts w:ascii="Arial"/>
          <w:i/>
          <w:spacing w:val="40"/>
          <w:sz w:val="20"/>
        </w:rPr>
        <w:t> </w:t>
      </w:r>
      <w:r>
        <w:rPr>
          <w:rFonts w:ascii="Arial"/>
          <w:i/>
          <w:sz w:val="20"/>
        </w:rPr>
        <w:t>UK</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Total</w:t>
      </w:r>
      <w:r>
        <w:rPr>
          <w:rFonts w:ascii="Arial"/>
          <w:i/>
          <w:spacing w:val="40"/>
          <w:sz w:val="20"/>
        </w:rPr>
        <w:t> </w:t>
      </w:r>
      <w:r>
        <w:rPr>
          <w:rFonts w:ascii="Arial"/>
          <w:i/>
          <w:sz w:val="20"/>
        </w:rPr>
        <w:t>UK</w:t>
      </w:r>
      <w:r>
        <w:rPr>
          <w:rFonts w:ascii="Arial"/>
          <w:i/>
          <w:spacing w:val="40"/>
          <w:sz w:val="20"/>
        </w:rPr>
        <w:t> </w:t>
      </w:r>
      <w:r>
        <w:rPr>
          <w:rFonts w:ascii="Arial"/>
          <w:i/>
          <w:sz w:val="20"/>
        </w:rPr>
        <w:t>Ltd</w:t>
      </w:r>
      <w:r>
        <w:rPr>
          <w:rFonts w:ascii="Arial"/>
          <w:i/>
          <w:spacing w:val="40"/>
          <w:sz w:val="20"/>
        </w:rPr>
        <w:t> </w:t>
      </w:r>
      <w:r>
        <w:rPr>
          <w:rFonts w:ascii="Arial"/>
          <w:i/>
          <w:sz w:val="20"/>
        </w:rPr>
        <w:t>[2010]</w:t>
      </w:r>
      <w:r>
        <w:rPr>
          <w:rFonts w:ascii="Arial"/>
          <w:i/>
          <w:spacing w:val="40"/>
          <w:sz w:val="20"/>
        </w:rPr>
        <w:t> </w:t>
      </w:r>
      <w:r>
        <w:rPr>
          <w:rFonts w:ascii="Arial"/>
          <w:i/>
          <w:sz w:val="20"/>
        </w:rPr>
        <w:t>EWCA</w:t>
      </w:r>
      <w:r>
        <w:rPr>
          <w:rFonts w:ascii="Arial"/>
          <w:i/>
          <w:spacing w:val="40"/>
          <w:sz w:val="20"/>
        </w:rPr>
        <w:t> </w:t>
      </w:r>
      <w:r>
        <w:rPr>
          <w:rFonts w:ascii="Arial"/>
          <w:i/>
          <w:sz w:val="20"/>
        </w:rPr>
        <w:t>Civ</w:t>
      </w:r>
      <w:r>
        <w:rPr>
          <w:rFonts w:ascii="Arial"/>
          <w:i/>
          <w:spacing w:val="40"/>
          <w:sz w:val="20"/>
        </w:rPr>
        <w:t> </w:t>
      </w:r>
      <w:r>
        <w:rPr>
          <w:rFonts w:ascii="Arial"/>
          <w:i/>
          <w:sz w:val="20"/>
        </w:rPr>
        <w:t>180,</w:t>
      </w:r>
      <w:r>
        <w:rPr>
          <w:rFonts w:ascii="Arial"/>
          <w:i/>
          <w:spacing w:val="40"/>
          <w:sz w:val="20"/>
        </w:rPr>
        <w:t> </w:t>
      </w:r>
      <w:r>
        <w:rPr>
          <w:rFonts w:ascii="Arial"/>
          <w:i/>
          <w:sz w:val="20"/>
        </w:rPr>
        <w:t>[2011]</w:t>
      </w:r>
      <w:r>
        <w:rPr>
          <w:rFonts w:ascii="Arial"/>
          <w:i/>
          <w:spacing w:val="40"/>
          <w:sz w:val="20"/>
        </w:rPr>
        <w:t> </w:t>
      </w:r>
      <w:r>
        <w:rPr>
          <w:rFonts w:ascii="Arial"/>
          <w:i/>
          <w:sz w:val="20"/>
        </w:rPr>
        <w:t>1</w:t>
      </w:r>
      <w:r>
        <w:rPr>
          <w:rFonts w:ascii="Arial"/>
          <w:i/>
          <w:spacing w:val="40"/>
          <w:sz w:val="20"/>
        </w:rPr>
        <w:t> </w:t>
      </w:r>
      <w:r>
        <w:rPr>
          <w:rFonts w:ascii="Arial"/>
          <w:i/>
          <w:sz w:val="20"/>
        </w:rPr>
        <w:t>Q.B.</w:t>
      </w:r>
      <w:r>
        <w:rPr>
          <w:rFonts w:ascii="Arial"/>
          <w:i/>
          <w:spacing w:val="40"/>
          <w:sz w:val="20"/>
        </w:rPr>
        <w:t> </w:t>
      </w:r>
      <w:r>
        <w:rPr>
          <w:rFonts w:ascii="Arial"/>
          <w:i/>
          <w:sz w:val="20"/>
        </w:rPr>
        <w:t>86</w:t>
      </w:r>
      <w:r>
        <w:rPr>
          <w:rFonts w:ascii="Arial"/>
          <w:i/>
          <w:spacing w:val="40"/>
          <w:sz w:val="20"/>
        </w:rPr>
        <w:t> </w:t>
      </w:r>
      <w:r>
        <w:rPr>
          <w:sz w:val="20"/>
        </w:rPr>
        <w:t>at</w:t>
      </w:r>
      <w:r>
        <w:rPr>
          <w:spacing w:val="40"/>
          <w:sz w:val="20"/>
        </w:rPr>
        <w:t> </w:t>
      </w:r>
      <w:r>
        <w:rPr>
          <w:sz w:val="20"/>
        </w:rPr>
        <w:t>[119];</w:t>
      </w:r>
      <w:r>
        <w:rPr>
          <w:spacing w:val="40"/>
          <w:sz w:val="20"/>
        </w:rPr>
        <w:t> </w:t>
      </w:r>
      <w:r>
        <w:rPr>
          <w:sz w:val="20"/>
        </w:rPr>
        <w:t>the</w:t>
      </w:r>
      <w:r>
        <w:rPr>
          <w:spacing w:val="40"/>
          <w:sz w:val="20"/>
        </w:rPr>
        <w:t> </w:t>
      </w:r>
      <w:r>
        <w:rPr>
          <w:sz w:val="20"/>
        </w:rPr>
        <w:t>same possibility had been foreshadowed by Lord Brandon in </w:t>
      </w:r>
      <w:r>
        <w:rPr>
          <w:rFonts w:ascii="Arial"/>
          <w:i/>
          <w:sz w:val="20"/>
        </w:rPr>
        <w:t>The Aliakmon</w:t>
      </w:r>
      <w:r>
        <w:rPr>
          <w:sz w:val="20"/>
        </w:rPr>
        <w:t>, above n.210, at 812.</w:t>
      </w:r>
    </w:p>
    <w:p>
      <w:pPr>
        <w:pStyle w:val="BodyText"/>
        <w:spacing w:before="9"/>
      </w:pPr>
    </w:p>
    <w:p>
      <w:pPr>
        <w:spacing w:line="235" w:lineRule="auto" w:before="0"/>
        <w:ind w:left="705" w:right="167" w:hanging="541"/>
        <w:jc w:val="both"/>
        <w:rPr>
          <w:sz w:val="20"/>
        </w:rPr>
      </w:pPr>
      <w:bookmarkStart w:name="_bookmark465" w:id="467"/>
      <w:bookmarkEnd w:id="467"/>
      <w:r>
        <w:rPr/>
      </w:r>
      <w:hyperlink w:history="true" w:anchor="_bookmark335">
        <w:r>
          <w:rPr>
            <w:color w:val="005DA1"/>
            <w:position w:val="5"/>
            <w:sz w:val="14"/>
            <w:u w:val="single" w:color="005DA1"/>
          </w:rPr>
          <w:t>218</w:t>
        </w:r>
      </w:hyperlink>
      <w:r>
        <w:rPr>
          <w:position w:val="5"/>
          <w:sz w:val="14"/>
        </w:rPr>
        <w:t>.</w:t>
      </w:r>
      <w:r>
        <w:rPr>
          <w:spacing w:val="40"/>
          <w:position w:val="5"/>
          <w:sz w:val="14"/>
        </w:rPr>
        <w:t>  </w:t>
      </w:r>
      <w:r>
        <w:rPr>
          <w:rFonts w:ascii="Arial" w:hAnsi="Arial"/>
          <w:i/>
          <w:sz w:val="20"/>
        </w:rPr>
        <w:t>Homburg Houtimport BV v Agrosin Private Ltd (The Starsin) [2001] EWCA Civ 56; [2001] </w:t>
      </w:r>
      <w:r>
        <w:rPr>
          <w:rFonts w:ascii="Arial" w:hAnsi="Arial"/>
          <w:i/>
          <w:sz w:val="20"/>
        </w:rPr>
        <w:t>1 Lloyd’s Rep. 437</w:t>
      </w:r>
      <w:r>
        <w:rPr>
          <w:sz w:val="20"/>
        </w:rPr>
        <w:t>, at [96] per Rix L.J., whose judgment was on this point affirmed on appeal: </w:t>
      </w:r>
      <w:r>
        <w:rPr>
          <w:rFonts w:ascii="Arial" w:hAnsi="Arial"/>
          <w:i/>
          <w:sz w:val="20"/>
        </w:rPr>
        <w:t>[2003] UKHL 12; [2004] 1 A.C. 715 </w:t>
      </w:r>
      <w:r>
        <w:rPr>
          <w:sz w:val="20"/>
        </w:rPr>
        <w:t>at [40], [64], [90], [139].</w:t>
      </w:r>
    </w:p>
    <w:p>
      <w:pPr>
        <w:pStyle w:val="BodyText"/>
        <w:spacing w:before="9"/>
      </w:pPr>
    </w:p>
    <w:p>
      <w:pPr>
        <w:pStyle w:val="BodyText"/>
        <w:spacing w:line="235" w:lineRule="auto"/>
        <w:ind w:left="705" w:right="167" w:hanging="541"/>
        <w:jc w:val="both"/>
      </w:pPr>
      <w:bookmarkStart w:name="_bookmark466" w:id="468"/>
      <w:bookmarkEnd w:id="468"/>
      <w:r>
        <w:rPr/>
      </w:r>
      <w:hyperlink w:history="true" w:anchor="_bookmark336">
        <w:r>
          <w:rPr>
            <w:color w:val="005DA1"/>
            <w:position w:val="5"/>
            <w:sz w:val="14"/>
            <w:u w:val="single" w:color="005DA1"/>
          </w:rPr>
          <w:t>219</w:t>
        </w:r>
      </w:hyperlink>
      <w:r>
        <w:rPr>
          <w:position w:val="5"/>
          <w:sz w:val="14"/>
        </w:rPr>
        <w:t>.</w:t>
      </w:r>
      <w:r>
        <w:rPr>
          <w:spacing w:val="40"/>
          <w:position w:val="5"/>
          <w:sz w:val="14"/>
        </w:rPr>
        <w:t>  </w:t>
      </w:r>
      <w:r>
        <w:rPr>
          <w:rFonts w:ascii="Arial" w:hAnsi="Arial"/>
          <w:i/>
        </w:rPr>
        <w:t>[1986] A.C. 785, 809</w:t>
      </w:r>
      <w:r>
        <w:rPr/>
        <w:t>. Griew, (1986) 136 N.L.J. 1201 suggests that the principle may have </w:t>
      </w:r>
      <w:r>
        <w:rPr/>
        <w:t>been qualified</w:t>
      </w:r>
      <w:r>
        <w:rPr>
          <w:spacing w:val="-2"/>
        </w:rPr>
        <w:t> </w:t>
      </w:r>
      <w:r>
        <w:rPr/>
        <w:t>by</w:t>
      </w:r>
      <w:r>
        <w:rPr>
          <w:spacing w:val="-2"/>
        </w:rPr>
        <w:t> </w:t>
      </w:r>
      <w:r>
        <w:rPr/>
        <w:t>Latent</w:t>
      </w:r>
      <w:r>
        <w:rPr>
          <w:spacing w:val="-2"/>
        </w:rPr>
        <w:t> </w:t>
      </w:r>
      <w:r>
        <w:rPr/>
        <w:t>Damage</w:t>
      </w:r>
      <w:r>
        <w:rPr>
          <w:spacing w:val="-2"/>
        </w:rPr>
        <w:t> </w:t>
      </w:r>
      <w:r>
        <w:rPr/>
        <w:t>Act</w:t>
      </w:r>
      <w:r>
        <w:rPr>
          <w:spacing w:val="-2"/>
        </w:rPr>
        <w:t> </w:t>
      </w:r>
      <w:r>
        <w:rPr/>
        <w:t>1986,</w:t>
      </w:r>
      <w:r>
        <w:rPr>
          <w:spacing w:val="-2"/>
        </w:rPr>
        <w:t> </w:t>
      </w:r>
      <w:r>
        <w:rPr/>
        <w:t>s.3;</w:t>
      </w:r>
      <w:r>
        <w:rPr>
          <w:spacing w:val="-2"/>
        </w:rPr>
        <w:t> </w:t>
      </w:r>
      <w:r>
        <w:rPr/>
        <w:t>but</w:t>
      </w:r>
      <w:r>
        <w:rPr>
          <w:spacing w:val="-2"/>
        </w:rPr>
        <w:t> </w:t>
      </w:r>
      <w:r>
        <w:rPr/>
        <w:t>there</w:t>
      </w:r>
      <w:r>
        <w:rPr>
          <w:spacing w:val="-2"/>
        </w:rPr>
        <w:t> </w:t>
      </w:r>
      <w:r>
        <w:rPr/>
        <w:t>is</w:t>
      </w:r>
      <w:r>
        <w:rPr>
          <w:spacing w:val="-2"/>
        </w:rPr>
        <w:t> </w:t>
      </w:r>
      <w:r>
        <w:rPr/>
        <w:t>no</w:t>
      </w:r>
      <w:r>
        <w:rPr>
          <w:spacing w:val="-2"/>
        </w:rPr>
        <w:t> </w:t>
      </w:r>
      <w:r>
        <w:rPr/>
        <w:t>hint</w:t>
      </w:r>
      <w:r>
        <w:rPr>
          <w:spacing w:val="-2"/>
        </w:rPr>
        <w:t> </w:t>
      </w:r>
      <w:r>
        <w:rPr/>
        <w:t>in</w:t>
      </w:r>
      <w:r>
        <w:rPr>
          <w:spacing w:val="-2"/>
        </w:rPr>
        <w:t> </w:t>
      </w:r>
      <w:r>
        <w:rPr/>
        <w:t>the</w:t>
      </w:r>
      <w:r>
        <w:rPr>
          <w:spacing w:val="-2"/>
        </w:rPr>
        <w:t> </w:t>
      </w:r>
      <w:r>
        <w:rPr/>
        <w:t>legislative</w:t>
      </w:r>
      <w:r>
        <w:rPr>
          <w:spacing w:val="-2"/>
        </w:rPr>
        <w:t> </w:t>
      </w:r>
      <w:r>
        <w:rPr/>
        <w:t>history</w:t>
      </w:r>
      <w:r>
        <w:rPr>
          <w:spacing w:val="-2"/>
        </w:rPr>
        <w:t> </w:t>
      </w:r>
      <w:r>
        <w:rPr/>
        <w:t>of</w:t>
      </w:r>
      <w:r>
        <w:rPr>
          <w:spacing w:val="-2"/>
        </w:rPr>
        <w:t> </w:t>
      </w:r>
      <w:r>
        <w:rPr/>
        <w:t>s.3</w:t>
      </w:r>
      <w:r>
        <w:rPr>
          <w:spacing w:val="-2"/>
        </w:rPr>
        <w:t> </w:t>
      </w:r>
      <w:r>
        <w:rPr/>
        <w:t>that such a qualification was intended. It can, in any event, only apply where the damage was still latent when the claimant became owner; and this was not the position in </w:t>
      </w:r>
      <w:r>
        <w:rPr>
          <w:rFonts w:ascii="Arial" w:hAnsi="Arial"/>
          <w:i/>
        </w:rPr>
        <w:t>The Aliakmon</w:t>
      </w:r>
      <w:r>
        <w:rPr/>
        <w:t>. The point was left open in </w:t>
      </w:r>
      <w:r>
        <w:rPr>
          <w:rFonts w:ascii="Arial" w:hAnsi="Arial"/>
          <w:i/>
        </w:rPr>
        <w:t>The Starsin</w:t>
      </w:r>
      <w:r>
        <w:rPr/>
        <w:t>, above, [2001] EWCA Civ, 56 at [119]–[128], [134], [202], [203], and not discussed in the House of Lords </w:t>
      </w:r>
      <w:r>
        <w:rPr>
          <w:rFonts w:ascii="Arial" w:hAnsi="Arial"/>
          <w:i/>
        </w:rPr>
        <w:t>[2003] UKHL 12</w:t>
      </w:r>
      <w:r>
        <w:rPr/>
        <w:t>, above n.216.</w:t>
      </w:r>
    </w:p>
    <w:p>
      <w:pPr>
        <w:pStyle w:val="BodyText"/>
        <w:spacing w:after="0" w:line="235" w:lineRule="auto"/>
        <w:jc w:val="both"/>
        <w:sectPr>
          <w:pgSz w:w="11900" w:h="16840"/>
          <w:pgMar w:header="971" w:footer="0" w:top="1160" w:bottom="280" w:left="1275" w:right="1275"/>
        </w:sectPr>
      </w:pPr>
    </w:p>
    <w:p>
      <w:pPr>
        <w:pStyle w:val="BodyText"/>
        <w:spacing w:before="84"/>
      </w:pPr>
    </w:p>
    <w:p>
      <w:pPr>
        <w:pStyle w:val="BodyText"/>
        <w:spacing w:line="235" w:lineRule="auto" w:before="1"/>
        <w:ind w:left="705" w:right="167" w:hanging="541"/>
        <w:jc w:val="both"/>
      </w:pPr>
      <w:hyperlink w:history="true" w:anchor="_bookmark337">
        <w:r>
          <w:rPr>
            <w:color w:val="005DA1"/>
            <w:position w:val="5"/>
            <w:sz w:val="14"/>
            <w:u w:val="single" w:color="005DA1"/>
          </w:rPr>
          <w:t>220</w:t>
        </w:r>
      </w:hyperlink>
      <w:r>
        <w:rPr>
          <w:position w:val="5"/>
          <w:sz w:val="14"/>
        </w:rPr>
        <w:t>.</w:t>
      </w:r>
      <w:r>
        <w:rPr>
          <w:spacing w:val="80"/>
          <w:w w:val="150"/>
          <w:position w:val="5"/>
          <w:sz w:val="14"/>
        </w:rPr>
        <w:t> </w:t>
      </w:r>
      <w:r>
        <w:rPr/>
        <w:t>i.e. the Hague Rules set out in the Schedule to the Carriage of Goods by Sea Act 1924, </w:t>
      </w:r>
      <w:r>
        <w:rPr/>
        <w:t>now superseded in England by Carriage of Goods by Sea Act 1971, known as the Hague Visby rules. These rules will in turn be superseded if a new “Convention on Contracts for the Carriage of Goods Wholly or Partly by Sea” (also known as “the Rotterdam Rules”) is given the force of law in the United Kingdom. This Convention was drafted by UNCITRAL (document A/63/17, Appendix 1) and approved by the United Nations in December 2008 (General Assembly Resolution 63/112 § 2).</w:t>
      </w:r>
    </w:p>
    <w:p>
      <w:pPr>
        <w:pStyle w:val="BodyText"/>
        <w:spacing w:before="7"/>
      </w:pPr>
    </w:p>
    <w:p>
      <w:pPr>
        <w:spacing w:line="235" w:lineRule="auto" w:before="0"/>
        <w:ind w:left="705" w:right="167" w:hanging="541"/>
        <w:jc w:val="both"/>
        <w:rPr>
          <w:sz w:val="20"/>
        </w:rPr>
      </w:pPr>
      <w:bookmarkStart w:name="_bookmark467" w:id="469"/>
      <w:bookmarkEnd w:id="469"/>
      <w:r>
        <w:rPr/>
      </w:r>
      <w:hyperlink w:history="true" w:anchor="_bookmark338">
        <w:r>
          <w:rPr>
            <w:color w:val="005DA1"/>
            <w:position w:val="5"/>
            <w:sz w:val="14"/>
            <w:u w:val="single" w:color="005DA1"/>
          </w:rPr>
          <w:t>221</w:t>
        </w:r>
      </w:hyperlink>
      <w:r>
        <w:rPr>
          <w:position w:val="5"/>
          <w:sz w:val="14"/>
        </w:rPr>
        <w:t>.</w:t>
      </w:r>
      <w:r>
        <w:rPr>
          <w:spacing w:val="80"/>
          <w:position w:val="5"/>
          <w:sz w:val="14"/>
        </w:rPr>
        <w:t>  </w:t>
      </w:r>
      <w:r>
        <w:rPr>
          <w:sz w:val="20"/>
        </w:rPr>
        <w:t>cf.</w:t>
      </w:r>
      <w:r>
        <w:rPr>
          <w:spacing w:val="-1"/>
          <w:sz w:val="20"/>
        </w:rPr>
        <w:t> </w:t>
      </w:r>
      <w:r>
        <w:rPr>
          <w:rFonts w:ascii="Arial" w:hAnsi="Arial"/>
          <w:i/>
          <w:sz w:val="20"/>
        </w:rPr>
        <w:t>Simaan</w:t>
      </w:r>
      <w:r>
        <w:rPr>
          <w:rFonts w:ascii="Arial" w:hAnsi="Arial"/>
          <w:i/>
          <w:spacing w:val="-1"/>
          <w:sz w:val="20"/>
        </w:rPr>
        <w:t> </w:t>
      </w:r>
      <w:r>
        <w:rPr>
          <w:rFonts w:ascii="Arial" w:hAnsi="Arial"/>
          <w:i/>
          <w:sz w:val="20"/>
        </w:rPr>
        <w:t>General</w:t>
      </w:r>
      <w:r>
        <w:rPr>
          <w:rFonts w:ascii="Arial" w:hAnsi="Arial"/>
          <w:i/>
          <w:spacing w:val="-1"/>
          <w:sz w:val="20"/>
        </w:rPr>
        <w:t> </w:t>
      </w:r>
      <w:r>
        <w:rPr>
          <w:rFonts w:ascii="Arial" w:hAnsi="Arial"/>
          <w:i/>
          <w:sz w:val="20"/>
        </w:rPr>
        <w:t>Contracting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Pilkington</w:t>
      </w:r>
      <w:r>
        <w:rPr>
          <w:rFonts w:ascii="Arial" w:hAnsi="Arial"/>
          <w:i/>
          <w:spacing w:val="-1"/>
          <w:sz w:val="20"/>
        </w:rPr>
        <w:t> </w:t>
      </w:r>
      <w:r>
        <w:rPr>
          <w:rFonts w:ascii="Arial" w:hAnsi="Arial"/>
          <w:i/>
          <w:sz w:val="20"/>
        </w:rPr>
        <w:t>Glass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(No.2)</w:t>
      </w:r>
      <w:r>
        <w:rPr>
          <w:rFonts w:ascii="Arial" w:hAnsi="Arial"/>
          <w:i/>
          <w:spacing w:val="-1"/>
          <w:sz w:val="20"/>
        </w:rPr>
        <w:t> </w:t>
      </w:r>
      <w:r>
        <w:rPr>
          <w:rFonts w:ascii="Arial" w:hAnsi="Arial"/>
          <w:i/>
          <w:sz w:val="20"/>
        </w:rPr>
        <w:t>[1988]</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758,</w:t>
      </w:r>
      <w:r>
        <w:rPr>
          <w:rFonts w:ascii="Arial" w:hAnsi="Arial"/>
          <w:i/>
          <w:spacing w:val="-1"/>
          <w:sz w:val="20"/>
        </w:rPr>
        <w:t> </w:t>
      </w:r>
      <w:r>
        <w:rPr>
          <w:rFonts w:ascii="Arial" w:hAnsi="Arial"/>
          <w:i/>
          <w:sz w:val="20"/>
        </w:rPr>
        <w:t>782–783</w:t>
      </w:r>
      <w:r>
        <w:rPr>
          <w:sz w:val="20"/>
        </w:rPr>
        <w:t>.</w:t>
      </w:r>
      <w:r>
        <w:rPr>
          <w:spacing w:val="-1"/>
          <w:sz w:val="20"/>
        </w:rPr>
        <w:t> </w:t>
      </w:r>
      <w:r>
        <w:rPr>
          <w:sz w:val="20"/>
        </w:rPr>
        <w:t>For the suggestion that the position may be different where the potential tortfeasor has no such protection, see </w:t>
      </w:r>
      <w:r>
        <w:rPr>
          <w:rFonts w:ascii="Arial" w:hAnsi="Arial"/>
          <w:i/>
          <w:sz w:val="20"/>
        </w:rPr>
        <w:t>Triangle Steel &amp; Supply Co v Korean United Lines Inc. (1985) 63 B.C.L.R. 66,</w:t>
      </w:r>
      <w:r>
        <w:rPr>
          <w:rFonts w:ascii="Arial" w:hAnsi="Arial"/>
          <w:i/>
          <w:spacing w:val="40"/>
          <w:sz w:val="20"/>
        </w:rPr>
        <w:t> </w:t>
      </w:r>
      <w:r>
        <w:rPr>
          <w:rFonts w:ascii="Arial" w:hAnsi="Arial"/>
          <w:i/>
          <w:sz w:val="20"/>
        </w:rPr>
        <w:t>80</w:t>
      </w:r>
      <w:r>
        <w:rPr>
          <w:rFonts w:ascii="Arial" w:hAnsi="Arial"/>
          <w:i/>
          <w:spacing w:val="-1"/>
          <w:sz w:val="20"/>
        </w:rPr>
        <w:t> </w:t>
      </w:r>
      <w:r>
        <w:rPr>
          <w:sz w:val="20"/>
        </w:rPr>
        <w:t>(the</w:t>
      </w:r>
      <w:r>
        <w:rPr>
          <w:spacing w:val="-1"/>
          <w:sz w:val="20"/>
        </w:rPr>
        <w:t> </w:t>
      </w:r>
      <w:r>
        <w:rPr>
          <w:sz w:val="20"/>
        </w:rPr>
        <w:t>reasoning</w:t>
      </w:r>
      <w:r>
        <w:rPr>
          <w:spacing w:val="-1"/>
          <w:sz w:val="20"/>
        </w:rPr>
        <w:t> </w:t>
      </w:r>
      <w:r>
        <w:rPr>
          <w:sz w:val="20"/>
        </w:rPr>
        <w:t>of</w:t>
      </w:r>
      <w:r>
        <w:rPr>
          <w:spacing w:val="-1"/>
          <w:sz w:val="20"/>
        </w:rPr>
        <w:t> </w:t>
      </w:r>
      <w:r>
        <w:rPr>
          <w:sz w:val="20"/>
        </w:rPr>
        <w:t>which</w:t>
      </w:r>
      <w:r>
        <w:rPr>
          <w:spacing w:val="-1"/>
          <w:sz w:val="20"/>
        </w:rPr>
        <w:t> </w:t>
      </w:r>
      <w:r>
        <w:rPr>
          <w:sz w:val="20"/>
        </w:rPr>
        <w:t>is</w:t>
      </w:r>
      <w:r>
        <w:rPr>
          <w:spacing w:val="-1"/>
          <w:sz w:val="20"/>
        </w:rPr>
        <w:t> </w:t>
      </w:r>
      <w:r>
        <w:rPr>
          <w:sz w:val="20"/>
        </w:rPr>
        <w:t>in</w:t>
      </w:r>
      <w:r>
        <w:rPr>
          <w:spacing w:val="-1"/>
          <w:sz w:val="20"/>
        </w:rPr>
        <w:t> </w:t>
      </w:r>
      <w:r>
        <w:rPr>
          <w:sz w:val="20"/>
        </w:rPr>
        <w:t>other</w:t>
      </w:r>
      <w:r>
        <w:rPr>
          <w:spacing w:val="-1"/>
          <w:sz w:val="20"/>
        </w:rPr>
        <w:t> </w:t>
      </w:r>
      <w:r>
        <w:rPr>
          <w:sz w:val="20"/>
        </w:rPr>
        <w:t>respects</w:t>
      </w:r>
      <w:r>
        <w:rPr>
          <w:spacing w:val="-1"/>
          <w:sz w:val="20"/>
        </w:rPr>
        <w:t> </w:t>
      </w:r>
      <w:r>
        <w:rPr>
          <w:sz w:val="20"/>
        </w:rPr>
        <w:t>inconsistent</w:t>
      </w:r>
      <w:r>
        <w:rPr>
          <w:spacing w:val="-1"/>
          <w:sz w:val="20"/>
        </w:rPr>
        <w:t> </w:t>
      </w:r>
      <w:r>
        <w:rPr>
          <w:sz w:val="20"/>
        </w:rPr>
        <w:t>with</w:t>
      </w:r>
      <w:r>
        <w:rPr>
          <w:spacing w:val="-1"/>
          <w:sz w:val="20"/>
        </w:rPr>
        <w:t> </w:t>
      </w:r>
      <w:r>
        <w:rPr>
          <w:sz w:val="20"/>
        </w:rPr>
        <w:t>that</w:t>
      </w:r>
      <w:r>
        <w:rPr>
          <w:spacing w:val="-1"/>
          <w:sz w:val="20"/>
        </w:rPr>
        <w:t> </w:t>
      </w:r>
      <w:r>
        <w:rPr>
          <w:sz w:val="20"/>
        </w:rPr>
        <w:t>of</w:t>
      </w:r>
      <w:r>
        <w:rPr>
          <w:spacing w:val="-2"/>
          <w:sz w:val="20"/>
        </w:rPr>
        <w:t> </w:t>
      </w:r>
      <w:r>
        <w:rPr>
          <w:rFonts w:ascii="Arial" w:hAnsi="Arial"/>
          <w:i/>
          <w:sz w:val="20"/>
        </w:rPr>
        <w:t>The</w:t>
      </w:r>
      <w:r>
        <w:rPr>
          <w:rFonts w:ascii="Arial" w:hAnsi="Arial"/>
          <w:i/>
          <w:spacing w:val="-1"/>
          <w:sz w:val="20"/>
        </w:rPr>
        <w:t> </w:t>
      </w:r>
      <w:r>
        <w:rPr>
          <w:rFonts w:ascii="Arial" w:hAnsi="Arial"/>
          <w:i/>
          <w:sz w:val="20"/>
        </w:rPr>
        <w:t>Aliakmon</w:t>
      </w:r>
      <w:r>
        <w:rPr>
          <w:sz w:val="20"/>
        </w:rPr>
        <w:t>).</w:t>
      </w:r>
      <w:r>
        <w:rPr>
          <w:spacing w:val="-1"/>
          <w:sz w:val="20"/>
        </w:rPr>
        <w:t> </w:t>
      </w:r>
      <w:r>
        <w:rPr>
          <w:sz w:val="20"/>
        </w:rPr>
        <w:t>See</w:t>
      </w:r>
      <w:r>
        <w:rPr>
          <w:spacing w:val="-1"/>
          <w:sz w:val="20"/>
        </w:rPr>
        <w:t> </w:t>
      </w:r>
      <w:r>
        <w:rPr>
          <w:sz w:val="20"/>
        </w:rPr>
        <w:t>also </w:t>
      </w:r>
      <w:r>
        <w:rPr>
          <w:rFonts w:ascii="Arial" w:hAnsi="Arial"/>
          <w:i/>
          <w:sz w:val="20"/>
        </w:rPr>
        <w:t>Sidhu v British Airways plc [1997] A.C. 430, 450–451 </w:t>
      </w:r>
      <w:r>
        <w:rPr>
          <w:sz w:val="20"/>
        </w:rPr>
        <w:t>stating that, in a case governed by the Conventions on international carriage by air, the only persons having the right to sue in </w:t>
      </w:r>
      <w:r>
        <w:rPr>
          <w:sz w:val="20"/>
        </w:rPr>
        <w:t>respect of loss or damage to the goods were those specified in the Conventions for this purpose; in an action by such persons, the carrier would be entitled to the protection of the Conventions; see also </w:t>
      </w:r>
      <w:r>
        <w:rPr>
          <w:rFonts w:ascii="Arial" w:hAnsi="Arial"/>
          <w:i/>
          <w:sz w:val="20"/>
        </w:rPr>
        <w:t>Re Deep Vein Thrombosis and Air Travel Group Litigation [2006] UKHL 72, [2006] A.C.</w:t>
      </w:r>
      <w:r>
        <w:rPr>
          <w:rFonts w:ascii="Arial" w:hAnsi="Arial"/>
          <w:i/>
          <w:spacing w:val="40"/>
          <w:sz w:val="20"/>
        </w:rPr>
        <w:t> </w:t>
      </w:r>
      <w:r>
        <w:rPr>
          <w:rFonts w:ascii="Arial" w:hAnsi="Arial"/>
          <w:i/>
          <w:sz w:val="20"/>
        </w:rPr>
        <w:t>495 </w:t>
      </w:r>
      <w:r>
        <w:rPr>
          <w:sz w:val="20"/>
        </w:rPr>
        <w:t>at [3], [27], [29] and [62]. Under such Conventions, the carrier may be protected by their terms</w:t>
      </w:r>
      <w:r>
        <w:rPr>
          <w:spacing w:val="-1"/>
          <w:sz w:val="20"/>
        </w:rPr>
        <w:t> </w:t>
      </w:r>
      <w:r>
        <w:rPr>
          <w:sz w:val="20"/>
        </w:rPr>
        <w:t>even</w:t>
      </w:r>
      <w:r>
        <w:rPr>
          <w:spacing w:val="-1"/>
          <w:sz w:val="20"/>
        </w:rPr>
        <w:t> </w:t>
      </w:r>
      <w:r>
        <w:rPr>
          <w:sz w:val="20"/>
        </w:rPr>
        <w:t>against</w:t>
      </w:r>
      <w:r>
        <w:rPr>
          <w:spacing w:val="-1"/>
          <w:sz w:val="20"/>
        </w:rPr>
        <w:t> </w:t>
      </w:r>
      <w:r>
        <w:rPr>
          <w:sz w:val="20"/>
        </w:rPr>
        <w:t>a</w:t>
      </w:r>
      <w:r>
        <w:rPr>
          <w:spacing w:val="-1"/>
          <w:sz w:val="20"/>
        </w:rPr>
        <w:t> </w:t>
      </w:r>
      <w:r>
        <w:rPr>
          <w:sz w:val="20"/>
        </w:rPr>
        <w:t>person</w:t>
      </w:r>
      <w:r>
        <w:rPr>
          <w:spacing w:val="-1"/>
          <w:sz w:val="20"/>
        </w:rPr>
        <w:t> </w:t>
      </w:r>
      <w:r>
        <w:rPr>
          <w:sz w:val="20"/>
        </w:rPr>
        <w:t>who</w:t>
      </w:r>
      <w:r>
        <w:rPr>
          <w:spacing w:val="-1"/>
          <w:sz w:val="20"/>
        </w:rPr>
        <w:t> </w:t>
      </w:r>
      <w:r>
        <w:rPr>
          <w:sz w:val="20"/>
        </w:rPr>
        <w:t>is</w:t>
      </w:r>
      <w:r>
        <w:rPr>
          <w:spacing w:val="-1"/>
          <w:sz w:val="20"/>
        </w:rPr>
        <w:t> </w:t>
      </w:r>
      <w:r>
        <w:rPr>
          <w:sz w:val="20"/>
        </w:rPr>
        <w:t>not</w:t>
      </w:r>
      <w:r>
        <w:rPr>
          <w:spacing w:val="-1"/>
          <w:sz w:val="20"/>
        </w:rPr>
        <w:t> </w:t>
      </w:r>
      <w:r>
        <w:rPr>
          <w:sz w:val="20"/>
        </w:rPr>
        <w:t>a</w:t>
      </w:r>
      <w:r>
        <w:rPr>
          <w:spacing w:val="-1"/>
          <w:sz w:val="20"/>
        </w:rPr>
        <w:t> </w:t>
      </w:r>
      <w:r>
        <w:rPr>
          <w:sz w:val="20"/>
        </w:rPr>
        <w:t>party</w:t>
      </w:r>
      <w:r>
        <w:rPr>
          <w:spacing w:val="-1"/>
          <w:sz w:val="20"/>
        </w:rPr>
        <w:t> </w:t>
      </w:r>
      <w:r>
        <w:rPr>
          <w:sz w:val="20"/>
        </w:rPr>
        <w:t>to</w:t>
      </w:r>
      <w:r>
        <w:rPr>
          <w:spacing w:val="-1"/>
          <w:sz w:val="20"/>
        </w:rPr>
        <w:t> </w:t>
      </w:r>
      <w:r>
        <w:rPr>
          <w:sz w:val="20"/>
        </w:rPr>
        <w:t>the</w:t>
      </w:r>
      <w:r>
        <w:rPr>
          <w:spacing w:val="-1"/>
          <w:sz w:val="20"/>
        </w:rPr>
        <w:t> </w:t>
      </w:r>
      <w:r>
        <w:rPr>
          <w:sz w:val="20"/>
        </w:rPr>
        <w:t>contract</w:t>
      </w:r>
      <w:r>
        <w:rPr>
          <w:spacing w:val="-1"/>
          <w:sz w:val="20"/>
        </w:rPr>
        <w:t> </w:t>
      </w:r>
      <w:r>
        <w:rPr>
          <w:sz w:val="20"/>
        </w:rPr>
        <w:t>but</w:t>
      </w:r>
      <w:r>
        <w:rPr>
          <w:spacing w:val="-1"/>
          <w:sz w:val="20"/>
        </w:rPr>
        <w:t> </w:t>
      </w:r>
      <w:r>
        <w:rPr>
          <w:sz w:val="20"/>
        </w:rPr>
        <w:t>has</w:t>
      </w:r>
      <w:r>
        <w:rPr>
          <w:spacing w:val="-1"/>
          <w:sz w:val="20"/>
        </w:rPr>
        <w:t> </w:t>
      </w:r>
      <w:r>
        <w:rPr>
          <w:sz w:val="20"/>
        </w:rPr>
        <w:t>a</w:t>
      </w:r>
      <w:r>
        <w:rPr>
          <w:spacing w:val="-1"/>
          <w:sz w:val="20"/>
        </w:rPr>
        <w:t> </w:t>
      </w:r>
      <w:r>
        <w:rPr>
          <w:sz w:val="20"/>
        </w:rPr>
        <w:t>cause</w:t>
      </w:r>
      <w:r>
        <w:rPr>
          <w:spacing w:val="-1"/>
          <w:sz w:val="20"/>
        </w:rPr>
        <w:t> </w:t>
      </w:r>
      <w:r>
        <w:rPr>
          <w:sz w:val="20"/>
        </w:rPr>
        <w:t>of</w:t>
      </w:r>
      <w:r>
        <w:rPr>
          <w:spacing w:val="-1"/>
          <w:sz w:val="20"/>
        </w:rPr>
        <w:t> </w:t>
      </w:r>
      <w:r>
        <w:rPr>
          <w:sz w:val="20"/>
        </w:rPr>
        <w:t>action</w:t>
      </w:r>
      <w:r>
        <w:rPr>
          <w:spacing w:val="-1"/>
          <w:sz w:val="20"/>
        </w:rPr>
        <w:t> </w:t>
      </w:r>
      <w:r>
        <w:rPr>
          <w:sz w:val="20"/>
        </w:rPr>
        <w:t>against the carrier by virtue of his title to the goods. It has been held that such an action can be brought only subject to the “scheme of liability” imposed by the Conventions: </w:t>
      </w:r>
      <w:r>
        <w:rPr>
          <w:rFonts w:ascii="Arial" w:hAnsi="Arial"/>
          <w:i/>
          <w:sz w:val="20"/>
        </w:rPr>
        <w:t>Western Digital Corp. v British Airways plc [2001] Q.B. 733 </w:t>
      </w:r>
      <w:r>
        <w:rPr>
          <w:sz w:val="20"/>
        </w:rPr>
        <w:t>at 750, 754–755, 769; and see </w:t>
      </w:r>
      <w:r>
        <w:rPr>
          <w:rFonts w:ascii="Arial" w:hAnsi="Arial"/>
          <w:i/>
          <w:sz w:val="20"/>
        </w:rPr>
        <w:t>Hook v British Airways plc [2011] EWHC 379 (QB), [2011] 1 All E.R. (Comm) 1128 </w:t>
      </w:r>
      <w:r>
        <w:rPr>
          <w:sz w:val="20"/>
        </w:rPr>
        <w:t>at [28], [29]. Where an original shipper transfers his contractual rights to a third party, he may retain rights against the carrier in bailment, but such rights will remain subject to the contractual terms on which the goods were originally</w:t>
      </w:r>
      <w:r>
        <w:rPr>
          <w:spacing w:val="-1"/>
          <w:sz w:val="20"/>
        </w:rPr>
        <w:t> </w:t>
      </w:r>
      <w:r>
        <w:rPr>
          <w:sz w:val="20"/>
        </w:rPr>
        <w:t>bailed</w:t>
      </w:r>
      <w:r>
        <w:rPr>
          <w:spacing w:val="-1"/>
          <w:sz w:val="20"/>
        </w:rPr>
        <w:t> </w:t>
      </w:r>
      <w:r>
        <w:rPr>
          <w:sz w:val="20"/>
        </w:rPr>
        <w:t>by</w:t>
      </w:r>
      <w:r>
        <w:rPr>
          <w:spacing w:val="-1"/>
          <w:sz w:val="20"/>
        </w:rPr>
        <w:t> </w:t>
      </w:r>
      <w:r>
        <w:rPr>
          <w:sz w:val="20"/>
        </w:rPr>
        <w:t>him</w:t>
      </w:r>
      <w:r>
        <w:rPr>
          <w:spacing w:val="-1"/>
          <w:sz w:val="20"/>
        </w:rPr>
        <w:t> </w:t>
      </w:r>
      <w:r>
        <w:rPr>
          <w:sz w:val="20"/>
        </w:rPr>
        <w:t>to</w:t>
      </w:r>
      <w:r>
        <w:rPr>
          <w:spacing w:val="-1"/>
          <w:sz w:val="20"/>
        </w:rPr>
        <w:t> </w:t>
      </w:r>
      <w:r>
        <w:rPr>
          <w:sz w:val="20"/>
        </w:rPr>
        <w:t>the</w:t>
      </w:r>
      <w:r>
        <w:rPr>
          <w:spacing w:val="-1"/>
          <w:sz w:val="20"/>
        </w:rPr>
        <w:t> </w:t>
      </w:r>
      <w:r>
        <w:rPr>
          <w:sz w:val="20"/>
        </w:rPr>
        <w:t>carrier:</w:t>
      </w:r>
      <w:r>
        <w:rPr>
          <w:spacing w:val="-1"/>
          <w:sz w:val="20"/>
        </w:rPr>
        <w:t> </w:t>
      </w:r>
      <w:r>
        <w:rPr>
          <w:sz w:val="20"/>
        </w:rPr>
        <w:t>see</w:t>
      </w:r>
      <w:r>
        <w:rPr>
          <w:spacing w:val="-2"/>
          <w:sz w:val="20"/>
        </w:rPr>
        <w:t> </w:t>
      </w:r>
      <w:r>
        <w:rPr>
          <w:rFonts w:ascii="Arial" w:hAnsi="Arial"/>
          <w:i/>
          <w:sz w:val="20"/>
        </w:rPr>
        <w:t>East</w:t>
      </w:r>
      <w:r>
        <w:rPr>
          <w:rFonts w:ascii="Arial" w:hAnsi="Arial"/>
          <w:i/>
          <w:spacing w:val="-1"/>
          <w:sz w:val="20"/>
        </w:rPr>
        <w:t> </w:t>
      </w:r>
      <w:r>
        <w:rPr>
          <w:rFonts w:ascii="Arial" w:hAnsi="Arial"/>
          <w:i/>
          <w:sz w:val="20"/>
        </w:rPr>
        <w:t>West</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DKBS</w:t>
      </w:r>
      <w:r>
        <w:rPr>
          <w:rFonts w:ascii="Arial" w:hAnsi="Arial"/>
          <w:i/>
          <w:spacing w:val="-1"/>
          <w:sz w:val="20"/>
        </w:rPr>
        <w:t> </w:t>
      </w:r>
      <w:r>
        <w:rPr>
          <w:rFonts w:ascii="Arial" w:hAnsi="Arial"/>
          <w:i/>
          <w:sz w:val="20"/>
        </w:rPr>
        <w:t>1912</w:t>
      </w:r>
      <w:r>
        <w:rPr>
          <w:rFonts w:ascii="Arial" w:hAnsi="Arial"/>
          <w:i/>
          <w:spacing w:val="-1"/>
          <w:sz w:val="20"/>
        </w:rPr>
        <w:t> </w:t>
      </w:r>
      <w:r>
        <w:rPr>
          <w:rFonts w:ascii="Arial" w:hAnsi="Arial"/>
          <w:i/>
          <w:sz w:val="20"/>
        </w:rPr>
        <w:t>A/S</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 83; [2003] Q.B. 1509</w:t>
      </w:r>
      <w:r>
        <w:rPr>
          <w:sz w:val="20"/>
        </w:rPr>
        <w:t>, especially at [50], [69].</w:t>
      </w:r>
    </w:p>
    <w:p>
      <w:pPr>
        <w:tabs>
          <w:tab w:pos="705" w:val="left" w:leader="none"/>
        </w:tabs>
        <w:spacing w:before="229"/>
        <w:ind w:left="165" w:right="0" w:firstLine="0"/>
        <w:jc w:val="left"/>
        <w:rPr>
          <w:sz w:val="20"/>
        </w:rPr>
      </w:pPr>
      <w:bookmarkStart w:name="_bookmark468" w:id="470"/>
      <w:bookmarkEnd w:id="470"/>
      <w:r>
        <w:rPr/>
      </w:r>
      <w:hyperlink w:history="true" w:anchor="_bookmark339">
        <w:r>
          <w:rPr>
            <w:color w:val="005DA1"/>
            <w:spacing w:val="-4"/>
            <w:position w:val="5"/>
            <w:sz w:val="14"/>
            <w:u w:val="single" w:color="005DA1"/>
          </w:rPr>
          <w:t>222</w:t>
        </w:r>
      </w:hyperlink>
      <w:r>
        <w:rPr>
          <w:spacing w:val="-4"/>
          <w:position w:val="5"/>
          <w:sz w:val="14"/>
        </w:rPr>
        <w:t>.</w:t>
      </w:r>
      <w:r>
        <w:rPr>
          <w:position w:val="5"/>
          <w:sz w:val="14"/>
        </w:rPr>
        <w:tab/>
      </w:r>
      <w:r>
        <w:rPr>
          <w:rFonts w:ascii="Arial"/>
          <w:i/>
          <w:sz w:val="20"/>
        </w:rPr>
        <w:t>[1986]</w:t>
      </w:r>
      <w:r>
        <w:rPr>
          <w:rFonts w:ascii="Arial"/>
          <w:i/>
          <w:spacing w:val="-1"/>
          <w:sz w:val="20"/>
        </w:rPr>
        <w:t> </w:t>
      </w:r>
      <w:r>
        <w:rPr>
          <w:rFonts w:ascii="Arial"/>
          <w:i/>
          <w:sz w:val="20"/>
        </w:rPr>
        <w:t>Q.B. 507</w:t>
      </w:r>
      <w:r>
        <w:rPr>
          <w:sz w:val="20"/>
        </w:rPr>
        <w:t>; Whittaker (1986) 49 M.L.R. 469; Oughton [1987] J.B.L. </w:t>
      </w:r>
      <w:r>
        <w:rPr>
          <w:spacing w:val="-4"/>
          <w:sz w:val="20"/>
        </w:rPr>
        <w:t>370.</w:t>
      </w:r>
    </w:p>
    <w:p>
      <w:pPr>
        <w:pStyle w:val="BodyText"/>
        <w:spacing w:before="5"/>
      </w:pPr>
    </w:p>
    <w:p>
      <w:pPr>
        <w:tabs>
          <w:tab w:pos="705" w:val="left" w:leader="none"/>
        </w:tabs>
        <w:spacing w:before="0"/>
        <w:ind w:left="165" w:right="0" w:firstLine="0"/>
        <w:jc w:val="left"/>
        <w:rPr>
          <w:sz w:val="20"/>
        </w:rPr>
      </w:pPr>
      <w:bookmarkStart w:name="_bookmark469" w:id="471"/>
      <w:bookmarkEnd w:id="471"/>
      <w:r>
        <w:rPr/>
      </w:r>
      <w:hyperlink w:history="true" w:anchor="_bookmark340">
        <w:r>
          <w:rPr>
            <w:color w:val="005DA1"/>
            <w:spacing w:val="-4"/>
            <w:position w:val="5"/>
            <w:sz w:val="14"/>
            <w:u w:val="single" w:color="005DA1"/>
          </w:rPr>
          <w:t>223</w:t>
        </w:r>
      </w:hyperlink>
      <w:r>
        <w:rPr>
          <w:spacing w:val="-4"/>
          <w:position w:val="5"/>
          <w:sz w:val="14"/>
        </w:rPr>
        <w:t>.</w:t>
      </w:r>
      <w:r>
        <w:rPr>
          <w:position w:val="5"/>
          <w:sz w:val="14"/>
        </w:rPr>
        <w:tab/>
      </w:r>
      <w:r>
        <w:rPr>
          <w:sz w:val="20"/>
        </w:rPr>
        <w:t>[1986] Q.B. at </w:t>
      </w:r>
      <w:r>
        <w:rPr>
          <w:spacing w:val="-4"/>
          <w:sz w:val="20"/>
        </w:rPr>
        <w:t>533.</w:t>
      </w:r>
    </w:p>
    <w:p>
      <w:pPr>
        <w:pStyle w:val="BodyText"/>
        <w:spacing w:before="5"/>
      </w:pPr>
    </w:p>
    <w:p>
      <w:pPr>
        <w:tabs>
          <w:tab w:pos="705" w:val="left" w:leader="none"/>
        </w:tabs>
        <w:spacing w:before="0"/>
        <w:ind w:left="165" w:right="0" w:firstLine="0"/>
        <w:jc w:val="left"/>
        <w:rPr>
          <w:sz w:val="20"/>
        </w:rPr>
      </w:pPr>
      <w:bookmarkStart w:name="_bookmark470" w:id="472"/>
      <w:bookmarkEnd w:id="472"/>
      <w:r>
        <w:rPr/>
      </w:r>
      <w:hyperlink w:history="true" w:anchor="_bookmark341">
        <w:r>
          <w:rPr>
            <w:color w:val="005DA1"/>
            <w:spacing w:val="-4"/>
            <w:position w:val="5"/>
            <w:sz w:val="14"/>
            <w:u w:val="single" w:color="005DA1"/>
          </w:rPr>
          <w:t>224</w:t>
        </w:r>
      </w:hyperlink>
      <w:r>
        <w:rPr>
          <w:spacing w:val="-4"/>
          <w:position w:val="5"/>
          <w:sz w:val="14"/>
        </w:rPr>
        <w:t>.</w:t>
      </w:r>
      <w:r>
        <w:rPr>
          <w:position w:val="5"/>
          <w:sz w:val="14"/>
        </w:rPr>
        <w:tab/>
      </w:r>
      <w:r>
        <w:rPr>
          <w:spacing w:val="-2"/>
          <w:sz w:val="20"/>
        </w:rPr>
        <w:t>ibid.</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71" w:id="473"/>
      <w:bookmarkEnd w:id="473"/>
      <w:r>
        <w:rPr/>
      </w:r>
      <w:hyperlink w:history="true" w:anchor="_bookmark342">
        <w:r>
          <w:rPr>
            <w:color w:val="005DA1"/>
            <w:spacing w:val="-4"/>
            <w:position w:val="5"/>
            <w:sz w:val="14"/>
            <w:u w:val="single" w:color="005DA1"/>
          </w:rPr>
          <w:t>225</w:t>
        </w:r>
      </w:hyperlink>
      <w:r>
        <w:rPr>
          <w:spacing w:val="-4"/>
          <w:position w:val="5"/>
          <w:sz w:val="14"/>
        </w:rPr>
        <w:t>.</w:t>
      </w:r>
      <w:r>
        <w:rPr>
          <w:position w:val="5"/>
          <w:sz w:val="14"/>
        </w:rPr>
        <w:tab/>
      </w:r>
      <w:r>
        <w:rPr>
          <w:rFonts w:ascii="Arial"/>
          <w:i/>
          <w:sz w:val="20"/>
        </w:rPr>
        <w:t>[1983]</w:t>
      </w:r>
      <w:r>
        <w:rPr>
          <w:rFonts w:ascii="Arial"/>
          <w:i/>
          <w:spacing w:val="4"/>
          <w:sz w:val="20"/>
        </w:rPr>
        <w:t> </w:t>
      </w:r>
      <w:r>
        <w:rPr>
          <w:rFonts w:ascii="Arial"/>
          <w:i/>
          <w:sz w:val="20"/>
        </w:rPr>
        <w:t>1</w:t>
      </w:r>
      <w:r>
        <w:rPr>
          <w:rFonts w:ascii="Arial"/>
          <w:i/>
          <w:spacing w:val="5"/>
          <w:sz w:val="20"/>
        </w:rPr>
        <w:t> </w:t>
      </w:r>
      <w:r>
        <w:rPr>
          <w:rFonts w:ascii="Arial"/>
          <w:i/>
          <w:sz w:val="20"/>
        </w:rPr>
        <w:t>A.C.</w:t>
      </w:r>
      <w:r>
        <w:rPr>
          <w:rFonts w:ascii="Arial"/>
          <w:i/>
          <w:spacing w:val="5"/>
          <w:sz w:val="20"/>
        </w:rPr>
        <w:t> </w:t>
      </w:r>
      <w:r>
        <w:rPr>
          <w:rFonts w:ascii="Arial"/>
          <w:i/>
          <w:sz w:val="20"/>
        </w:rPr>
        <w:t>520</w:t>
      </w:r>
      <w:r>
        <w:rPr>
          <w:sz w:val="20"/>
        </w:rPr>
        <w:t>;</w:t>
      </w:r>
      <w:r>
        <w:rPr>
          <w:spacing w:val="5"/>
          <w:sz w:val="20"/>
        </w:rPr>
        <w:t> </w:t>
      </w:r>
      <w:r>
        <w:rPr>
          <w:sz w:val="20"/>
        </w:rPr>
        <w:t>above,</w:t>
      </w:r>
      <w:r>
        <w:rPr>
          <w:spacing w:val="5"/>
          <w:sz w:val="20"/>
        </w:rPr>
        <w:t> </w:t>
      </w:r>
      <w:r>
        <w:rPr>
          <w:sz w:val="20"/>
        </w:rPr>
        <w:t>paras</w:t>
      </w:r>
      <w:r>
        <w:rPr>
          <w:spacing w:val="5"/>
          <w:sz w:val="20"/>
        </w:rPr>
        <w:t> </w:t>
      </w:r>
      <w:r>
        <w:rPr>
          <w:sz w:val="20"/>
        </w:rPr>
        <w:t>18-025</w:t>
      </w:r>
      <w:r>
        <w:rPr>
          <w:spacing w:val="5"/>
          <w:sz w:val="20"/>
        </w:rPr>
        <w:t> </w:t>
      </w:r>
      <w:r>
        <w:rPr>
          <w:sz w:val="20"/>
        </w:rPr>
        <w:t>to</w:t>
      </w:r>
      <w:r>
        <w:rPr>
          <w:spacing w:val="5"/>
          <w:sz w:val="20"/>
        </w:rPr>
        <w:t> </w:t>
      </w:r>
      <w:r>
        <w:rPr>
          <w:sz w:val="20"/>
        </w:rPr>
        <w:t>18-035;</w:t>
      </w:r>
      <w:r>
        <w:rPr>
          <w:spacing w:val="5"/>
          <w:sz w:val="20"/>
        </w:rPr>
        <w:t> </w:t>
      </w:r>
      <w:r>
        <w:rPr>
          <w:sz w:val="20"/>
        </w:rPr>
        <w:t>Grubb</w:t>
      </w:r>
      <w:r>
        <w:rPr>
          <w:spacing w:val="5"/>
          <w:sz w:val="20"/>
        </w:rPr>
        <w:t> </w:t>
      </w:r>
      <w:r>
        <w:rPr>
          <w:sz w:val="20"/>
        </w:rPr>
        <w:t>[1984]</w:t>
      </w:r>
      <w:r>
        <w:rPr>
          <w:spacing w:val="5"/>
          <w:sz w:val="20"/>
        </w:rPr>
        <w:t> </w:t>
      </w:r>
      <w:r>
        <w:rPr>
          <w:sz w:val="20"/>
        </w:rPr>
        <w:t>C.L.J.</w:t>
      </w:r>
      <w:r>
        <w:rPr>
          <w:spacing w:val="5"/>
          <w:sz w:val="20"/>
        </w:rPr>
        <w:t> </w:t>
      </w:r>
      <w:r>
        <w:rPr>
          <w:sz w:val="20"/>
        </w:rPr>
        <w:t>111;</w:t>
      </w:r>
      <w:r>
        <w:rPr>
          <w:spacing w:val="4"/>
          <w:sz w:val="20"/>
        </w:rPr>
        <w:t> </w:t>
      </w:r>
      <w:r>
        <w:rPr>
          <w:rFonts w:ascii="Arial"/>
          <w:i/>
          <w:sz w:val="20"/>
        </w:rPr>
        <w:t>Holyoak</w:t>
      </w:r>
      <w:r>
        <w:rPr>
          <w:rFonts w:ascii="Arial"/>
          <w:i/>
          <w:spacing w:val="5"/>
          <w:sz w:val="20"/>
        </w:rPr>
        <w:t> </w:t>
      </w:r>
      <w:r>
        <w:rPr>
          <w:rFonts w:ascii="Arial"/>
          <w:i/>
          <w:sz w:val="20"/>
        </w:rPr>
        <w:t>(1983)</w:t>
      </w:r>
      <w:r>
        <w:rPr>
          <w:rFonts w:ascii="Arial"/>
          <w:i/>
          <w:spacing w:val="5"/>
          <w:sz w:val="20"/>
        </w:rPr>
        <w:t> </w:t>
      </w:r>
      <w:r>
        <w:rPr>
          <w:rFonts w:ascii="Arial"/>
          <w:i/>
          <w:spacing w:val="-5"/>
          <w:sz w:val="20"/>
        </w:rPr>
        <w:t>99</w:t>
      </w:r>
    </w:p>
    <w:p>
      <w:pPr>
        <w:spacing w:line="227" w:lineRule="exact" w:before="0"/>
        <w:ind w:left="705" w:right="0" w:firstLine="0"/>
        <w:jc w:val="left"/>
        <w:rPr>
          <w:sz w:val="20"/>
        </w:rPr>
      </w:pPr>
      <w:r>
        <w:rPr>
          <w:rFonts w:ascii="Arial"/>
          <w:i/>
          <w:sz w:val="20"/>
        </w:rPr>
        <w:t>L.Q.R.</w:t>
      </w:r>
      <w:r>
        <w:rPr>
          <w:rFonts w:ascii="Arial"/>
          <w:i/>
          <w:spacing w:val="-1"/>
          <w:sz w:val="20"/>
        </w:rPr>
        <w:t> </w:t>
      </w:r>
      <w:r>
        <w:rPr>
          <w:rFonts w:ascii="Arial"/>
          <w:i/>
          <w:sz w:val="20"/>
        </w:rPr>
        <w:t>591</w:t>
      </w:r>
      <w:r>
        <w:rPr>
          <w:sz w:val="20"/>
        </w:rPr>
        <w:t>; </w:t>
      </w:r>
      <w:r>
        <w:rPr>
          <w:rFonts w:ascii="Arial"/>
          <w:i/>
          <w:sz w:val="20"/>
        </w:rPr>
        <w:t>Smith and Burns (1983) 46 M.L.R. 1 &amp; </w:t>
      </w:r>
      <w:r>
        <w:rPr>
          <w:rFonts w:ascii="Arial"/>
          <w:i/>
          <w:spacing w:val="-5"/>
          <w:sz w:val="20"/>
        </w:rPr>
        <w:t>7</w:t>
      </w:r>
      <w:r>
        <w:rPr>
          <w:spacing w:val="-5"/>
          <w:sz w:val="20"/>
        </w:rPr>
        <w:t>.</w:t>
      </w:r>
    </w:p>
    <w:p>
      <w:pPr>
        <w:pStyle w:val="BodyText"/>
        <w:spacing w:before="9"/>
      </w:pPr>
    </w:p>
    <w:p>
      <w:pPr>
        <w:pStyle w:val="BodyText"/>
        <w:spacing w:line="235" w:lineRule="auto"/>
        <w:ind w:left="705" w:right="167" w:hanging="541"/>
        <w:jc w:val="both"/>
      </w:pPr>
      <w:bookmarkStart w:name="_bookmark472" w:id="474"/>
      <w:bookmarkEnd w:id="474"/>
      <w:r>
        <w:rPr/>
      </w:r>
      <w:hyperlink w:history="true" w:anchor="_bookmark343">
        <w:r>
          <w:rPr>
            <w:color w:val="005DA1"/>
            <w:position w:val="5"/>
            <w:sz w:val="14"/>
            <w:u w:val="single" w:color="005DA1"/>
          </w:rPr>
          <w:t>226</w:t>
        </w:r>
      </w:hyperlink>
      <w:r>
        <w:rPr>
          <w:position w:val="5"/>
          <w:sz w:val="14"/>
        </w:rPr>
        <w:t>.</w:t>
      </w:r>
      <w:r>
        <w:rPr>
          <w:spacing w:val="80"/>
          <w:position w:val="5"/>
          <w:sz w:val="14"/>
        </w:rPr>
        <w:t>  </w:t>
      </w:r>
      <w:r>
        <w:rPr/>
        <w:t>This was one of the items claimed; the question whether the claim was proved was not </w:t>
      </w:r>
      <w:r>
        <w:rPr/>
        <w:t>before the House of Lords, which decided only that there was a cause of action in respect of it if negligence were established.</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9120">
            <wp:simplePos x="0" y="0"/>
            <wp:positionH relativeFrom="page">
              <wp:posOffset>1257846</wp:posOffset>
            </wp:positionH>
            <wp:positionV relativeFrom="paragraph">
              <wp:posOffset>160258</wp:posOffset>
            </wp:positionV>
            <wp:extent cx="107988" cy="107988"/>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473" w:id="475"/>
      <w:bookmarkEnd w:id="475"/>
      <w:r>
        <w:rPr/>
      </w:r>
      <w:hyperlink w:history="true" w:anchor="_bookmark344">
        <w:r>
          <w:rPr>
            <w:color w:val="005DA1"/>
            <w:spacing w:val="-4"/>
            <w:sz w:val="14"/>
            <w:u w:val="single" w:color="005DA1"/>
          </w:rPr>
          <w:t>227</w:t>
        </w:r>
      </w:hyperlink>
      <w:r>
        <w:rPr>
          <w:spacing w:val="-4"/>
          <w:sz w:val="14"/>
        </w:rPr>
        <w:t>.</w:t>
      </w:r>
    </w:p>
    <w:p>
      <w:pPr>
        <w:pStyle w:val="BodyText"/>
        <w:spacing w:line="235" w:lineRule="auto" w:before="212"/>
        <w:ind w:left="165" w:right="167" w:firstLine="170"/>
        <w:jc w:val="both"/>
      </w:pPr>
      <w:r>
        <w:rPr/>
        <w:br w:type="column"/>
      </w:r>
      <w:r>
        <w:rPr/>
        <w:t>The case was governed by Scots law, which recognises a jus quaesitum tertio, but the conditions giving rise to such a right were not satisfied. Nor were they satisfied in </w:t>
      </w:r>
      <w:r>
        <w:rPr>
          <w:rFonts w:ascii="Arial" w:hAnsi="Arial"/>
          <w:i/>
        </w:rPr>
        <w:t>Marquess </w:t>
      </w:r>
      <w:r>
        <w:rPr>
          <w:rFonts w:ascii="Arial" w:hAnsi="Arial"/>
          <w:i/>
        </w:rPr>
        <w:t>of Aberdeen and Temair v Turcan Connell [2008] CSOH 183, [2009] P.N.L.R. 18 </w:t>
      </w:r>
      <w:r>
        <w:rPr/>
        <w:t>where those conditions are stated at [47]: “the parties to the contract must intend to benefit the particular</w:t>
      </w:r>
      <w:r>
        <w:rPr>
          <w:spacing w:val="40"/>
        </w:rPr>
        <w:t> </w:t>
      </w:r>
      <w:r>
        <w:rPr/>
        <w:t>third party … and the party upon whom the benefit is conferred must be identified in the contract.” The Scottish Law Commission’s proposals for the reform and clarification of this branch of Scots law are contained in the Commission’s Review of Contract Law: Report on Third Party Rights, Scot Law Com No.245 (2016), which contains, in its Ch.2, a summary of the present law on the subject. The Draft Contract (Third Party Rights) (Scotland) Bill appended to this Report differs significantly from the English Contracts (Rights of Third Parties) Act 1999 (discussed in Vol.I, paras 18-090 et seq.). The above Report was substantially implemented when the Contract (Third Party Rights) (Scotland) Bill 2017 was passed by the Scottish Parliament, with some amendments, on September 21, 2017 (see paras 3 and 4 of the Policy Memorandum accompanying the Bill).</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4"/>
      </w:pPr>
    </w:p>
    <w:p>
      <w:pPr>
        <w:spacing w:line="235" w:lineRule="auto" w:before="1"/>
        <w:ind w:left="705" w:right="167" w:hanging="541"/>
        <w:jc w:val="both"/>
        <w:rPr>
          <w:sz w:val="20"/>
        </w:rPr>
      </w:pPr>
      <w:bookmarkStart w:name="_bookmark474" w:id="476"/>
      <w:bookmarkEnd w:id="476"/>
      <w:r>
        <w:rPr/>
      </w:r>
      <w:hyperlink w:history="true" w:anchor="_bookmark345">
        <w:r>
          <w:rPr>
            <w:color w:val="005DA1"/>
            <w:position w:val="5"/>
            <w:sz w:val="14"/>
            <w:u w:val="single" w:color="005DA1"/>
          </w:rPr>
          <w:t>228</w:t>
        </w:r>
      </w:hyperlink>
      <w:r>
        <w:rPr>
          <w:position w:val="5"/>
          <w:sz w:val="14"/>
        </w:rPr>
        <w:t>.</w:t>
      </w:r>
      <w:r>
        <w:rPr>
          <w:spacing w:val="80"/>
          <w:position w:val="5"/>
          <w:sz w:val="14"/>
        </w:rPr>
        <w:t>  </w:t>
      </w:r>
      <w:r>
        <w:rPr>
          <w:sz w:val="20"/>
        </w:rPr>
        <w:t>cf.</w:t>
      </w:r>
      <w:r>
        <w:rPr>
          <w:spacing w:val="19"/>
          <w:sz w:val="20"/>
        </w:rPr>
        <w:t> </w:t>
      </w:r>
      <w:r>
        <w:rPr>
          <w:rFonts w:ascii="Arial" w:hAnsi="Arial"/>
          <w:i/>
          <w:sz w:val="20"/>
        </w:rPr>
        <w:t>Murphy</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Brentwood</w:t>
      </w:r>
      <w:r>
        <w:rPr>
          <w:rFonts w:ascii="Arial" w:hAnsi="Arial"/>
          <w:i/>
          <w:spacing w:val="19"/>
          <w:sz w:val="20"/>
        </w:rPr>
        <w:t> </w:t>
      </w:r>
      <w:r>
        <w:rPr>
          <w:rFonts w:ascii="Arial" w:hAnsi="Arial"/>
          <w:i/>
          <w:sz w:val="20"/>
        </w:rPr>
        <w:t>DC</w:t>
      </w:r>
      <w:r>
        <w:rPr>
          <w:rFonts w:ascii="Arial" w:hAnsi="Arial"/>
          <w:i/>
          <w:spacing w:val="19"/>
          <w:sz w:val="20"/>
        </w:rPr>
        <w:t> </w:t>
      </w:r>
      <w:r>
        <w:rPr>
          <w:rFonts w:ascii="Arial" w:hAnsi="Arial"/>
          <w:i/>
          <w:sz w:val="20"/>
        </w:rPr>
        <w:t>[1991]</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A.C.</w:t>
      </w:r>
      <w:r>
        <w:rPr>
          <w:rFonts w:ascii="Arial" w:hAnsi="Arial"/>
          <w:i/>
          <w:spacing w:val="19"/>
          <w:sz w:val="20"/>
        </w:rPr>
        <w:t> </w:t>
      </w:r>
      <w:r>
        <w:rPr>
          <w:rFonts w:ascii="Arial" w:hAnsi="Arial"/>
          <w:i/>
          <w:sz w:val="20"/>
        </w:rPr>
        <w:t>398,</w:t>
      </w:r>
      <w:r>
        <w:rPr>
          <w:rFonts w:ascii="Arial" w:hAnsi="Arial"/>
          <w:i/>
          <w:spacing w:val="19"/>
          <w:sz w:val="20"/>
        </w:rPr>
        <w:t> </w:t>
      </w:r>
      <w:r>
        <w:rPr>
          <w:rFonts w:ascii="Arial" w:hAnsi="Arial"/>
          <w:i/>
          <w:sz w:val="20"/>
        </w:rPr>
        <w:t>469</w:t>
      </w:r>
      <w:r>
        <w:rPr>
          <w:sz w:val="20"/>
        </w:rPr>
        <w:t>.</w:t>
      </w:r>
      <w:r>
        <w:rPr>
          <w:spacing w:val="19"/>
          <w:sz w:val="20"/>
        </w:rPr>
        <w:t> </w:t>
      </w:r>
      <w:r>
        <w:rPr>
          <w:sz w:val="20"/>
        </w:rPr>
        <w:t>Lord</w:t>
      </w:r>
      <w:r>
        <w:rPr>
          <w:spacing w:val="19"/>
          <w:sz w:val="20"/>
        </w:rPr>
        <w:t> </w:t>
      </w:r>
      <w:r>
        <w:rPr>
          <w:sz w:val="20"/>
        </w:rPr>
        <w:t>Roskill</w:t>
      </w:r>
      <w:r>
        <w:rPr>
          <w:spacing w:val="19"/>
          <w:sz w:val="20"/>
        </w:rPr>
        <w:t> </w:t>
      </w:r>
      <w:r>
        <w:rPr>
          <w:sz w:val="20"/>
        </w:rPr>
        <w:t>in</w:t>
      </w:r>
      <w:r>
        <w:rPr>
          <w:spacing w:val="19"/>
          <w:sz w:val="20"/>
        </w:rPr>
        <w:t> </w:t>
      </w:r>
      <w:r>
        <w:rPr>
          <w:sz w:val="20"/>
        </w:rPr>
        <w:t>the </w:t>
      </w:r>
      <w:r>
        <w:rPr>
          <w:rFonts w:ascii="Arial" w:hAnsi="Arial"/>
          <w:i/>
          <w:sz w:val="20"/>
        </w:rPr>
        <w:t>Junior</w:t>
      </w:r>
      <w:r>
        <w:rPr>
          <w:rFonts w:ascii="Arial" w:hAnsi="Arial"/>
          <w:i/>
          <w:spacing w:val="19"/>
          <w:sz w:val="20"/>
        </w:rPr>
        <w:t> </w:t>
      </w:r>
      <w:r>
        <w:rPr>
          <w:rFonts w:ascii="Arial" w:hAnsi="Arial"/>
          <w:i/>
          <w:sz w:val="20"/>
        </w:rPr>
        <w:t>Books </w:t>
      </w:r>
      <w:r>
        <w:rPr>
          <w:sz w:val="20"/>
        </w:rPr>
        <w:t>case</w:t>
      </w:r>
      <w:r>
        <w:rPr>
          <w:spacing w:val="19"/>
          <w:sz w:val="20"/>
        </w:rPr>
        <w:t> </w:t>
      </w:r>
      <w:r>
        <w:rPr>
          <w:sz w:val="20"/>
        </w:rPr>
        <w:t>at 545 discusses (without reaching a definite conclusion) the question whether the pursuer </w:t>
      </w:r>
      <w:r>
        <w:rPr>
          <w:sz w:val="20"/>
        </w:rPr>
        <w:t>in </w:t>
      </w:r>
      <w:r>
        <w:rPr>
          <w:rFonts w:ascii="Arial" w:hAnsi="Arial"/>
          <w:i/>
          <w:sz w:val="20"/>
        </w:rPr>
        <w:t>Donoghue v Stevenson [1932] A.C. 562 </w:t>
      </w:r>
      <w:r>
        <w:rPr>
          <w:sz w:val="20"/>
        </w:rPr>
        <w:t>could have recovered damages “for the diminished value</w:t>
      </w:r>
      <w:r>
        <w:rPr>
          <w:spacing w:val="5"/>
          <w:sz w:val="20"/>
        </w:rPr>
        <w:t> </w:t>
      </w:r>
      <w:r>
        <w:rPr>
          <w:sz w:val="20"/>
        </w:rPr>
        <w:t>of</w:t>
      </w:r>
      <w:r>
        <w:rPr>
          <w:spacing w:val="7"/>
          <w:sz w:val="20"/>
        </w:rPr>
        <w:t> </w:t>
      </w:r>
      <w:r>
        <w:rPr>
          <w:sz w:val="20"/>
        </w:rPr>
        <w:t>the</w:t>
      </w:r>
      <w:r>
        <w:rPr>
          <w:spacing w:val="7"/>
          <w:sz w:val="20"/>
        </w:rPr>
        <w:t> </w:t>
      </w:r>
      <w:r>
        <w:rPr>
          <w:sz w:val="20"/>
        </w:rPr>
        <w:t>ginger</w:t>
      </w:r>
      <w:r>
        <w:rPr>
          <w:spacing w:val="7"/>
          <w:sz w:val="20"/>
        </w:rPr>
        <w:t> </w:t>
      </w:r>
      <w:r>
        <w:rPr>
          <w:sz w:val="20"/>
        </w:rPr>
        <w:t>beer”—not</w:t>
      </w:r>
      <w:r>
        <w:rPr>
          <w:spacing w:val="7"/>
          <w:sz w:val="20"/>
        </w:rPr>
        <w:t> </w:t>
      </w:r>
      <w:r>
        <w:rPr>
          <w:sz w:val="20"/>
        </w:rPr>
        <w:t>for</w:t>
      </w:r>
      <w:r>
        <w:rPr>
          <w:spacing w:val="7"/>
          <w:sz w:val="20"/>
        </w:rPr>
        <w:t> </w:t>
      </w:r>
      <w:r>
        <w:rPr>
          <w:sz w:val="20"/>
        </w:rPr>
        <w:t>the</w:t>
      </w:r>
      <w:r>
        <w:rPr>
          <w:spacing w:val="7"/>
          <w:sz w:val="20"/>
        </w:rPr>
        <w:t> </w:t>
      </w:r>
      <w:r>
        <w:rPr>
          <w:sz w:val="20"/>
        </w:rPr>
        <w:t>cost</w:t>
      </w:r>
      <w:r>
        <w:rPr>
          <w:spacing w:val="7"/>
          <w:sz w:val="20"/>
        </w:rPr>
        <w:t> </w:t>
      </w:r>
      <w:r>
        <w:rPr>
          <w:sz w:val="20"/>
        </w:rPr>
        <w:t>of</w:t>
      </w:r>
      <w:r>
        <w:rPr>
          <w:spacing w:val="7"/>
          <w:sz w:val="20"/>
        </w:rPr>
        <w:t> </w:t>
      </w:r>
      <w:r>
        <w:rPr>
          <w:sz w:val="20"/>
        </w:rPr>
        <w:t>replacing</w:t>
      </w:r>
      <w:r>
        <w:rPr>
          <w:spacing w:val="7"/>
          <w:sz w:val="20"/>
        </w:rPr>
        <w:t> </w:t>
      </w:r>
      <w:r>
        <w:rPr>
          <w:sz w:val="20"/>
        </w:rPr>
        <w:t>the</w:t>
      </w:r>
      <w:r>
        <w:rPr>
          <w:spacing w:val="7"/>
          <w:sz w:val="20"/>
        </w:rPr>
        <w:t> </w:t>
      </w:r>
      <w:r>
        <w:rPr>
          <w:sz w:val="20"/>
        </w:rPr>
        <w:t>contaminated</w:t>
      </w:r>
      <w:r>
        <w:rPr>
          <w:spacing w:val="7"/>
          <w:sz w:val="20"/>
        </w:rPr>
        <w:t> </w:t>
      </w:r>
      <w:r>
        <w:rPr>
          <w:sz w:val="20"/>
        </w:rPr>
        <w:t>with</w:t>
      </w:r>
      <w:r>
        <w:rPr>
          <w:spacing w:val="7"/>
          <w:sz w:val="20"/>
        </w:rPr>
        <w:t> </w:t>
      </w:r>
      <w:r>
        <w:rPr>
          <w:sz w:val="20"/>
        </w:rPr>
        <w:t>pure</w:t>
      </w:r>
      <w:r>
        <w:rPr>
          <w:spacing w:val="7"/>
          <w:sz w:val="20"/>
        </w:rPr>
        <w:t> </w:t>
      </w:r>
      <w:r>
        <w:rPr>
          <w:sz w:val="20"/>
        </w:rPr>
        <w:t>ginger</w:t>
      </w:r>
      <w:r>
        <w:rPr>
          <w:spacing w:val="7"/>
          <w:sz w:val="20"/>
        </w:rPr>
        <w:t> </w:t>
      </w:r>
      <w:r>
        <w:rPr>
          <w:spacing w:val="-2"/>
          <w:sz w:val="20"/>
        </w:rPr>
        <w:t>beer.</w:t>
      </w:r>
    </w:p>
    <w:p>
      <w:pPr>
        <w:spacing w:after="0" w:line="235" w:lineRule="auto"/>
        <w:jc w:val="both"/>
        <w:rPr>
          <w:sz w:val="20"/>
        </w:rPr>
        <w:sectPr>
          <w:type w:val="continuous"/>
          <w:pgSz w:w="11900" w:h="16840"/>
          <w:pgMar w:header="971" w:footer="0" w:top="1160" w:bottom="280" w:left="1275" w:right="1275"/>
        </w:sectPr>
      </w:pPr>
    </w:p>
    <w:p>
      <w:pPr>
        <w:pStyle w:val="BodyText"/>
        <w:spacing w:before="24"/>
      </w:pPr>
    </w:p>
    <w:p>
      <w:pPr>
        <w:pStyle w:val="BodyText"/>
        <w:spacing w:line="235" w:lineRule="auto" w:before="1"/>
        <w:ind w:left="705" w:right="167"/>
      </w:pPr>
      <w:r>
        <w:rPr/>
        <w:t>Even</w:t>
      </w:r>
      <w:r>
        <w:rPr>
          <w:spacing w:val="26"/>
        </w:rPr>
        <w:t> </w:t>
      </w:r>
      <w:r>
        <w:rPr/>
        <w:t>the</w:t>
      </w:r>
      <w:r>
        <w:rPr>
          <w:spacing w:val="26"/>
        </w:rPr>
        <w:t> </w:t>
      </w:r>
      <w:r>
        <w:rPr/>
        <w:t>former</w:t>
      </w:r>
      <w:r>
        <w:rPr>
          <w:spacing w:val="26"/>
        </w:rPr>
        <w:t> </w:t>
      </w:r>
      <w:r>
        <w:rPr/>
        <w:t>basis</w:t>
      </w:r>
      <w:r>
        <w:rPr>
          <w:spacing w:val="26"/>
        </w:rPr>
        <w:t> </w:t>
      </w:r>
      <w:r>
        <w:rPr/>
        <w:t>of</w:t>
      </w:r>
      <w:r>
        <w:rPr>
          <w:spacing w:val="26"/>
        </w:rPr>
        <w:t> </w:t>
      </w:r>
      <w:r>
        <w:rPr/>
        <w:t>assessment</w:t>
      </w:r>
      <w:r>
        <w:rPr>
          <w:spacing w:val="26"/>
        </w:rPr>
        <w:t> </w:t>
      </w:r>
      <w:r>
        <w:rPr/>
        <w:t>would</w:t>
      </w:r>
      <w:r>
        <w:rPr>
          <w:spacing w:val="26"/>
        </w:rPr>
        <w:t> </w:t>
      </w:r>
      <w:r>
        <w:rPr/>
        <w:t>seem</w:t>
      </w:r>
      <w:r>
        <w:rPr>
          <w:spacing w:val="26"/>
        </w:rPr>
        <w:t> </w:t>
      </w:r>
      <w:r>
        <w:rPr/>
        <w:t>to</w:t>
      </w:r>
      <w:r>
        <w:rPr>
          <w:spacing w:val="26"/>
        </w:rPr>
        <w:t> </w:t>
      </w:r>
      <w:r>
        <w:rPr/>
        <w:t>be</w:t>
      </w:r>
      <w:r>
        <w:rPr>
          <w:spacing w:val="26"/>
        </w:rPr>
        <w:t> </w:t>
      </w:r>
      <w:r>
        <w:rPr/>
        <w:t>ruled</w:t>
      </w:r>
      <w:r>
        <w:rPr>
          <w:spacing w:val="26"/>
        </w:rPr>
        <w:t> </w:t>
      </w:r>
      <w:r>
        <w:rPr/>
        <w:t>out</w:t>
      </w:r>
      <w:r>
        <w:rPr>
          <w:spacing w:val="26"/>
        </w:rPr>
        <w:t> </w:t>
      </w:r>
      <w:r>
        <w:rPr/>
        <w:t>by</w:t>
      </w:r>
      <w:r>
        <w:rPr>
          <w:spacing w:val="26"/>
        </w:rPr>
        <w:t> </w:t>
      </w:r>
      <w:r>
        <w:rPr/>
        <w:t>the</w:t>
      </w:r>
      <w:r>
        <w:rPr>
          <w:spacing w:val="26"/>
        </w:rPr>
        <w:t> </w:t>
      </w:r>
      <w:r>
        <w:rPr/>
        <w:t>authorities</w:t>
      </w:r>
      <w:r>
        <w:rPr>
          <w:spacing w:val="26"/>
        </w:rPr>
        <w:t> </w:t>
      </w:r>
      <w:r>
        <w:rPr/>
        <w:t>cited</w:t>
      </w:r>
      <w:r>
        <w:rPr>
          <w:spacing w:val="26"/>
        </w:rPr>
        <w:t> </w:t>
      </w:r>
      <w:r>
        <w:rPr/>
        <w:t>in para.18-035, n.205, above.</w:t>
      </w:r>
    </w:p>
    <w:p>
      <w:pPr>
        <w:pStyle w:val="BodyText"/>
        <w:spacing w:before="5"/>
      </w:pPr>
    </w:p>
    <w:p>
      <w:pPr>
        <w:tabs>
          <w:tab w:pos="705" w:val="left" w:leader="none"/>
        </w:tabs>
        <w:spacing w:before="0"/>
        <w:ind w:left="165" w:right="0" w:firstLine="0"/>
        <w:jc w:val="left"/>
        <w:rPr>
          <w:sz w:val="20"/>
        </w:rPr>
      </w:pPr>
      <w:bookmarkStart w:name="_bookmark475" w:id="477"/>
      <w:bookmarkEnd w:id="477"/>
      <w:r>
        <w:rPr/>
      </w:r>
      <w:hyperlink w:history="true" w:anchor="_bookmark346">
        <w:r>
          <w:rPr>
            <w:color w:val="005DA1"/>
            <w:spacing w:val="-4"/>
            <w:position w:val="5"/>
            <w:sz w:val="14"/>
            <w:u w:val="single" w:color="005DA1"/>
          </w:rPr>
          <w:t>229</w:t>
        </w:r>
      </w:hyperlink>
      <w:r>
        <w:rPr>
          <w:spacing w:val="-4"/>
          <w:position w:val="5"/>
          <w:sz w:val="14"/>
        </w:rPr>
        <w:t>.</w:t>
      </w:r>
      <w:r>
        <w:rPr>
          <w:position w:val="5"/>
          <w:sz w:val="14"/>
        </w:rPr>
        <w:tab/>
      </w:r>
      <w:r>
        <w:rPr>
          <w:rFonts w:ascii="Arial"/>
          <w:i/>
          <w:sz w:val="20"/>
        </w:rPr>
        <w:t>[1983]</w:t>
      </w:r>
      <w:r>
        <w:rPr>
          <w:rFonts w:ascii="Arial"/>
          <w:i/>
          <w:spacing w:val="-2"/>
          <w:sz w:val="20"/>
        </w:rPr>
        <w:t> </w:t>
      </w:r>
      <w:r>
        <w:rPr>
          <w:rFonts w:ascii="Arial"/>
          <w:i/>
          <w:sz w:val="20"/>
        </w:rPr>
        <w:t>1 A.C. 520, </w:t>
      </w:r>
      <w:r>
        <w:rPr>
          <w:rFonts w:ascii="Arial"/>
          <w:i/>
          <w:spacing w:val="-4"/>
          <w:sz w:val="20"/>
        </w:rPr>
        <w:t>536</w:t>
      </w:r>
      <w:r>
        <w:rPr>
          <w:spacing w:val="-4"/>
          <w:sz w:val="20"/>
        </w:rPr>
        <w:t>.</w:t>
      </w:r>
    </w:p>
    <w:p>
      <w:pPr>
        <w:pStyle w:val="BodyText"/>
        <w:spacing w:before="5"/>
      </w:pPr>
    </w:p>
    <w:p>
      <w:pPr>
        <w:pStyle w:val="BodyText"/>
        <w:tabs>
          <w:tab w:pos="705" w:val="left" w:leader="none"/>
        </w:tabs>
        <w:ind w:left="165"/>
      </w:pPr>
      <w:bookmarkStart w:name="_bookmark476" w:id="478"/>
      <w:bookmarkEnd w:id="478"/>
      <w:r>
        <w:rPr/>
      </w:r>
      <w:hyperlink w:history="true" w:anchor="_bookmark347">
        <w:r>
          <w:rPr>
            <w:color w:val="005DA1"/>
            <w:spacing w:val="-4"/>
            <w:position w:val="5"/>
            <w:sz w:val="14"/>
            <w:u w:val="single" w:color="005DA1"/>
          </w:rPr>
          <w:t>230</w:t>
        </w:r>
      </w:hyperlink>
      <w:r>
        <w:rPr>
          <w:spacing w:val="-4"/>
          <w:position w:val="5"/>
          <w:sz w:val="14"/>
        </w:rPr>
        <w:t>.</w:t>
      </w:r>
      <w:r>
        <w:rPr>
          <w:position w:val="5"/>
          <w:sz w:val="14"/>
        </w:rPr>
        <w:tab/>
      </w:r>
      <w:r>
        <w:rPr/>
        <w:t>cf. below para.26-</w:t>
      </w:r>
      <w:r>
        <w:rPr>
          <w:spacing w:val="-4"/>
        </w:rPr>
        <w:t>102.</w:t>
      </w:r>
    </w:p>
    <w:p>
      <w:pPr>
        <w:pStyle w:val="BodyText"/>
        <w:spacing w:before="5"/>
      </w:pPr>
    </w:p>
    <w:p>
      <w:pPr>
        <w:tabs>
          <w:tab w:pos="705" w:val="left" w:leader="none"/>
        </w:tabs>
        <w:spacing w:before="0"/>
        <w:ind w:left="165" w:right="0" w:firstLine="0"/>
        <w:jc w:val="left"/>
        <w:rPr>
          <w:sz w:val="20"/>
        </w:rPr>
      </w:pPr>
      <w:bookmarkStart w:name="_bookmark477" w:id="479"/>
      <w:bookmarkEnd w:id="479"/>
      <w:r>
        <w:rPr/>
      </w:r>
      <w:hyperlink w:history="true" w:anchor="_bookmark348">
        <w:r>
          <w:rPr>
            <w:color w:val="005DA1"/>
            <w:spacing w:val="-4"/>
            <w:position w:val="5"/>
            <w:sz w:val="14"/>
            <w:u w:val="single" w:color="005DA1"/>
          </w:rPr>
          <w:t>231</w:t>
        </w:r>
      </w:hyperlink>
      <w:r>
        <w:rPr>
          <w:spacing w:val="-4"/>
          <w:position w:val="5"/>
          <w:sz w:val="14"/>
        </w:rPr>
        <w:t>.</w:t>
      </w:r>
      <w:r>
        <w:rPr>
          <w:position w:val="5"/>
          <w:sz w:val="14"/>
        </w:rPr>
        <w:tab/>
      </w:r>
      <w:r>
        <w:rPr>
          <w:sz w:val="20"/>
        </w:rPr>
        <w:t>Above para.18-</w:t>
      </w:r>
      <w:r>
        <w:rPr>
          <w:spacing w:val="-4"/>
          <w:sz w:val="20"/>
        </w:rPr>
        <w:t>029.</w:t>
      </w:r>
    </w:p>
    <w:p>
      <w:pPr>
        <w:pStyle w:val="BodyText"/>
        <w:spacing w:before="5"/>
      </w:pPr>
    </w:p>
    <w:p>
      <w:pPr>
        <w:tabs>
          <w:tab w:pos="705" w:val="left" w:leader="none"/>
        </w:tabs>
        <w:spacing w:before="0"/>
        <w:ind w:left="165" w:right="0" w:firstLine="0"/>
        <w:jc w:val="left"/>
        <w:rPr>
          <w:sz w:val="20"/>
        </w:rPr>
      </w:pPr>
      <w:bookmarkStart w:name="_bookmark478" w:id="480"/>
      <w:bookmarkEnd w:id="480"/>
      <w:r>
        <w:rPr/>
      </w:r>
      <w:hyperlink w:history="true" w:anchor="_bookmark349">
        <w:r>
          <w:rPr>
            <w:color w:val="005DA1"/>
            <w:spacing w:val="-4"/>
            <w:position w:val="5"/>
            <w:sz w:val="14"/>
            <w:u w:val="single" w:color="005DA1"/>
          </w:rPr>
          <w:t>232</w:t>
        </w:r>
      </w:hyperlink>
      <w:r>
        <w:rPr>
          <w:spacing w:val="-4"/>
          <w:position w:val="5"/>
          <w:sz w:val="14"/>
        </w:rPr>
        <w:t>.</w:t>
      </w:r>
      <w:r>
        <w:rPr>
          <w:position w:val="5"/>
          <w:sz w:val="14"/>
        </w:rPr>
        <w:tab/>
      </w:r>
      <w:r>
        <w:rPr>
          <w:rFonts w:ascii="Arial" w:hAnsi="Arial"/>
          <w:i/>
          <w:sz w:val="20"/>
        </w:rPr>
        <w:t>[1986] Q.B. 507, 523, </w:t>
      </w:r>
      <w:r>
        <w:rPr>
          <w:rFonts w:ascii="Arial" w:hAnsi="Arial"/>
          <w:i/>
          <w:spacing w:val="-2"/>
          <w:sz w:val="20"/>
        </w:rPr>
        <w:t>533–535</w:t>
      </w:r>
      <w:r>
        <w:rPr>
          <w:spacing w:val="-2"/>
          <w:sz w:val="20"/>
        </w:rPr>
        <w:t>.</w:t>
      </w:r>
    </w:p>
    <w:p>
      <w:pPr>
        <w:pStyle w:val="BodyText"/>
        <w:spacing w:before="9"/>
      </w:pPr>
    </w:p>
    <w:p>
      <w:pPr>
        <w:spacing w:line="235" w:lineRule="auto" w:before="0"/>
        <w:ind w:left="705" w:right="168" w:hanging="541"/>
        <w:jc w:val="both"/>
        <w:rPr>
          <w:sz w:val="20"/>
        </w:rPr>
      </w:pPr>
      <w:bookmarkStart w:name="_bookmark479" w:id="481"/>
      <w:bookmarkEnd w:id="481"/>
      <w:r>
        <w:rPr/>
      </w:r>
      <w:hyperlink w:history="true" w:anchor="_bookmark350">
        <w:r>
          <w:rPr>
            <w:color w:val="005DA1"/>
            <w:position w:val="5"/>
            <w:sz w:val="14"/>
            <w:u w:val="single" w:color="005DA1"/>
          </w:rPr>
          <w:t>233</w:t>
        </w:r>
      </w:hyperlink>
      <w:r>
        <w:rPr>
          <w:position w:val="5"/>
          <w:sz w:val="14"/>
        </w:rPr>
        <w:t>.</w:t>
      </w:r>
      <w:r>
        <w:rPr>
          <w:spacing w:val="80"/>
          <w:position w:val="5"/>
          <w:sz w:val="14"/>
        </w:rPr>
        <w:t>  </w:t>
      </w:r>
      <w:r>
        <w:rPr>
          <w:rFonts w:ascii="Arial" w:hAnsi="Arial"/>
          <w:i/>
          <w:sz w:val="20"/>
        </w:rPr>
        <w:t>[1983] 1 A.C. 520, 533 </w:t>
      </w:r>
      <w:r>
        <w:rPr>
          <w:sz w:val="20"/>
        </w:rPr>
        <w:t>(per Lord Fraser, who took the same narrow view of the </w:t>
      </w:r>
      <w:r>
        <w:rPr>
          <w:rFonts w:ascii="Arial" w:hAnsi="Arial"/>
          <w:i/>
          <w:sz w:val="20"/>
        </w:rPr>
        <w:t>Junior </w:t>
      </w:r>
      <w:r>
        <w:rPr>
          <w:rFonts w:ascii="Arial" w:hAnsi="Arial"/>
          <w:i/>
          <w:sz w:val="20"/>
        </w:rPr>
        <w:t>Books </w:t>
      </w:r>
      <w:r>
        <w:rPr>
          <w:sz w:val="20"/>
        </w:rPr>
        <w:t>case in </w:t>
      </w:r>
      <w:r>
        <w:rPr>
          <w:rFonts w:ascii="Arial" w:hAnsi="Arial"/>
          <w:i/>
          <w:sz w:val="20"/>
        </w:rPr>
        <w:t>The Mineral Transporter [1986] A.C. 1, 24–25</w:t>
      </w:r>
      <w:r>
        <w:rPr>
          <w:sz w:val="20"/>
        </w:rPr>
        <w:t>); and </w:t>
      </w:r>
      <w:r>
        <w:rPr>
          <w:rFonts w:ascii="Arial" w:hAnsi="Arial"/>
          <w:i/>
          <w:sz w:val="20"/>
        </w:rPr>
        <w:t>[1983] 1 A.C. 520, 546 </w:t>
      </w:r>
      <w:r>
        <w:rPr>
          <w:sz w:val="20"/>
        </w:rPr>
        <w:t>(per Lord </w:t>
      </w:r>
      <w:r>
        <w:rPr>
          <w:spacing w:val="-2"/>
          <w:sz w:val="20"/>
        </w:rPr>
        <w:t>Roskill).</w:t>
      </w:r>
    </w:p>
    <w:p>
      <w:pPr>
        <w:pStyle w:val="BodyText"/>
        <w:spacing w:before="9"/>
      </w:pPr>
    </w:p>
    <w:p>
      <w:pPr>
        <w:pStyle w:val="BodyText"/>
        <w:tabs>
          <w:tab w:pos="705" w:val="left" w:leader="none"/>
        </w:tabs>
        <w:spacing w:line="235" w:lineRule="auto"/>
        <w:ind w:left="705" w:right="168" w:hanging="541"/>
      </w:pPr>
      <w:bookmarkStart w:name="_bookmark480" w:id="482"/>
      <w:bookmarkEnd w:id="482"/>
      <w:r>
        <w:rPr/>
      </w:r>
      <w:hyperlink w:history="true" w:anchor="_bookmark350">
        <w:r>
          <w:rPr>
            <w:color w:val="005DA1"/>
            <w:spacing w:val="-4"/>
            <w:position w:val="5"/>
            <w:sz w:val="14"/>
            <w:u w:val="single" w:color="005DA1"/>
          </w:rPr>
          <w:t>234</w:t>
        </w:r>
      </w:hyperlink>
      <w:r>
        <w:rPr>
          <w:spacing w:val="-4"/>
          <w:position w:val="5"/>
          <w:sz w:val="14"/>
        </w:rPr>
        <w:t>.</w:t>
      </w:r>
      <w:r>
        <w:rPr>
          <w:position w:val="5"/>
          <w:sz w:val="14"/>
        </w:rPr>
        <w:tab/>
      </w:r>
      <w:r>
        <w:rPr/>
        <w:t>For the different treatment of the “disappointed beneficiary” and analogous cases, see below,</w:t>
      </w:r>
      <w:r>
        <w:rPr>
          <w:spacing w:val="40"/>
        </w:rPr>
        <w:t> </w:t>
      </w:r>
      <w:r>
        <w:rPr/>
        <w:t>paras 18-039-18-041.</w:t>
      </w:r>
    </w:p>
    <w:p>
      <w:pPr>
        <w:pStyle w:val="BodyText"/>
        <w:spacing w:before="9"/>
      </w:pPr>
    </w:p>
    <w:p>
      <w:pPr>
        <w:spacing w:line="235" w:lineRule="auto" w:before="0"/>
        <w:ind w:left="705" w:right="167" w:hanging="541"/>
        <w:jc w:val="both"/>
        <w:rPr>
          <w:sz w:val="20"/>
        </w:rPr>
      </w:pPr>
      <w:bookmarkStart w:name="_bookmark481" w:id="483"/>
      <w:bookmarkEnd w:id="483"/>
      <w:r>
        <w:rPr/>
      </w:r>
      <w:hyperlink w:history="true" w:anchor="_bookmark351">
        <w:r>
          <w:rPr>
            <w:color w:val="005DA1"/>
            <w:position w:val="5"/>
            <w:sz w:val="14"/>
            <w:u w:val="single" w:color="005DA1"/>
          </w:rPr>
          <w:t>235</w:t>
        </w:r>
      </w:hyperlink>
      <w:r>
        <w:rPr>
          <w:position w:val="5"/>
          <w:sz w:val="14"/>
        </w:rPr>
        <w:t>.</w:t>
      </w:r>
      <w:r>
        <w:rPr>
          <w:spacing w:val="80"/>
          <w:position w:val="5"/>
          <w:sz w:val="14"/>
        </w:rPr>
        <w:t>  </w:t>
      </w:r>
      <w:r>
        <w:rPr>
          <w:sz w:val="20"/>
        </w:rPr>
        <w:t>i.e. </w:t>
      </w:r>
      <w:r>
        <w:rPr>
          <w:rFonts w:ascii="Arial"/>
          <w:i/>
          <w:sz w:val="20"/>
        </w:rPr>
        <w:t>Tate &amp; Lyle Industries Ltd v G.L.C. [1983] 2 A.C. 509</w:t>
      </w:r>
      <w:r>
        <w:rPr>
          <w:sz w:val="20"/>
        </w:rPr>
        <w:t>; </w:t>
      </w:r>
      <w:r>
        <w:rPr>
          <w:rFonts w:ascii="Arial"/>
          <w:i/>
          <w:sz w:val="20"/>
        </w:rPr>
        <w:t>Balsamo v Medici [1984] 1 </w:t>
      </w:r>
      <w:r>
        <w:rPr>
          <w:rFonts w:ascii="Arial"/>
          <w:i/>
          <w:sz w:val="20"/>
        </w:rPr>
        <w:t>W.L.R. 951</w:t>
      </w:r>
      <w:r>
        <w:rPr>
          <w:sz w:val="20"/>
        </w:rPr>
        <w:t>; </w:t>
      </w:r>
      <w:r>
        <w:rPr>
          <w:rFonts w:ascii="Arial"/>
          <w:i/>
          <w:sz w:val="20"/>
        </w:rPr>
        <w:t>Candlewood Navigation Corp. v Mitsui O.S.K. Lines (The Mineral Transporter) [1986] A.C. 1</w:t>
      </w:r>
      <w:r>
        <w:rPr>
          <w:sz w:val="20"/>
        </w:rPr>
        <w:t>; </w:t>
      </w:r>
      <w:r>
        <w:rPr>
          <w:rFonts w:ascii="Arial"/>
          <w:i/>
          <w:sz w:val="20"/>
        </w:rPr>
        <w:t>Muirhead v Industrial Tank Specialities Ltd [1986] Q.B. 507</w:t>
      </w:r>
      <w:r>
        <w:rPr>
          <w:sz w:val="20"/>
        </w:rPr>
        <w:t>; </w:t>
      </w:r>
      <w:r>
        <w:rPr>
          <w:rFonts w:ascii="Arial"/>
          <w:i/>
          <w:sz w:val="20"/>
        </w:rPr>
        <w:t>Leigh &amp; Sillavan Ltd v Aliakmon Shipping Co Ltd (The Aliakmon) [1986] A.C. 785</w:t>
      </w:r>
      <w:r>
        <w:rPr>
          <w:sz w:val="20"/>
        </w:rPr>
        <w:t>; </w:t>
      </w:r>
      <w:r>
        <w:rPr>
          <w:rFonts w:ascii="Arial"/>
          <w:i/>
          <w:sz w:val="20"/>
        </w:rPr>
        <w:t>Aswan Engineering Establishment Co v Lupdine Ltd [1987] 1 W.L.R. 1</w:t>
      </w:r>
      <w:r>
        <w:rPr>
          <w:sz w:val="20"/>
        </w:rPr>
        <w:t>; cf. also </w:t>
      </w:r>
      <w:r>
        <w:rPr>
          <w:rFonts w:ascii="Arial"/>
          <w:i/>
          <w:sz w:val="20"/>
        </w:rPr>
        <w:t>Smith v Littlewoods Organisation Ltd [1987] A.C. 241, 280</w:t>
      </w:r>
      <w:r>
        <w:rPr>
          <w:sz w:val="20"/>
        </w:rPr>
        <w:t>; </w:t>
      </w:r>
      <w:r>
        <w:rPr>
          <w:rFonts w:ascii="Arial"/>
          <w:i/>
          <w:sz w:val="20"/>
        </w:rPr>
        <w:t>Yuen Kun Yeu v Att.-Gen. of Hong Kong [1988] A.C. 175</w:t>
      </w:r>
      <w:r>
        <w:rPr>
          <w:sz w:val="20"/>
        </w:rPr>
        <w:t>; </w:t>
      </w:r>
      <w:r>
        <w:rPr>
          <w:rFonts w:ascii="Arial"/>
          <w:i/>
          <w:sz w:val="20"/>
        </w:rPr>
        <w:t>Simaan General Contracting Co v Pilkington Glass Ltd (No.2) [1988] Q.B. 758</w:t>
      </w:r>
      <w:r>
        <w:rPr>
          <w:sz w:val="20"/>
        </w:rPr>
        <w:t>; </w:t>
      </w:r>
      <w:r>
        <w:rPr>
          <w:rFonts w:ascii="Arial"/>
          <w:i/>
          <w:sz w:val="20"/>
        </w:rPr>
        <w:t>Greater Nottingham Co-operative Society Ltd v Cementation Piling &amp; Foundation Ltd [1989] Q.B. 71, 84</w:t>
      </w:r>
      <w:r>
        <w:rPr>
          <w:sz w:val="20"/>
        </w:rPr>
        <w:t>; </w:t>
      </w:r>
      <w:r>
        <w:rPr>
          <w:rFonts w:ascii="Arial"/>
          <w:i/>
          <w:sz w:val="20"/>
        </w:rPr>
        <w:t>Davies v Radcliffe [1990] 1 W.L.R. 821</w:t>
      </w:r>
      <w:r>
        <w:rPr>
          <w:sz w:val="20"/>
        </w:rPr>
        <w:t>; </w:t>
      </w:r>
      <w:r>
        <w:rPr>
          <w:rFonts w:ascii="Arial"/>
          <w:i/>
          <w:sz w:val="20"/>
        </w:rPr>
        <w:t>Parker-Tweedale v Dunbar Bank plc [1991] Ch. 12, 24</w:t>
      </w:r>
      <w:r>
        <w:rPr>
          <w:sz w:val="20"/>
        </w:rPr>
        <w:t>; </w:t>
      </w:r>
      <w:r>
        <w:rPr>
          <w:rFonts w:ascii="Arial"/>
          <w:i/>
          <w:sz w:val="20"/>
        </w:rPr>
        <w:t>Deloitte Haskins &amp; Sells v National Mutual Life Nominees [1993] A.C. 774</w:t>
      </w:r>
      <w:r>
        <w:rPr>
          <w:sz w:val="20"/>
        </w:rPr>
        <w:t>.</w:t>
      </w:r>
    </w:p>
    <w:p>
      <w:pPr>
        <w:pStyle w:val="BodyText"/>
        <w:spacing w:before="6"/>
      </w:pPr>
    </w:p>
    <w:p>
      <w:pPr>
        <w:tabs>
          <w:tab w:pos="705" w:val="left" w:leader="none"/>
        </w:tabs>
        <w:spacing w:line="235" w:lineRule="auto" w:before="0"/>
        <w:ind w:left="705" w:right="168" w:hanging="541"/>
        <w:jc w:val="left"/>
        <w:rPr>
          <w:sz w:val="20"/>
        </w:rPr>
      </w:pPr>
      <w:bookmarkStart w:name="_bookmark482" w:id="484"/>
      <w:bookmarkEnd w:id="484"/>
      <w:r>
        <w:rPr/>
      </w:r>
      <w:hyperlink w:history="true" w:anchor="_bookmark352">
        <w:r>
          <w:rPr>
            <w:color w:val="005DA1"/>
            <w:spacing w:val="-4"/>
            <w:position w:val="5"/>
            <w:sz w:val="14"/>
            <w:u w:val="single" w:color="005DA1"/>
          </w:rPr>
          <w:t>236</w:t>
        </w:r>
      </w:hyperlink>
      <w:r>
        <w:rPr>
          <w:spacing w:val="-4"/>
          <w:position w:val="5"/>
          <w:sz w:val="14"/>
        </w:rPr>
        <w:t>.</w:t>
      </w:r>
      <w:r>
        <w:rPr>
          <w:position w:val="5"/>
          <w:sz w:val="14"/>
        </w:rPr>
        <w:tab/>
      </w:r>
      <w:r>
        <w:rPr>
          <w:rFonts w:ascii="Arial"/>
          <w:i/>
          <w:sz w:val="20"/>
        </w:rPr>
        <w:t>D. &amp; F. Estates Ltd v Church Commissioners for England [1989] A.C. 177</w:t>
      </w:r>
      <w:r>
        <w:rPr>
          <w:sz w:val="20"/>
        </w:rPr>
        <w:t>; </w:t>
      </w:r>
      <w:r>
        <w:rPr>
          <w:rFonts w:ascii="Arial"/>
          <w:i/>
          <w:sz w:val="20"/>
        </w:rPr>
        <w:t>Department of </w:t>
      </w:r>
      <w:r>
        <w:rPr>
          <w:rFonts w:ascii="Arial"/>
          <w:i/>
          <w:sz w:val="20"/>
        </w:rPr>
        <w:t>the</w:t>
      </w:r>
      <w:r>
        <w:rPr>
          <w:rFonts w:ascii="Arial"/>
          <w:i/>
          <w:spacing w:val="40"/>
          <w:sz w:val="20"/>
        </w:rPr>
        <w:t> </w:t>
      </w:r>
      <w:r>
        <w:rPr>
          <w:rFonts w:ascii="Arial"/>
          <w:i/>
          <w:sz w:val="20"/>
        </w:rPr>
        <w:t>Environment v Thomas Bates &amp; Son Ltd [1991] 1 A.C. 449</w:t>
      </w:r>
      <w:r>
        <w:rPr>
          <w:sz w:val="20"/>
        </w:rPr>
        <w:t>.</w:t>
      </w:r>
    </w:p>
    <w:p>
      <w:pPr>
        <w:pStyle w:val="BodyText"/>
        <w:spacing w:before="10"/>
      </w:pPr>
    </w:p>
    <w:p>
      <w:pPr>
        <w:pStyle w:val="BodyText"/>
        <w:tabs>
          <w:tab w:pos="705" w:val="left" w:leader="none"/>
        </w:tabs>
        <w:spacing w:line="235" w:lineRule="auto"/>
        <w:ind w:left="705" w:right="168" w:hanging="541"/>
      </w:pPr>
      <w:bookmarkStart w:name="_bookmark483" w:id="485"/>
      <w:bookmarkEnd w:id="485"/>
      <w:r>
        <w:rPr/>
      </w:r>
      <w:hyperlink w:history="true" w:anchor="_bookmark353">
        <w:r>
          <w:rPr>
            <w:color w:val="005DA1"/>
            <w:spacing w:val="-4"/>
            <w:position w:val="5"/>
            <w:sz w:val="14"/>
            <w:u w:val="single" w:color="005DA1"/>
          </w:rPr>
          <w:t>237</w:t>
        </w:r>
      </w:hyperlink>
      <w:r>
        <w:rPr>
          <w:spacing w:val="-4"/>
          <w:position w:val="5"/>
          <w:sz w:val="14"/>
        </w:rPr>
        <w:t>.</w:t>
      </w:r>
      <w:r>
        <w:rPr>
          <w:position w:val="5"/>
          <w:sz w:val="14"/>
        </w:rPr>
        <w:tab/>
      </w:r>
      <w:r>
        <w:rPr/>
        <w:t>In</w:t>
      </w:r>
      <w:r>
        <w:rPr>
          <w:spacing w:val="39"/>
        </w:rPr>
        <w:t> </w:t>
      </w:r>
      <w:r>
        <w:rPr/>
        <w:t>the</w:t>
      </w:r>
      <w:r>
        <w:rPr>
          <w:spacing w:val="39"/>
        </w:rPr>
        <w:t> </w:t>
      </w:r>
      <w:r>
        <w:rPr>
          <w:rFonts w:ascii="Arial"/>
          <w:i/>
        </w:rPr>
        <w:t>D.</w:t>
      </w:r>
      <w:r>
        <w:rPr>
          <w:rFonts w:ascii="Arial"/>
          <w:i/>
          <w:spacing w:val="39"/>
        </w:rPr>
        <w:t> </w:t>
      </w:r>
      <w:r>
        <w:rPr>
          <w:rFonts w:ascii="Arial"/>
          <w:i/>
        </w:rPr>
        <w:t>&amp;</w:t>
      </w:r>
      <w:r>
        <w:rPr>
          <w:rFonts w:ascii="Arial"/>
          <w:i/>
          <w:spacing w:val="39"/>
        </w:rPr>
        <w:t> </w:t>
      </w:r>
      <w:r>
        <w:rPr>
          <w:rFonts w:ascii="Arial"/>
          <w:i/>
        </w:rPr>
        <w:t>F.</w:t>
      </w:r>
      <w:r>
        <w:rPr>
          <w:rFonts w:ascii="Arial"/>
          <w:i/>
          <w:spacing w:val="39"/>
        </w:rPr>
        <w:t> </w:t>
      </w:r>
      <w:r>
        <w:rPr>
          <w:rFonts w:ascii="Arial"/>
          <w:i/>
        </w:rPr>
        <w:t>Estates</w:t>
      </w:r>
      <w:r>
        <w:rPr>
          <w:rFonts w:ascii="Arial"/>
          <w:i/>
          <w:spacing w:val="39"/>
        </w:rPr>
        <w:t> </w:t>
      </w:r>
      <w:r>
        <w:rPr/>
        <w:t>case,</w:t>
      </w:r>
      <w:r>
        <w:rPr>
          <w:spacing w:val="39"/>
        </w:rPr>
        <w:t> </w:t>
      </w:r>
      <w:r>
        <w:rPr/>
        <w:t>there</w:t>
      </w:r>
      <w:r>
        <w:rPr>
          <w:spacing w:val="39"/>
        </w:rPr>
        <w:t> </w:t>
      </w:r>
      <w:r>
        <w:rPr/>
        <w:t>was</w:t>
      </w:r>
      <w:r>
        <w:rPr>
          <w:spacing w:val="39"/>
        </w:rPr>
        <w:t> </w:t>
      </w:r>
      <w:r>
        <w:rPr/>
        <w:t>no</w:t>
      </w:r>
      <w:r>
        <w:rPr>
          <w:spacing w:val="39"/>
        </w:rPr>
        <w:t> </w:t>
      </w:r>
      <w:r>
        <w:rPr/>
        <w:t>such</w:t>
      </w:r>
      <w:r>
        <w:rPr>
          <w:spacing w:val="39"/>
        </w:rPr>
        <w:t> </w:t>
      </w:r>
      <w:r>
        <w:rPr/>
        <w:t>negligence</w:t>
      </w:r>
      <w:r>
        <w:rPr>
          <w:spacing w:val="39"/>
        </w:rPr>
        <w:t> </w:t>
      </w:r>
      <w:r>
        <w:rPr/>
        <w:t>as</w:t>
      </w:r>
      <w:r>
        <w:rPr>
          <w:spacing w:val="39"/>
        </w:rPr>
        <w:t> </w:t>
      </w:r>
      <w:r>
        <w:rPr/>
        <w:t>the</w:t>
      </w:r>
      <w:r>
        <w:rPr>
          <w:spacing w:val="39"/>
        </w:rPr>
        <w:t> </w:t>
      </w:r>
      <w:r>
        <w:rPr/>
        <w:t>builders</w:t>
      </w:r>
      <w:r>
        <w:rPr>
          <w:spacing w:val="39"/>
        </w:rPr>
        <w:t> </w:t>
      </w:r>
      <w:r>
        <w:rPr/>
        <w:t>had</w:t>
      </w:r>
      <w:r>
        <w:rPr>
          <w:spacing w:val="39"/>
        </w:rPr>
        <w:t> </w:t>
      </w:r>
      <w:r>
        <w:rPr/>
        <w:t>employed competent sub-contractors.</w:t>
      </w:r>
    </w:p>
    <w:p>
      <w:pPr>
        <w:pStyle w:val="BodyText"/>
        <w:spacing w:before="5"/>
      </w:pPr>
    </w:p>
    <w:p>
      <w:pPr>
        <w:tabs>
          <w:tab w:pos="705" w:val="left" w:leader="none"/>
        </w:tabs>
        <w:spacing w:before="0"/>
        <w:ind w:left="165" w:right="0" w:firstLine="0"/>
        <w:jc w:val="left"/>
        <w:rPr>
          <w:sz w:val="20"/>
        </w:rPr>
      </w:pPr>
      <w:bookmarkStart w:name="_bookmark484" w:id="486"/>
      <w:bookmarkEnd w:id="486"/>
      <w:r>
        <w:rPr/>
      </w:r>
      <w:hyperlink w:history="true" w:anchor="_bookmark354">
        <w:r>
          <w:rPr>
            <w:color w:val="005DA1"/>
            <w:spacing w:val="-4"/>
            <w:position w:val="5"/>
            <w:sz w:val="14"/>
            <w:u w:val="single" w:color="005DA1"/>
          </w:rPr>
          <w:t>238</w:t>
        </w:r>
      </w:hyperlink>
      <w:r>
        <w:rPr>
          <w:spacing w:val="-4"/>
          <w:position w:val="5"/>
          <w:sz w:val="14"/>
        </w:rPr>
        <w:t>.</w:t>
      </w:r>
      <w:r>
        <w:rPr>
          <w:position w:val="5"/>
          <w:sz w:val="14"/>
        </w:rPr>
        <w:tab/>
      </w:r>
      <w:r>
        <w:rPr>
          <w:rFonts w:ascii="Arial" w:hAnsi="Arial"/>
          <w:i/>
          <w:sz w:val="20"/>
        </w:rPr>
        <w:t>D.</w:t>
      </w:r>
      <w:r>
        <w:rPr>
          <w:rFonts w:ascii="Arial" w:hAnsi="Arial"/>
          <w:i/>
          <w:spacing w:val="-1"/>
          <w:sz w:val="20"/>
        </w:rPr>
        <w:t> </w:t>
      </w:r>
      <w:r>
        <w:rPr>
          <w:rFonts w:ascii="Arial" w:hAnsi="Arial"/>
          <w:i/>
          <w:sz w:val="20"/>
        </w:rPr>
        <w:t>&amp; F. </w:t>
      </w:r>
      <w:r>
        <w:rPr>
          <w:sz w:val="20"/>
        </w:rPr>
        <w:t>case (above, n.234)</w:t>
      </w:r>
      <w:r>
        <w:rPr>
          <w:spacing w:val="-1"/>
          <w:sz w:val="20"/>
        </w:rPr>
        <w:t> </w:t>
      </w:r>
      <w:r>
        <w:rPr>
          <w:rFonts w:ascii="Arial" w:hAnsi="Arial"/>
          <w:i/>
          <w:sz w:val="20"/>
        </w:rPr>
        <w:t>[1989] A.C. 177, 207</w:t>
      </w:r>
      <w:r>
        <w:rPr>
          <w:sz w:val="20"/>
        </w:rPr>
        <w:t>; cf. ibid. at </w:t>
      </w:r>
      <w:r>
        <w:rPr>
          <w:spacing w:val="-2"/>
          <w:sz w:val="20"/>
        </w:rPr>
        <w:t>211–212.</w:t>
      </w:r>
    </w:p>
    <w:p>
      <w:pPr>
        <w:pStyle w:val="BodyText"/>
        <w:spacing w:before="9"/>
      </w:pPr>
    </w:p>
    <w:p>
      <w:pPr>
        <w:spacing w:line="235" w:lineRule="auto" w:before="0"/>
        <w:ind w:left="705" w:right="167" w:hanging="541"/>
        <w:jc w:val="both"/>
        <w:rPr>
          <w:sz w:val="20"/>
        </w:rPr>
      </w:pPr>
      <w:bookmarkStart w:name="_bookmark485" w:id="487"/>
      <w:bookmarkEnd w:id="487"/>
      <w:r>
        <w:rPr/>
      </w:r>
      <w:hyperlink w:history="true" w:anchor="_bookmark355">
        <w:r>
          <w:rPr>
            <w:color w:val="005DA1"/>
            <w:position w:val="5"/>
            <w:sz w:val="14"/>
            <w:u w:val="single" w:color="005DA1"/>
          </w:rPr>
          <w:t>239</w:t>
        </w:r>
      </w:hyperlink>
      <w:r>
        <w:rPr>
          <w:position w:val="5"/>
          <w:sz w:val="14"/>
        </w:rPr>
        <w:t>.</w:t>
      </w:r>
      <w:r>
        <w:rPr>
          <w:spacing w:val="80"/>
          <w:position w:val="5"/>
          <w:sz w:val="14"/>
        </w:rPr>
        <w:t> </w:t>
      </w:r>
      <w:r>
        <w:rPr>
          <w:rFonts w:ascii="Arial" w:hAnsi="Arial"/>
          <w:i/>
          <w:sz w:val="20"/>
        </w:rPr>
        <w:t>[1995] 2 A.C. 207 </w:t>
      </w:r>
      <w:r>
        <w:rPr>
          <w:sz w:val="20"/>
        </w:rPr>
        <w:t>(Lords Keith and Mustill dissenting), approving the result (though not the reasoning) in </w:t>
      </w:r>
      <w:r>
        <w:rPr>
          <w:rFonts w:ascii="Arial" w:hAnsi="Arial"/>
          <w:i/>
          <w:sz w:val="20"/>
        </w:rPr>
        <w:t>Ross v Caunters [1980] Ch. 287</w:t>
      </w:r>
      <w:r>
        <w:rPr>
          <w:sz w:val="20"/>
        </w:rPr>
        <w:t>, where B’s negligence took the form, not of simply failing to carry out A’s instructions, but of carrying them out ineffectively; this was </w:t>
      </w:r>
      <w:r>
        <w:rPr>
          <w:sz w:val="20"/>
        </w:rPr>
        <w:t>also</w:t>
      </w:r>
      <w:r>
        <w:rPr>
          <w:spacing w:val="40"/>
          <w:sz w:val="20"/>
        </w:rPr>
        <w:t> </w:t>
      </w:r>
      <w:r>
        <w:rPr>
          <w:sz w:val="20"/>
        </w:rPr>
        <w:t>the position in </w:t>
      </w:r>
      <w:r>
        <w:rPr>
          <w:rFonts w:ascii="Arial" w:hAnsi="Arial"/>
          <w:i/>
          <w:sz w:val="20"/>
        </w:rPr>
        <w:t>Martin v Triggs Turner Burtons [2009] EWHC 1920 (Ch), [2010] P.N.L.R. 3</w:t>
      </w:r>
      <w:r>
        <w:rPr>
          <w:sz w:val="20"/>
        </w:rPr>
        <w:t>, where a widow recovered damages from solicitors for negligently carrying out her late husband’s instructions to draft his will, so that her benefits under it were less than they would have been if those instructions had been duly carried out (at [74]). cf. </w:t>
      </w:r>
      <w:r>
        <w:rPr>
          <w:rFonts w:ascii="Arial" w:hAnsi="Arial"/>
          <w:i/>
          <w:sz w:val="20"/>
        </w:rPr>
        <w:t>Esterhuizen v Allied Dunbar Assurance plc [1988] 2 F.L.R. 668 </w:t>
      </w:r>
      <w:r>
        <w:rPr>
          <w:sz w:val="20"/>
        </w:rPr>
        <w:t>(similar liability of company providing will making services) and (in Australia) </w:t>
      </w:r>
      <w:r>
        <w:rPr>
          <w:rFonts w:ascii="Arial" w:hAnsi="Arial"/>
          <w:i/>
          <w:sz w:val="20"/>
        </w:rPr>
        <w:t>Hill v Van Erp (1997) 142 A.L.R. 687</w:t>
      </w:r>
      <w:r>
        <w:rPr>
          <w:sz w:val="20"/>
        </w:rPr>
        <w:t>, a case of actual misfeasance by the solicitor.</w:t>
      </w:r>
    </w:p>
    <w:p>
      <w:pPr>
        <w:pStyle w:val="BodyText"/>
        <w:spacing w:before="6"/>
      </w:pPr>
    </w:p>
    <w:p>
      <w:pPr>
        <w:pStyle w:val="BodyText"/>
        <w:spacing w:line="235" w:lineRule="auto"/>
        <w:ind w:left="705" w:right="167" w:hanging="541"/>
        <w:jc w:val="both"/>
      </w:pPr>
      <w:bookmarkStart w:name="_bookmark486" w:id="488"/>
      <w:bookmarkEnd w:id="488"/>
      <w:r>
        <w:rPr/>
      </w:r>
      <w:hyperlink w:history="true" w:anchor="_bookmark356">
        <w:r>
          <w:rPr>
            <w:color w:val="005DA1"/>
            <w:position w:val="5"/>
            <w:sz w:val="14"/>
            <w:u w:val="single" w:color="005DA1"/>
          </w:rPr>
          <w:t>240</w:t>
        </w:r>
      </w:hyperlink>
      <w:r>
        <w:rPr>
          <w:position w:val="5"/>
          <w:sz w:val="14"/>
        </w:rPr>
        <w:t>.</w:t>
      </w:r>
      <w:r>
        <w:rPr>
          <w:spacing w:val="80"/>
          <w:position w:val="5"/>
          <w:sz w:val="14"/>
        </w:rPr>
        <w:t>  </w:t>
      </w:r>
      <w:r>
        <w:rPr/>
        <w:t>Or if B had committed some other breach of duty, as in </w:t>
      </w:r>
      <w:r>
        <w:rPr>
          <w:rFonts w:ascii="Arial" w:hAnsi="Arial"/>
          <w:i/>
        </w:rPr>
        <w:t>Feltham v Bouskell [2013] EWHC </w:t>
      </w:r>
      <w:r>
        <w:rPr>
          <w:rFonts w:ascii="Arial" w:hAnsi="Arial"/>
          <w:i/>
        </w:rPr>
        <w:t>1952 (Ch), [2013] W.T.L.R. 1363</w:t>
      </w:r>
      <w:r>
        <w:rPr/>
        <w:t>, where B not only delayed in carrying out his instructions in drawing up A’s will but also committed a further breach of duty by encouraging beneficiaries under A’s earlier will to challenge the new will. C settled the claim of these beneficiaries and recovered</w:t>
      </w:r>
      <w:r>
        <w:rPr>
          <w:spacing w:val="40"/>
        </w:rPr>
        <w:t> </w:t>
      </w:r>
      <w:r>
        <w:rPr/>
        <w:t>the sums so paid from B (at [81]–[85], [113]–[117] as damages under the reasoning of </w:t>
      </w:r>
      <w:r>
        <w:rPr>
          <w:rFonts w:ascii="Arial" w:hAnsi="Arial"/>
          <w:i/>
        </w:rPr>
        <w:t>White v Jones </w:t>
      </w:r>
      <w:r>
        <w:rPr/>
        <w:t>(above, n.237): see </w:t>
      </w:r>
      <w:r>
        <w:rPr>
          <w:rFonts w:ascii="Arial" w:hAnsi="Arial"/>
          <w:i/>
        </w:rPr>
        <w:t>[2013] EWHC 1952 (Ch) </w:t>
      </w:r>
      <w:r>
        <w:rPr/>
        <w:t>at [56]–[59].</w:t>
      </w:r>
    </w:p>
    <w:p>
      <w:pPr>
        <w:pStyle w:val="BodyText"/>
        <w:spacing w:before="4"/>
      </w:pPr>
    </w:p>
    <w:p>
      <w:pPr>
        <w:tabs>
          <w:tab w:pos="705" w:val="left" w:leader="none"/>
        </w:tabs>
        <w:spacing w:before="0"/>
        <w:ind w:left="165" w:right="0" w:firstLine="0"/>
        <w:jc w:val="left"/>
        <w:rPr>
          <w:sz w:val="20"/>
        </w:rPr>
      </w:pPr>
      <w:bookmarkStart w:name="_bookmark487" w:id="489"/>
      <w:bookmarkEnd w:id="489"/>
      <w:r>
        <w:rPr/>
      </w:r>
      <w:hyperlink w:history="true" w:anchor="_bookmark357">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2 A.C. 207, </w:t>
      </w:r>
      <w:r>
        <w:rPr>
          <w:rFonts w:ascii="Arial"/>
          <w:i/>
          <w:spacing w:val="-4"/>
          <w:sz w:val="20"/>
        </w:rPr>
        <w:t>295</w:t>
      </w:r>
      <w:r>
        <w:rPr>
          <w:spacing w:val="-4"/>
          <w:sz w:val="20"/>
        </w:rPr>
        <w:t>.</w:t>
      </w:r>
    </w:p>
    <w:p>
      <w:pPr>
        <w:pStyle w:val="BodyText"/>
        <w:spacing w:before="9"/>
      </w:pPr>
    </w:p>
    <w:p>
      <w:pPr>
        <w:spacing w:line="235" w:lineRule="auto" w:before="0"/>
        <w:ind w:left="705" w:right="167" w:hanging="541"/>
        <w:jc w:val="both"/>
        <w:rPr>
          <w:sz w:val="20"/>
        </w:rPr>
      </w:pPr>
      <w:bookmarkStart w:name="_bookmark488" w:id="490"/>
      <w:bookmarkEnd w:id="490"/>
      <w:r>
        <w:rPr/>
      </w:r>
      <w:hyperlink w:history="true" w:anchor="_bookmark358">
        <w:r>
          <w:rPr>
            <w:color w:val="005DA1"/>
            <w:position w:val="5"/>
            <w:sz w:val="14"/>
            <w:u w:val="single" w:color="005DA1"/>
          </w:rPr>
          <w:t>242</w:t>
        </w:r>
      </w:hyperlink>
      <w:r>
        <w:rPr>
          <w:position w:val="5"/>
          <w:sz w:val="14"/>
        </w:rPr>
        <w:t>.</w:t>
      </w:r>
      <w:r>
        <w:rPr>
          <w:spacing w:val="80"/>
          <w:w w:val="150"/>
          <w:position w:val="5"/>
          <w:sz w:val="14"/>
        </w:rPr>
        <w:t> </w:t>
      </w:r>
      <w:r>
        <w:rPr>
          <w:sz w:val="20"/>
        </w:rPr>
        <w:t>ibid.,</w:t>
      </w:r>
      <w:r>
        <w:rPr>
          <w:spacing w:val="40"/>
          <w:sz w:val="20"/>
        </w:rPr>
        <w:t> </w:t>
      </w:r>
      <w:r>
        <w:rPr>
          <w:sz w:val="20"/>
        </w:rPr>
        <w:t>at</w:t>
      </w:r>
      <w:r>
        <w:rPr>
          <w:spacing w:val="40"/>
          <w:sz w:val="20"/>
        </w:rPr>
        <w:t> </w:t>
      </w:r>
      <w:r>
        <w:rPr>
          <w:sz w:val="20"/>
        </w:rPr>
        <w:t>269.</w:t>
      </w:r>
      <w:r>
        <w:rPr>
          <w:spacing w:val="40"/>
          <w:sz w:val="20"/>
        </w:rPr>
        <w:t> </w:t>
      </w:r>
      <w:r>
        <w:rPr>
          <w:sz w:val="20"/>
        </w:rPr>
        <w:t>The</w:t>
      </w:r>
      <w:r>
        <w:rPr>
          <w:spacing w:val="40"/>
          <w:sz w:val="20"/>
        </w:rPr>
        <w:t> </w:t>
      </w:r>
      <w:r>
        <w:rPr>
          <w:sz w:val="20"/>
        </w:rPr>
        <w:t>alleged</w:t>
      </w:r>
      <w:r>
        <w:rPr>
          <w:spacing w:val="40"/>
          <w:sz w:val="20"/>
        </w:rPr>
        <w:t> </w:t>
      </w:r>
      <w:r>
        <w:rPr>
          <w:sz w:val="20"/>
        </w:rPr>
        <w:t>beneficiary’s</w:t>
      </w:r>
      <w:r>
        <w:rPr>
          <w:spacing w:val="40"/>
          <w:sz w:val="20"/>
        </w:rPr>
        <w:t> </w:t>
      </w:r>
      <w:r>
        <w:rPr>
          <w:sz w:val="20"/>
        </w:rPr>
        <w:t>claim</w:t>
      </w:r>
      <w:r>
        <w:rPr>
          <w:spacing w:val="40"/>
          <w:sz w:val="20"/>
        </w:rPr>
        <w:t> </w:t>
      </w:r>
      <w:r>
        <w:rPr>
          <w:sz w:val="20"/>
        </w:rPr>
        <w:t>clearly</w:t>
      </w:r>
      <w:r>
        <w:rPr>
          <w:spacing w:val="40"/>
          <w:sz w:val="20"/>
        </w:rPr>
        <w:t> </w:t>
      </w:r>
      <w:r>
        <w:rPr>
          <w:sz w:val="20"/>
        </w:rPr>
        <w:t>cannot</w:t>
      </w:r>
      <w:r>
        <w:rPr>
          <w:spacing w:val="40"/>
          <w:sz w:val="20"/>
        </w:rPr>
        <w:t> </w:t>
      </w:r>
      <w:r>
        <w:rPr>
          <w:sz w:val="20"/>
        </w:rPr>
        <w:t>succeed</w:t>
      </w:r>
      <w:r>
        <w:rPr>
          <w:spacing w:val="40"/>
          <w:sz w:val="20"/>
        </w:rPr>
        <w:t> </w:t>
      </w:r>
      <w:r>
        <w:rPr>
          <w:sz w:val="20"/>
        </w:rPr>
        <w:t>without</w:t>
      </w:r>
      <w:r>
        <w:rPr>
          <w:spacing w:val="40"/>
          <w:sz w:val="20"/>
        </w:rPr>
        <w:t> </w:t>
      </w:r>
      <w:r>
        <w:rPr>
          <w:sz w:val="20"/>
        </w:rPr>
        <w:t>proof</w:t>
      </w:r>
      <w:r>
        <w:rPr>
          <w:spacing w:val="40"/>
          <w:sz w:val="20"/>
        </w:rPr>
        <w:t> </w:t>
      </w:r>
      <w:r>
        <w:rPr>
          <w:sz w:val="20"/>
        </w:rPr>
        <w:t>of</w:t>
      </w:r>
      <w:r>
        <w:rPr>
          <w:spacing w:val="40"/>
          <w:sz w:val="20"/>
        </w:rPr>
        <w:t> </w:t>
      </w:r>
      <w:r>
        <w:rPr>
          <w:sz w:val="20"/>
        </w:rPr>
        <w:t>the requisite testamentary intention in his favour: see </w:t>
      </w:r>
      <w:r>
        <w:rPr>
          <w:rFonts w:ascii="Arial" w:hAnsi="Arial"/>
          <w:i/>
          <w:sz w:val="20"/>
        </w:rPr>
        <w:t>Gibbons v Nelsons [2000] Lloyd’s Rep. P.N. </w:t>
      </w:r>
      <w:r>
        <w:rPr>
          <w:rFonts w:ascii="Arial" w:hAnsi="Arial"/>
          <w:i/>
          <w:spacing w:val="-4"/>
          <w:sz w:val="20"/>
        </w:rPr>
        <w:t>603</w:t>
      </w:r>
      <w:r>
        <w:rPr>
          <w:spacing w:val="-4"/>
          <w:sz w:val="20"/>
        </w:rPr>
        <w:t>.</w:t>
      </w:r>
    </w:p>
    <w:p>
      <w:pPr>
        <w:spacing w:after="0" w:line="235" w:lineRule="auto"/>
        <w:jc w:val="both"/>
        <w:rPr>
          <w:sz w:val="20"/>
        </w:rPr>
        <w:sectPr>
          <w:pgSz w:w="11900" w:h="16840"/>
          <w:pgMar w:header="971" w:footer="0" w:top="1160" w:bottom="280" w:left="1275" w:right="1275"/>
        </w:sectPr>
      </w:pPr>
    </w:p>
    <w:p>
      <w:pPr>
        <w:pStyle w:val="BodyText"/>
        <w:spacing w:before="84"/>
      </w:pPr>
    </w:p>
    <w:p>
      <w:pPr>
        <w:spacing w:line="235" w:lineRule="auto" w:before="1"/>
        <w:ind w:left="705" w:right="167" w:hanging="541"/>
        <w:jc w:val="both"/>
        <w:rPr>
          <w:sz w:val="20"/>
        </w:rPr>
      </w:pPr>
      <w:hyperlink w:history="true" w:anchor="_bookmark359">
        <w:r>
          <w:rPr>
            <w:color w:val="005DA1"/>
            <w:position w:val="5"/>
            <w:sz w:val="14"/>
            <w:u w:val="single" w:color="005DA1"/>
          </w:rPr>
          <w:t>243</w:t>
        </w:r>
      </w:hyperlink>
      <w:r>
        <w:rPr>
          <w:position w:val="5"/>
          <w:sz w:val="14"/>
        </w:rPr>
        <w:t>.</w:t>
      </w:r>
      <w:r>
        <w:rPr>
          <w:spacing w:val="80"/>
          <w:w w:val="150"/>
          <w:position w:val="5"/>
          <w:sz w:val="14"/>
        </w:rPr>
        <w:t> </w:t>
      </w:r>
      <w:r>
        <w:rPr>
          <w:sz w:val="20"/>
        </w:rPr>
        <w:t>On the question whether it would have been reasonable for the beneficiary to take </w:t>
      </w:r>
      <w:r>
        <w:rPr>
          <w:sz w:val="20"/>
        </w:rPr>
        <w:t>rectification proceedings, contrast </w:t>
      </w:r>
      <w:r>
        <w:rPr>
          <w:rFonts w:ascii="Arial"/>
          <w:i/>
          <w:sz w:val="20"/>
        </w:rPr>
        <w:t>Walker v Geo. H. Medlicott &amp; Son [1999] 1 All E.R. 685 </w:t>
      </w:r>
      <w:r>
        <w:rPr>
          <w:sz w:val="20"/>
        </w:rPr>
        <w:t>with </w:t>
      </w:r>
      <w:r>
        <w:rPr>
          <w:rFonts w:ascii="Arial"/>
          <w:i/>
          <w:sz w:val="20"/>
        </w:rPr>
        <w:t>Horsfall v Hayward [1999] F.L.R. 1182</w:t>
      </w:r>
      <w:r>
        <w:rPr>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489" w:id="491"/>
      <w:bookmarkEnd w:id="491"/>
      <w:r>
        <w:rPr/>
      </w:r>
      <w:hyperlink w:history="true" w:anchor="_bookmark360">
        <w:r>
          <w:rPr>
            <w:color w:val="005DA1"/>
            <w:spacing w:val="-4"/>
            <w:position w:val="5"/>
            <w:sz w:val="14"/>
            <w:u w:val="single" w:color="005DA1"/>
          </w:rPr>
          <w:t>244</w:t>
        </w:r>
      </w:hyperlink>
      <w:r>
        <w:rPr>
          <w:spacing w:val="-4"/>
          <w:position w:val="5"/>
          <w:sz w:val="14"/>
        </w:rPr>
        <w:t>.</w:t>
      </w:r>
      <w:r>
        <w:rPr>
          <w:position w:val="5"/>
          <w:sz w:val="14"/>
        </w:rPr>
        <w:tab/>
      </w:r>
      <w:r>
        <w:rPr>
          <w:sz w:val="20"/>
        </w:rPr>
        <w:t>Above, para.18-038 at n.234. cf. also </w:t>
      </w:r>
      <w:r>
        <w:rPr>
          <w:rFonts w:ascii="Arial"/>
          <w:i/>
          <w:sz w:val="20"/>
        </w:rPr>
        <w:t>Rees v Darlington Memorial Hospital NHS Trust [2003]</w:t>
      </w:r>
      <w:r>
        <w:rPr>
          <w:rFonts w:ascii="Arial"/>
          <w:i/>
          <w:spacing w:val="80"/>
          <w:sz w:val="20"/>
        </w:rPr>
        <w:t> </w:t>
      </w:r>
      <w:r>
        <w:rPr>
          <w:rFonts w:ascii="Arial"/>
          <w:i/>
          <w:sz w:val="20"/>
        </w:rPr>
        <w:t>UKHL 52; [2004] 1 A.C. 309 </w:t>
      </w:r>
      <w:r>
        <w:rPr>
          <w:sz w:val="20"/>
        </w:rPr>
        <w:t>at [131].</w:t>
      </w:r>
    </w:p>
    <w:p>
      <w:pPr>
        <w:pStyle w:val="BodyText"/>
        <w:spacing w:before="9"/>
      </w:pPr>
    </w:p>
    <w:p>
      <w:pPr>
        <w:pStyle w:val="BodyText"/>
        <w:spacing w:line="235" w:lineRule="auto"/>
        <w:ind w:left="705" w:right="167" w:hanging="541"/>
        <w:jc w:val="both"/>
      </w:pPr>
      <w:bookmarkStart w:name="_bookmark490" w:id="492"/>
      <w:bookmarkEnd w:id="492"/>
      <w:r>
        <w:rPr/>
      </w:r>
      <w:hyperlink w:history="true" w:anchor="_bookmark361">
        <w:r>
          <w:rPr>
            <w:color w:val="005DA1"/>
            <w:position w:val="5"/>
            <w:sz w:val="14"/>
            <w:u w:val="single" w:color="005DA1"/>
          </w:rPr>
          <w:t>245</w:t>
        </w:r>
      </w:hyperlink>
      <w:r>
        <w:rPr>
          <w:position w:val="5"/>
          <w:sz w:val="14"/>
        </w:rPr>
        <w:t>.</w:t>
      </w:r>
      <w:r>
        <w:rPr>
          <w:spacing w:val="40"/>
          <w:position w:val="5"/>
          <w:sz w:val="14"/>
        </w:rPr>
        <w:t>  </w:t>
      </w:r>
      <w:r>
        <w:rPr/>
        <w:t>Cf. </w:t>
      </w:r>
      <w:r>
        <w:rPr>
          <w:rFonts w:ascii="Arial" w:hAnsi="Arial"/>
          <w:i/>
        </w:rPr>
        <w:t>Marquess of Aberdeen and Temair v Turcan Connell [2008] CSOH 183, [2009] P.N.L.R. </w:t>
      </w:r>
      <w:r>
        <w:rPr>
          <w:rFonts w:ascii="Arial" w:hAnsi="Arial"/>
          <w:i/>
        </w:rPr>
        <w:t>18</w:t>
      </w:r>
      <w:r>
        <w:rPr/>
        <w:t>, where a beneficiary under a trust, who was not a party to the contract between the settlor and the latter’s solicitor, was said at [48] to have “no claim under the principle of </w:t>
      </w:r>
      <w:r>
        <w:rPr>
          <w:rFonts w:ascii="Arial" w:hAnsi="Arial"/>
          <w:i/>
        </w:rPr>
        <w:t>White v Jones</w:t>
      </w:r>
      <w:r>
        <w:rPr>
          <w:rFonts w:ascii="Arial" w:hAnsi="Arial"/>
          <w:i/>
          <w:spacing w:val="-14"/>
        </w:rPr>
        <w:t> </w:t>
      </w:r>
      <w:r>
        <w:rPr/>
        <w:t>” (above, at n.237) in respect of expenses incurred, after discovery of the effect of the solicitor’s breach of duty in the administration of the trust, in curing that breach. It was the settlor who had an arguable case against the solicitor in respect of that loss (at [53]); and insofar as the loss</w:t>
      </w:r>
      <w:r>
        <w:rPr>
          <w:spacing w:val="40"/>
        </w:rPr>
        <w:t> </w:t>
      </w:r>
      <w:r>
        <w:rPr/>
        <w:t>had been incurred by the beneficiary, the settlor had an arguable case for recovery of such loss “on behalf of” the beneficiary (at [54]); cf. below, paras 18-054 et seq.</w:t>
      </w:r>
    </w:p>
    <w:p>
      <w:pPr>
        <w:pStyle w:val="BodyText"/>
        <w:spacing w:before="7"/>
      </w:pPr>
    </w:p>
    <w:p>
      <w:pPr>
        <w:spacing w:line="235" w:lineRule="auto" w:before="0"/>
        <w:ind w:left="705" w:right="167" w:hanging="541"/>
        <w:jc w:val="both"/>
        <w:rPr>
          <w:sz w:val="20"/>
        </w:rPr>
      </w:pPr>
      <w:bookmarkStart w:name="_bookmark491" w:id="493"/>
      <w:bookmarkEnd w:id="493"/>
      <w:r>
        <w:rPr/>
      </w:r>
      <w:hyperlink w:history="true" w:anchor="_bookmark362">
        <w:r>
          <w:rPr>
            <w:color w:val="005DA1"/>
            <w:position w:val="5"/>
            <w:sz w:val="14"/>
            <w:u w:val="single" w:color="005DA1"/>
          </w:rPr>
          <w:t>246</w:t>
        </w:r>
      </w:hyperlink>
      <w:r>
        <w:rPr>
          <w:position w:val="5"/>
          <w:sz w:val="14"/>
        </w:rPr>
        <w:t>.</w:t>
      </w:r>
      <w:r>
        <w:rPr>
          <w:spacing w:val="80"/>
          <w:position w:val="5"/>
          <w:sz w:val="14"/>
        </w:rPr>
        <w:t>  </w:t>
      </w:r>
      <w:r>
        <w:rPr>
          <w:rFonts w:ascii="Arial" w:hAnsi="Arial"/>
          <w:i/>
          <w:sz w:val="20"/>
        </w:rPr>
        <w:t>Hemmens v Wilson Browne [1995] Ch. 223</w:t>
      </w:r>
      <w:r>
        <w:rPr>
          <w:sz w:val="20"/>
        </w:rPr>
        <w:t>. But a claim by a person in a position analogous to that of a disappointed beneficiary may be available where the consequences of the </w:t>
      </w:r>
      <w:r>
        <w:rPr>
          <w:sz w:val="20"/>
        </w:rPr>
        <w:t>adviser’s negligence</w:t>
      </w:r>
      <w:r>
        <w:rPr>
          <w:spacing w:val="-3"/>
          <w:sz w:val="20"/>
        </w:rPr>
        <w:t> </w:t>
      </w:r>
      <w:r>
        <w:rPr>
          <w:sz w:val="20"/>
        </w:rPr>
        <w:t>do</w:t>
      </w:r>
      <w:r>
        <w:rPr>
          <w:spacing w:val="-3"/>
          <w:sz w:val="20"/>
        </w:rPr>
        <w:t> </w:t>
      </w:r>
      <w:r>
        <w:rPr>
          <w:sz w:val="20"/>
        </w:rPr>
        <w:t>not</w:t>
      </w:r>
      <w:r>
        <w:rPr>
          <w:spacing w:val="-3"/>
          <w:sz w:val="20"/>
        </w:rPr>
        <w:t> </w:t>
      </w:r>
      <w:r>
        <w:rPr>
          <w:sz w:val="20"/>
        </w:rPr>
        <w:t>become</w:t>
      </w:r>
      <w:r>
        <w:rPr>
          <w:spacing w:val="-3"/>
          <w:sz w:val="20"/>
        </w:rPr>
        <w:t> </w:t>
      </w:r>
      <w:r>
        <w:rPr>
          <w:sz w:val="20"/>
        </w:rPr>
        <w:t>apparent</w:t>
      </w:r>
      <w:r>
        <w:rPr>
          <w:spacing w:val="-3"/>
          <w:sz w:val="20"/>
        </w:rPr>
        <w:t> </w:t>
      </w:r>
      <w:r>
        <w:rPr>
          <w:sz w:val="20"/>
        </w:rPr>
        <w:t>for</w:t>
      </w:r>
      <w:r>
        <w:rPr>
          <w:spacing w:val="-3"/>
          <w:sz w:val="20"/>
        </w:rPr>
        <w:t> </w:t>
      </w:r>
      <w:r>
        <w:rPr>
          <w:sz w:val="20"/>
        </w:rPr>
        <w:t>many</w:t>
      </w:r>
      <w:r>
        <w:rPr>
          <w:spacing w:val="-3"/>
          <w:sz w:val="20"/>
        </w:rPr>
        <w:t> </w:t>
      </w:r>
      <w:r>
        <w:rPr>
          <w:sz w:val="20"/>
        </w:rPr>
        <w:t>years</w:t>
      </w:r>
      <w:r>
        <w:rPr>
          <w:spacing w:val="-3"/>
          <w:sz w:val="20"/>
        </w:rPr>
        <w:t> </w:t>
      </w:r>
      <w:r>
        <w:rPr>
          <w:sz w:val="20"/>
        </w:rPr>
        <w:t>after</w:t>
      </w:r>
      <w:r>
        <w:rPr>
          <w:spacing w:val="-3"/>
          <w:sz w:val="20"/>
        </w:rPr>
        <w:t> </w:t>
      </w:r>
      <w:r>
        <w:rPr>
          <w:sz w:val="20"/>
        </w:rPr>
        <w:t>the</w:t>
      </w:r>
      <w:r>
        <w:rPr>
          <w:spacing w:val="-3"/>
          <w:sz w:val="20"/>
        </w:rPr>
        <w:t> </w:t>
      </w:r>
      <w:r>
        <w:rPr>
          <w:sz w:val="20"/>
        </w:rPr>
        <w:t>transaction</w:t>
      </w:r>
      <w:r>
        <w:rPr>
          <w:spacing w:val="-3"/>
          <w:sz w:val="20"/>
        </w:rPr>
        <w:t> </w:t>
      </w:r>
      <w:r>
        <w:rPr>
          <w:sz w:val="20"/>
        </w:rPr>
        <w:t>in</w:t>
      </w:r>
      <w:r>
        <w:rPr>
          <w:spacing w:val="-3"/>
          <w:sz w:val="20"/>
        </w:rPr>
        <w:t> </w:t>
      </w:r>
      <w:r>
        <w:rPr>
          <w:sz w:val="20"/>
        </w:rPr>
        <w:t>question:</w:t>
      </w:r>
      <w:r>
        <w:rPr>
          <w:spacing w:val="-4"/>
          <w:sz w:val="20"/>
        </w:rPr>
        <w:t> </w:t>
      </w:r>
      <w:r>
        <w:rPr>
          <w:rFonts w:ascii="Arial" w:hAnsi="Arial"/>
          <w:i/>
          <w:sz w:val="20"/>
        </w:rPr>
        <w:t>Richards</w:t>
      </w:r>
      <w:r>
        <w:rPr>
          <w:rFonts w:ascii="Arial" w:hAnsi="Arial"/>
          <w:i/>
          <w:spacing w:val="-3"/>
          <w:sz w:val="20"/>
        </w:rPr>
        <w:t> </w:t>
      </w:r>
      <w:r>
        <w:rPr>
          <w:rFonts w:ascii="Arial" w:hAnsi="Arial"/>
          <w:i/>
          <w:sz w:val="20"/>
        </w:rPr>
        <w:t>v Hughes [2004] EWCA Civ 266, [2004] P.N.L.R. 35</w:t>
      </w:r>
      <w:r>
        <w:rPr>
          <w:sz w:val="20"/>
        </w:rPr>
        <w:t>.</w:t>
      </w:r>
    </w:p>
    <w:p>
      <w:pPr>
        <w:pStyle w:val="BodyText"/>
        <w:spacing w:before="4"/>
      </w:pPr>
    </w:p>
    <w:p>
      <w:pPr>
        <w:pStyle w:val="BodyText"/>
        <w:tabs>
          <w:tab w:pos="705" w:val="left" w:leader="none"/>
        </w:tabs>
        <w:spacing w:before="1"/>
        <w:ind w:left="165"/>
      </w:pPr>
      <w:bookmarkStart w:name="_bookmark492" w:id="494"/>
      <w:bookmarkEnd w:id="494"/>
      <w:r>
        <w:rPr/>
      </w:r>
      <w:hyperlink w:history="true" w:anchor="_bookmark363">
        <w:r>
          <w:rPr>
            <w:color w:val="005DA1"/>
            <w:spacing w:val="-4"/>
            <w:position w:val="5"/>
            <w:sz w:val="14"/>
            <w:u w:val="single" w:color="005DA1"/>
          </w:rPr>
          <w:t>247</w:t>
        </w:r>
      </w:hyperlink>
      <w:r>
        <w:rPr>
          <w:spacing w:val="-4"/>
          <w:position w:val="5"/>
          <w:sz w:val="14"/>
        </w:rPr>
        <w:t>.</w:t>
      </w:r>
      <w:r>
        <w:rPr>
          <w:position w:val="5"/>
          <w:sz w:val="14"/>
        </w:rPr>
        <w:tab/>
      </w:r>
      <w:r>
        <w:rPr/>
        <w:t>Below,</w:t>
      </w:r>
      <w:r>
        <w:rPr>
          <w:spacing w:val="-2"/>
        </w:rPr>
        <w:t> </w:t>
      </w:r>
      <w:r>
        <w:rPr/>
        <w:t>paras 18-055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493" w:id="495"/>
      <w:bookmarkEnd w:id="495"/>
      <w:r>
        <w:rPr/>
      </w:r>
      <w:hyperlink w:history="true" w:anchor="_bookmark364">
        <w:r>
          <w:rPr>
            <w:color w:val="005DA1"/>
            <w:spacing w:val="-4"/>
            <w:position w:val="5"/>
            <w:sz w:val="14"/>
            <w:u w:val="single" w:color="005DA1"/>
          </w:rPr>
          <w:t>248</w:t>
        </w:r>
      </w:hyperlink>
      <w:r>
        <w:rPr>
          <w:spacing w:val="-4"/>
          <w:position w:val="5"/>
          <w:sz w:val="14"/>
        </w:rPr>
        <w:t>.</w:t>
      </w:r>
      <w:r>
        <w:rPr>
          <w:position w:val="5"/>
          <w:sz w:val="14"/>
        </w:rPr>
        <w:tab/>
      </w:r>
      <w:r>
        <w:rPr>
          <w:sz w:val="20"/>
        </w:rPr>
        <w:t>Above, para.18-</w:t>
      </w:r>
      <w:r>
        <w:rPr>
          <w:spacing w:val="-4"/>
          <w:sz w:val="20"/>
        </w:rPr>
        <w:t>039.</w:t>
      </w:r>
    </w:p>
    <w:p>
      <w:pPr>
        <w:pStyle w:val="BodyText"/>
        <w:spacing w:before="4"/>
      </w:pPr>
    </w:p>
    <w:p>
      <w:pPr>
        <w:tabs>
          <w:tab w:pos="705" w:val="left" w:leader="none"/>
        </w:tabs>
        <w:spacing w:before="1"/>
        <w:ind w:left="165" w:right="0" w:firstLine="0"/>
        <w:jc w:val="left"/>
        <w:rPr>
          <w:sz w:val="20"/>
        </w:rPr>
      </w:pPr>
      <w:bookmarkStart w:name="_bookmark494" w:id="496"/>
      <w:bookmarkEnd w:id="496"/>
      <w:r>
        <w:rPr/>
      </w:r>
      <w:hyperlink w:history="true" w:anchor="_bookmark365">
        <w:r>
          <w:rPr>
            <w:color w:val="005DA1"/>
            <w:spacing w:val="-4"/>
            <w:position w:val="5"/>
            <w:sz w:val="14"/>
            <w:u w:val="single" w:color="005DA1"/>
          </w:rPr>
          <w:t>249</w:t>
        </w:r>
      </w:hyperlink>
      <w:r>
        <w:rPr>
          <w:spacing w:val="-4"/>
          <w:position w:val="5"/>
          <w:sz w:val="14"/>
        </w:rPr>
        <w:t>.</w:t>
      </w:r>
      <w:r>
        <w:rPr>
          <w:position w:val="5"/>
          <w:sz w:val="14"/>
        </w:rPr>
        <w:tab/>
      </w:r>
      <w:r>
        <w:rPr>
          <w:rFonts w:ascii="Arial"/>
          <w:i/>
          <w:sz w:val="20"/>
        </w:rPr>
        <w:t>[1999]</w:t>
      </w:r>
      <w:r>
        <w:rPr>
          <w:rFonts w:ascii="Arial"/>
          <w:i/>
          <w:spacing w:val="-2"/>
          <w:sz w:val="20"/>
        </w:rPr>
        <w:t> </w:t>
      </w:r>
      <w:r>
        <w:rPr>
          <w:rFonts w:ascii="Arial"/>
          <w:i/>
          <w:sz w:val="20"/>
        </w:rPr>
        <w:t>Ch. </w:t>
      </w:r>
      <w:r>
        <w:rPr>
          <w:rFonts w:ascii="Arial"/>
          <w:i/>
          <w:spacing w:val="-4"/>
          <w:sz w:val="20"/>
        </w:rPr>
        <w:t>326</w:t>
      </w:r>
      <w:r>
        <w:rPr>
          <w:spacing w:val="-4"/>
          <w:sz w:val="20"/>
        </w:rPr>
        <w:t>.</w:t>
      </w:r>
    </w:p>
    <w:p>
      <w:pPr>
        <w:pStyle w:val="BodyText"/>
        <w:spacing w:before="8"/>
      </w:pPr>
    </w:p>
    <w:p>
      <w:pPr>
        <w:pStyle w:val="BodyText"/>
        <w:spacing w:line="235" w:lineRule="auto"/>
        <w:ind w:left="705" w:right="167" w:hanging="541"/>
        <w:jc w:val="both"/>
      </w:pPr>
      <w:bookmarkStart w:name="_bookmark495" w:id="497"/>
      <w:bookmarkEnd w:id="497"/>
      <w:r>
        <w:rPr/>
      </w:r>
      <w:hyperlink w:history="true" w:anchor="_bookmark366">
        <w:r>
          <w:rPr>
            <w:color w:val="005DA1"/>
            <w:position w:val="5"/>
            <w:sz w:val="14"/>
            <w:u w:val="single" w:color="005DA1"/>
          </w:rPr>
          <w:t>250</w:t>
        </w:r>
      </w:hyperlink>
      <w:r>
        <w:rPr>
          <w:position w:val="5"/>
          <w:sz w:val="14"/>
        </w:rPr>
        <w:t>.</w:t>
      </w:r>
      <w:r>
        <w:rPr>
          <w:spacing w:val="80"/>
          <w:position w:val="5"/>
          <w:sz w:val="14"/>
        </w:rPr>
        <w:t>  </w:t>
      </w:r>
      <w:r>
        <w:rPr/>
        <w:t>The testatrix was joint owner of the property in question and the solicitors had negligently failed to</w:t>
      </w:r>
      <w:r>
        <w:rPr>
          <w:spacing w:val="25"/>
        </w:rPr>
        <w:t> </w:t>
      </w:r>
      <w:r>
        <w:rPr/>
        <w:t>advise</w:t>
      </w:r>
      <w:r>
        <w:rPr>
          <w:spacing w:val="25"/>
        </w:rPr>
        <w:t> </w:t>
      </w:r>
      <w:r>
        <w:rPr/>
        <w:t>her</w:t>
      </w:r>
      <w:r>
        <w:rPr>
          <w:spacing w:val="25"/>
        </w:rPr>
        <w:t> </w:t>
      </w:r>
      <w:r>
        <w:rPr/>
        <w:t>to</w:t>
      </w:r>
      <w:r>
        <w:rPr>
          <w:spacing w:val="25"/>
        </w:rPr>
        <w:t> </w:t>
      </w:r>
      <w:r>
        <w:rPr/>
        <w:t>sever</w:t>
      </w:r>
      <w:r>
        <w:rPr>
          <w:spacing w:val="25"/>
        </w:rPr>
        <w:t> </w:t>
      </w:r>
      <w:r>
        <w:rPr/>
        <w:t>the</w:t>
      </w:r>
      <w:r>
        <w:rPr>
          <w:spacing w:val="25"/>
        </w:rPr>
        <w:t> </w:t>
      </w:r>
      <w:r>
        <w:rPr/>
        <w:t>joint</w:t>
      </w:r>
      <w:r>
        <w:rPr>
          <w:spacing w:val="25"/>
        </w:rPr>
        <w:t> </w:t>
      </w:r>
      <w:r>
        <w:rPr/>
        <w:t>tenancy,</w:t>
      </w:r>
      <w:r>
        <w:rPr>
          <w:spacing w:val="25"/>
        </w:rPr>
        <w:t> </w:t>
      </w:r>
      <w:r>
        <w:rPr/>
        <w:t>so</w:t>
      </w:r>
      <w:r>
        <w:rPr>
          <w:spacing w:val="25"/>
        </w:rPr>
        <w:t> </w:t>
      </w:r>
      <w:r>
        <w:rPr/>
        <w:t>that</w:t>
      </w:r>
      <w:r>
        <w:rPr>
          <w:spacing w:val="25"/>
        </w:rPr>
        <w:t> </w:t>
      </w:r>
      <w:r>
        <w:rPr/>
        <w:t>on</w:t>
      </w:r>
      <w:r>
        <w:rPr>
          <w:spacing w:val="25"/>
        </w:rPr>
        <w:t> </w:t>
      </w:r>
      <w:r>
        <w:rPr/>
        <w:t>her</w:t>
      </w:r>
      <w:r>
        <w:rPr>
          <w:spacing w:val="25"/>
        </w:rPr>
        <w:t> </w:t>
      </w:r>
      <w:r>
        <w:rPr/>
        <w:t>death</w:t>
      </w:r>
      <w:r>
        <w:rPr>
          <w:spacing w:val="25"/>
        </w:rPr>
        <w:t> </w:t>
      </w:r>
      <w:r>
        <w:rPr/>
        <w:t>her</w:t>
      </w:r>
      <w:r>
        <w:rPr>
          <w:spacing w:val="25"/>
        </w:rPr>
        <w:t> </w:t>
      </w:r>
      <w:r>
        <w:rPr/>
        <w:t>share</w:t>
      </w:r>
      <w:r>
        <w:rPr>
          <w:spacing w:val="25"/>
        </w:rPr>
        <w:t> </w:t>
      </w:r>
      <w:r>
        <w:rPr/>
        <w:t>passed</w:t>
      </w:r>
      <w:r>
        <w:rPr>
          <w:spacing w:val="25"/>
        </w:rPr>
        <w:t> </w:t>
      </w:r>
      <w:r>
        <w:rPr/>
        <w:t>to</w:t>
      </w:r>
      <w:r>
        <w:rPr>
          <w:spacing w:val="25"/>
        </w:rPr>
        <w:t> </w:t>
      </w:r>
      <w:r>
        <w:rPr/>
        <w:t>the</w:t>
      </w:r>
      <w:r>
        <w:rPr>
          <w:spacing w:val="25"/>
        </w:rPr>
        <w:t> </w:t>
      </w:r>
      <w:r>
        <w:rPr/>
        <w:t>other co-owner by right of survivorship.</w:t>
      </w:r>
    </w:p>
    <w:p>
      <w:pPr>
        <w:pStyle w:val="BodyText"/>
        <w:spacing w:before="9"/>
      </w:pPr>
    </w:p>
    <w:p>
      <w:pPr>
        <w:spacing w:line="235" w:lineRule="auto" w:before="0"/>
        <w:ind w:left="705" w:right="167" w:hanging="541"/>
        <w:jc w:val="both"/>
        <w:rPr>
          <w:sz w:val="20"/>
        </w:rPr>
      </w:pPr>
      <w:bookmarkStart w:name="_bookmark496" w:id="498"/>
      <w:bookmarkEnd w:id="498"/>
      <w:r>
        <w:rPr/>
      </w:r>
      <w:hyperlink w:history="true" w:anchor="_bookmark367">
        <w:r>
          <w:rPr>
            <w:color w:val="005DA1"/>
            <w:position w:val="5"/>
            <w:sz w:val="14"/>
            <w:u w:val="single" w:color="005DA1"/>
          </w:rPr>
          <w:t>251</w:t>
        </w:r>
      </w:hyperlink>
      <w:r>
        <w:rPr>
          <w:position w:val="5"/>
          <w:sz w:val="14"/>
        </w:rPr>
        <w:t>.</w:t>
      </w:r>
      <w:r>
        <w:rPr>
          <w:spacing w:val="80"/>
          <w:position w:val="5"/>
          <w:sz w:val="14"/>
        </w:rPr>
        <w:t>  </w:t>
      </w:r>
      <w:r>
        <w:rPr>
          <w:sz w:val="20"/>
        </w:rPr>
        <w:t>For the right of an executrix to recover damages for the benefit of a residuary legatee in </w:t>
      </w:r>
      <w:r>
        <w:rPr>
          <w:sz w:val="20"/>
        </w:rPr>
        <w:t>respect of loss to the estate caused by the negligence of a solicitor engaged by the executrix to administer the estate, see </w:t>
      </w:r>
      <w:r>
        <w:rPr>
          <w:rFonts w:ascii="Arial"/>
          <w:i/>
          <w:sz w:val="20"/>
        </w:rPr>
        <w:t>Chappell v Somers &amp; Blake [2003] EWHC 1644 (Ch); [2004] Ch. 19</w:t>
      </w:r>
      <w:r>
        <w:rPr>
          <w:sz w:val="20"/>
        </w:rPr>
        <w:t>, below, para.18-049 at n.298.</w:t>
      </w:r>
    </w:p>
    <w:p>
      <w:pPr>
        <w:pStyle w:val="BodyText"/>
        <w:spacing w:before="9"/>
      </w:pPr>
    </w:p>
    <w:p>
      <w:pPr>
        <w:pStyle w:val="BodyText"/>
        <w:spacing w:line="235" w:lineRule="auto"/>
        <w:ind w:left="705" w:right="167" w:hanging="541"/>
        <w:jc w:val="both"/>
      </w:pPr>
      <w:bookmarkStart w:name="_bookmark497" w:id="499"/>
      <w:bookmarkEnd w:id="499"/>
      <w:r>
        <w:rPr/>
      </w:r>
      <w:hyperlink w:history="true" w:anchor="_bookmark368">
        <w:r>
          <w:rPr>
            <w:color w:val="005DA1"/>
            <w:position w:val="5"/>
            <w:sz w:val="14"/>
            <w:u w:val="single" w:color="005DA1"/>
          </w:rPr>
          <w:t>252</w:t>
        </w:r>
      </w:hyperlink>
      <w:r>
        <w:rPr>
          <w:position w:val="5"/>
          <w:sz w:val="14"/>
        </w:rPr>
        <w:t>.</w:t>
      </w:r>
      <w:r>
        <w:rPr>
          <w:spacing w:val="40"/>
          <w:position w:val="5"/>
          <w:sz w:val="14"/>
        </w:rPr>
        <w:t>  </w:t>
      </w:r>
      <w:r>
        <w:rPr/>
        <w:t>cf. </w:t>
      </w:r>
      <w:r>
        <w:rPr>
          <w:rFonts w:ascii="Arial" w:hAnsi="Arial"/>
          <w:i/>
        </w:rPr>
        <w:t>Corbett v Bond Pearce [2001] EWCA Civ 531; [2001] 3 All E.R. 769</w:t>
      </w:r>
      <w:r>
        <w:rPr/>
        <w:t>, where residuary gift </w:t>
      </w:r>
      <w:r>
        <w:rPr/>
        <w:t>in favour of a disappointed beneficiary was held invalid in legal proceedings the costs of which were paid out of the testatrix’s estate. The solicitors whose negligence was the cause of the invalidity of that gift then settled the disappointed beneficiary’s claim for the full value of the residuary estate, undiminished by those costs. It was held that the solicitors were not liable to the estate for such costs since to hold them so liable would (1) make them liable twice over the same loss; and (2) result in benefiting persons whom the testatrix (in accordance with her final testamentary intentions as expressed in the invalid will) no longer wished to benefit.</w:t>
      </w:r>
    </w:p>
    <w:p>
      <w:pPr>
        <w:pStyle w:val="BodyText"/>
        <w:spacing w:before="7"/>
      </w:pPr>
    </w:p>
    <w:p>
      <w:pPr>
        <w:pStyle w:val="BodyText"/>
        <w:tabs>
          <w:tab w:pos="705" w:val="left" w:leader="none"/>
        </w:tabs>
        <w:spacing w:line="235" w:lineRule="auto"/>
        <w:ind w:left="705" w:right="168" w:hanging="541"/>
      </w:pPr>
      <w:bookmarkStart w:name="_bookmark498" w:id="500"/>
      <w:bookmarkEnd w:id="500"/>
      <w:r>
        <w:rPr/>
      </w:r>
      <w:hyperlink w:history="true" w:anchor="_bookmark369">
        <w:r>
          <w:rPr>
            <w:color w:val="005DA1"/>
            <w:spacing w:val="-4"/>
            <w:position w:val="5"/>
            <w:sz w:val="14"/>
            <w:u w:val="single" w:color="005DA1"/>
          </w:rPr>
          <w:t>253</w:t>
        </w:r>
      </w:hyperlink>
      <w:r>
        <w:rPr>
          <w:spacing w:val="-4"/>
          <w:position w:val="5"/>
          <w:sz w:val="14"/>
        </w:rPr>
        <w:t>.</w:t>
      </w:r>
      <w:r>
        <w:rPr>
          <w:position w:val="5"/>
          <w:sz w:val="14"/>
        </w:rPr>
        <w:tab/>
      </w:r>
      <w:r>
        <w:rPr/>
        <w:t>In</w:t>
      </w:r>
      <w:r>
        <w:rPr>
          <w:spacing w:val="40"/>
        </w:rPr>
        <w:t> </w:t>
      </w:r>
      <w:r>
        <w:rPr/>
        <w:t>a</w:t>
      </w:r>
      <w:r>
        <w:rPr>
          <w:spacing w:val="40"/>
        </w:rPr>
        <w:t> </w:t>
      </w:r>
      <w:r>
        <w:rPr/>
        <w:t>way</w:t>
      </w:r>
      <w:r>
        <w:rPr>
          <w:spacing w:val="40"/>
        </w:rPr>
        <w:t> </w:t>
      </w:r>
      <w:r>
        <w:rPr/>
        <w:t>somewhat</w:t>
      </w:r>
      <w:r>
        <w:rPr>
          <w:spacing w:val="40"/>
        </w:rPr>
        <w:t> </w:t>
      </w:r>
      <w:r>
        <w:rPr/>
        <w:t>reminiscent</w:t>
      </w:r>
      <w:r>
        <w:rPr>
          <w:spacing w:val="40"/>
        </w:rPr>
        <w:t> </w:t>
      </w:r>
      <w:r>
        <w:rPr/>
        <w:t>of</w:t>
      </w:r>
      <w:r>
        <w:rPr>
          <w:spacing w:val="40"/>
        </w:rPr>
        <w:t> </w:t>
      </w:r>
      <w:r>
        <w:rPr/>
        <w:t>the</w:t>
      </w:r>
      <w:r>
        <w:rPr>
          <w:spacing w:val="40"/>
        </w:rPr>
        <w:t> </w:t>
      </w:r>
      <w:r>
        <w:rPr/>
        <w:t>process,</w:t>
      </w:r>
      <w:r>
        <w:rPr>
          <w:spacing w:val="40"/>
        </w:rPr>
        <w:t> </w:t>
      </w:r>
      <w:r>
        <w:rPr/>
        <w:t>well</w:t>
      </w:r>
      <w:r>
        <w:rPr>
          <w:spacing w:val="40"/>
        </w:rPr>
        <w:t> </w:t>
      </w:r>
      <w:r>
        <w:rPr/>
        <w:t>known</w:t>
      </w:r>
      <w:r>
        <w:rPr>
          <w:spacing w:val="40"/>
        </w:rPr>
        <w:t> </w:t>
      </w:r>
      <w:r>
        <w:rPr/>
        <w:t>in</w:t>
      </w:r>
      <w:r>
        <w:rPr>
          <w:spacing w:val="40"/>
        </w:rPr>
        <w:t> </w:t>
      </w:r>
      <w:r>
        <w:rPr/>
        <w:t>company</w:t>
      </w:r>
      <w:r>
        <w:rPr>
          <w:spacing w:val="40"/>
        </w:rPr>
        <w:t> </w:t>
      </w:r>
      <w:r>
        <w:rPr/>
        <w:t>law,</w:t>
      </w:r>
      <w:r>
        <w:rPr>
          <w:spacing w:val="40"/>
        </w:rPr>
        <w:t> </w:t>
      </w:r>
      <w:r>
        <w:rPr/>
        <w:t>of</w:t>
      </w:r>
      <w:r>
        <w:rPr>
          <w:spacing w:val="40"/>
        </w:rPr>
        <w:t> </w:t>
      </w:r>
      <w:r>
        <w:rPr/>
        <w:t>“lifting</w:t>
      </w:r>
      <w:r>
        <w:rPr>
          <w:spacing w:val="40"/>
        </w:rPr>
        <w:t> </w:t>
      </w:r>
      <w:r>
        <w:rPr/>
        <w:t>the corporate veil.”</w:t>
      </w:r>
    </w:p>
    <w:p>
      <w:pPr>
        <w:pStyle w:val="BodyText"/>
        <w:spacing w:before="5"/>
      </w:pPr>
    </w:p>
    <w:p>
      <w:pPr>
        <w:pStyle w:val="BodyText"/>
        <w:tabs>
          <w:tab w:pos="705" w:val="left" w:leader="none"/>
        </w:tabs>
        <w:ind w:left="165"/>
      </w:pPr>
      <w:bookmarkStart w:name="_bookmark499" w:id="501"/>
      <w:bookmarkEnd w:id="501"/>
      <w:r>
        <w:rPr/>
      </w:r>
      <w:hyperlink w:history="true" w:anchor="_bookmark370">
        <w:r>
          <w:rPr>
            <w:color w:val="005DA1"/>
            <w:spacing w:val="-4"/>
            <w:position w:val="5"/>
            <w:sz w:val="14"/>
            <w:u w:val="single" w:color="005DA1"/>
          </w:rPr>
          <w:t>254</w:t>
        </w:r>
      </w:hyperlink>
      <w:r>
        <w:rPr>
          <w:spacing w:val="-4"/>
          <w:position w:val="5"/>
          <w:sz w:val="14"/>
        </w:rPr>
        <w:t>.</w:t>
      </w:r>
      <w:r>
        <w:rPr>
          <w:position w:val="5"/>
          <w:sz w:val="14"/>
        </w:rPr>
        <w:tab/>
      </w:r>
      <w:r>
        <w:rPr/>
        <w:t>See below, para.18-054, et seq. and n.249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500" w:id="502"/>
      <w:bookmarkEnd w:id="502"/>
      <w:r>
        <w:rPr/>
      </w:r>
      <w:hyperlink w:history="true" w:anchor="_bookmark371">
        <w:r>
          <w:rPr>
            <w:color w:val="005DA1"/>
            <w:spacing w:val="-4"/>
            <w:position w:val="5"/>
            <w:sz w:val="14"/>
            <w:u w:val="single" w:color="005DA1"/>
          </w:rPr>
          <w:t>255</w:t>
        </w:r>
      </w:hyperlink>
      <w:r>
        <w:rPr>
          <w:spacing w:val="-4"/>
          <w:position w:val="5"/>
          <w:sz w:val="14"/>
        </w:rPr>
        <w:t>.</w:t>
      </w:r>
      <w:r>
        <w:rPr>
          <w:position w:val="5"/>
          <w:sz w:val="14"/>
        </w:rPr>
        <w:tab/>
      </w:r>
      <w:r>
        <w:rPr>
          <w:sz w:val="20"/>
        </w:rPr>
        <w:t>Above at </w:t>
      </w:r>
      <w:r>
        <w:rPr>
          <w:spacing w:val="-2"/>
          <w:sz w:val="20"/>
        </w:rPr>
        <w:t>n.234.</w:t>
      </w:r>
    </w:p>
    <w:p>
      <w:pPr>
        <w:pStyle w:val="BodyText"/>
        <w:spacing w:before="5"/>
      </w:pPr>
    </w:p>
    <w:p>
      <w:pPr>
        <w:tabs>
          <w:tab w:pos="705" w:val="left" w:leader="none"/>
        </w:tabs>
        <w:spacing w:before="0"/>
        <w:ind w:left="165" w:right="0" w:firstLine="0"/>
        <w:jc w:val="left"/>
        <w:rPr>
          <w:sz w:val="20"/>
        </w:rPr>
      </w:pPr>
      <w:bookmarkStart w:name="_bookmark501" w:id="503"/>
      <w:bookmarkEnd w:id="503"/>
      <w:r>
        <w:rPr/>
      </w:r>
      <w:hyperlink w:history="true" w:anchor="_bookmark372">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[2000] 1 W.L.R. </w:t>
      </w:r>
      <w:r>
        <w:rPr>
          <w:rFonts w:ascii="Arial"/>
          <w:i/>
          <w:spacing w:val="-4"/>
          <w:sz w:val="20"/>
        </w:rPr>
        <w:t>2129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02" w:id="504"/>
      <w:bookmarkEnd w:id="504"/>
      <w:r>
        <w:rPr/>
      </w:r>
      <w:hyperlink w:history="true" w:anchor="_bookmark373">
        <w:r>
          <w:rPr>
            <w:color w:val="005DA1"/>
            <w:spacing w:val="-4"/>
            <w:position w:val="5"/>
            <w:sz w:val="14"/>
            <w:u w:val="single" w:color="005DA1"/>
          </w:rPr>
          <w:t>257</w:t>
        </w:r>
      </w:hyperlink>
      <w:r>
        <w:rPr>
          <w:spacing w:val="-4"/>
          <w:position w:val="5"/>
          <w:sz w:val="14"/>
        </w:rPr>
        <w:t>.</w:t>
      </w:r>
      <w:r>
        <w:rPr>
          <w:position w:val="5"/>
          <w:sz w:val="14"/>
        </w:rPr>
        <w:tab/>
      </w:r>
      <w:r>
        <w:rPr>
          <w:rFonts w:ascii="Arial"/>
          <w:i/>
          <w:sz w:val="20"/>
        </w:rPr>
        <w:t>[1995]</w:t>
      </w:r>
      <w:r>
        <w:rPr>
          <w:rFonts w:ascii="Arial"/>
          <w:i/>
          <w:spacing w:val="-1"/>
          <w:sz w:val="20"/>
        </w:rPr>
        <w:t> </w:t>
      </w:r>
      <w:r>
        <w:rPr>
          <w:rFonts w:ascii="Arial"/>
          <w:i/>
          <w:sz w:val="20"/>
        </w:rPr>
        <w:t>2 A.C. 207</w:t>
      </w:r>
      <w:r>
        <w:rPr>
          <w:sz w:val="20"/>
        </w:rPr>
        <w:t>, above, para.18-</w:t>
      </w:r>
      <w:r>
        <w:rPr>
          <w:spacing w:val="-4"/>
          <w:sz w:val="20"/>
        </w:rPr>
        <w:t>039.</w:t>
      </w:r>
    </w:p>
    <w:p>
      <w:pPr>
        <w:pStyle w:val="BodyText"/>
        <w:spacing w:before="5"/>
      </w:pPr>
    </w:p>
    <w:p>
      <w:pPr>
        <w:tabs>
          <w:tab w:pos="705" w:val="left" w:leader="none"/>
        </w:tabs>
        <w:spacing w:before="0"/>
        <w:ind w:left="165" w:right="0" w:firstLine="0"/>
        <w:jc w:val="left"/>
        <w:rPr>
          <w:sz w:val="20"/>
        </w:rPr>
      </w:pPr>
      <w:bookmarkStart w:name="_bookmark503" w:id="505"/>
      <w:bookmarkEnd w:id="505"/>
      <w:r>
        <w:rPr/>
      </w:r>
      <w:hyperlink w:history="true" w:anchor="_bookmark374">
        <w:r>
          <w:rPr>
            <w:color w:val="005DA1"/>
            <w:spacing w:val="-4"/>
            <w:position w:val="5"/>
            <w:sz w:val="14"/>
            <w:u w:val="single" w:color="005DA1"/>
          </w:rPr>
          <w:t>258</w:t>
        </w:r>
      </w:hyperlink>
      <w:r>
        <w:rPr>
          <w:spacing w:val="-4"/>
          <w:position w:val="5"/>
          <w:sz w:val="14"/>
        </w:rPr>
        <w:t>.</w:t>
      </w:r>
      <w:r>
        <w:rPr>
          <w:position w:val="5"/>
          <w:sz w:val="14"/>
        </w:rPr>
        <w:tab/>
      </w:r>
      <w:r>
        <w:rPr>
          <w:rFonts w:ascii="Arial" w:hAnsi="Arial"/>
          <w:i/>
          <w:sz w:val="20"/>
        </w:rPr>
        <w:t>Gorham’s</w:t>
      </w:r>
      <w:r>
        <w:rPr>
          <w:rFonts w:ascii="Arial" w:hAnsi="Arial"/>
          <w:i/>
          <w:spacing w:val="-1"/>
          <w:sz w:val="20"/>
        </w:rPr>
        <w:t> </w:t>
      </w:r>
      <w:r>
        <w:rPr>
          <w:rFonts w:ascii="Arial" w:hAnsi="Arial"/>
          <w:i/>
          <w:sz w:val="20"/>
        </w:rPr>
        <w:t>case</w:t>
      </w:r>
      <w:r>
        <w:rPr>
          <w:sz w:val="20"/>
        </w:rPr>
        <w:t>, above n.254, at </w:t>
      </w:r>
      <w:r>
        <w:rPr>
          <w:spacing w:val="-2"/>
          <w:sz w:val="20"/>
        </w:rPr>
        <w:t>2142.</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504" w:id="506"/>
      <w:bookmarkEnd w:id="506"/>
      <w:r>
        <w:rPr/>
      </w:r>
      <w:hyperlink w:history="true" w:anchor="_bookmark375">
        <w:r>
          <w:rPr>
            <w:color w:val="005DA1"/>
            <w:spacing w:val="-4"/>
            <w:position w:val="5"/>
            <w:sz w:val="14"/>
            <w:u w:val="single" w:color="005DA1"/>
          </w:rPr>
          <w:t>259</w:t>
        </w:r>
      </w:hyperlink>
      <w:r>
        <w:rPr>
          <w:spacing w:val="-4"/>
          <w:position w:val="5"/>
          <w:sz w:val="14"/>
        </w:rPr>
        <w:t>.</w:t>
      </w:r>
      <w:r>
        <w:rPr>
          <w:position w:val="5"/>
          <w:sz w:val="14"/>
        </w:rPr>
        <w:tab/>
      </w:r>
      <w:r>
        <w:rPr>
          <w:sz w:val="20"/>
        </w:rPr>
        <w:t>cf.</w:t>
      </w:r>
      <w:r>
        <w:rPr>
          <w:spacing w:val="30"/>
          <w:sz w:val="20"/>
        </w:rPr>
        <w:t> </w:t>
      </w:r>
      <w:r>
        <w:rPr>
          <w:sz w:val="20"/>
        </w:rPr>
        <w:t>the</w:t>
      </w:r>
      <w:r>
        <w:rPr>
          <w:spacing w:val="32"/>
          <w:sz w:val="20"/>
        </w:rPr>
        <w:t> </w:t>
      </w:r>
      <w:r>
        <w:rPr>
          <w:sz w:val="20"/>
        </w:rPr>
        <w:t>reference</w:t>
      </w:r>
      <w:r>
        <w:rPr>
          <w:spacing w:val="32"/>
          <w:sz w:val="20"/>
        </w:rPr>
        <w:t> </w:t>
      </w:r>
      <w:r>
        <w:rPr>
          <w:sz w:val="20"/>
        </w:rPr>
        <w:t>in</w:t>
      </w:r>
      <w:r>
        <w:rPr>
          <w:spacing w:val="32"/>
          <w:sz w:val="20"/>
        </w:rPr>
        <w:t> </w:t>
      </w:r>
      <w:r>
        <w:rPr>
          <w:rFonts w:ascii="Arial" w:hAnsi="Arial"/>
          <w:i/>
          <w:sz w:val="20"/>
        </w:rPr>
        <w:t>Dean</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Allin</w:t>
      </w:r>
      <w:r>
        <w:rPr>
          <w:rFonts w:ascii="Arial" w:hAnsi="Arial"/>
          <w:i/>
          <w:spacing w:val="32"/>
          <w:sz w:val="20"/>
        </w:rPr>
        <w:t> </w:t>
      </w:r>
      <w:r>
        <w:rPr>
          <w:rFonts w:ascii="Arial" w:hAnsi="Arial"/>
          <w:i/>
          <w:sz w:val="20"/>
        </w:rPr>
        <w:t>&amp;</w:t>
      </w:r>
      <w:r>
        <w:rPr>
          <w:rFonts w:ascii="Arial" w:hAnsi="Arial"/>
          <w:i/>
          <w:spacing w:val="32"/>
          <w:sz w:val="20"/>
        </w:rPr>
        <w:t> </w:t>
      </w:r>
      <w:r>
        <w:rPr>
          <w:rFonts w:ascii="Arial" w:hAnsi="Arial"/>
          <w:i/>
          <w:sz w:val="20"/>
        </w:rPr>
        <w:t>Watts</w:t>
      </w:r>
      <w:r>
        <w:rPr>
          <w:rFonts w:ascii="Arial" w:hAnsi="Arial"/>
          <w:i/>
          <w:spacing w:val="32"/>
          <w:sz w:val="20"/>
        </w:rPr>
        <w:t> </w:t>
      </w:r>
      <w:r>
        <w:rPr>
          <w:rFonts w:ascii="Arial" w:hAnsi="Arial"/>
          <w:i/>
          <w:sz w:val="20"/>
        </w:rPr>
        <w:t>[2001]</w:t>
      </w:r>
      <w:r>
        <w:rPr>
          <w:rFonts w:ascii="Arial" w:hAnsi="Arial"/>
          <w:i/>
          <w:spacing w:val="32"/>
          <w:sz w:val="20"/>
        </w:rPr>
        <w:t> </w:t>
      </w:r>
      <w:r>
        <w:rPr>
          <w:rFonts w:ascii="Arial" w:hAnsi="Arial"/>
          <w:i/>
          <w:sz w:val="20"/>
        </w:rPr>
        <w:t>EWCA</w:t>
      </w:r>
      <w:r>
        <w:rPr>
          <w:rFonts w:ascii="Arial" w:hAnsi="Arial"/>
          <w:i/>
          <w:spacing w:val="32"/>
          <w:sz w:val="20"/>
        </w:rPr>
        <w:t> </w:t>
      </w:r>
      <w:r>
        <w:rPr>
          <w:rFonts w:ascii="Arial" w:hAnsi="Arial"/>
          <w:i/>
          <w:sz w:val="20"/>
        </w:rPr>
        <w:t>Civ</w:t>
      </w:r>
      <w:r>
        <w:rPr>
          <w:rFonts w:ascii="Arial" w:hAnsi="Arial"/>
          <w:i/>
          <w:spacing w:val="32"/>
          <w:sz w:val="20"/>
        </w:rPr>
        <w:t> </w:t>
      </w:r>
      <w:r>
        <w:rPr>
          <w:rFonts w:ascii="Arial" w:hAnsi="Arial"/>
          <w:i/>
          <w:sz w:val="20"/>
        </w:rPr>
        <w:t>758;</w:t>
      </w:r>
      <w:r>
        <w:rPr>
          <w:rFonts w:ascii="Arial" w:hAnsi="Arial"/>
          <w:i/>
          <w:spacing w:val="32"/>
          <w:sz w:val="20"/>
        </w:rPr>
        <w:t> </w:t>
      </w:r>
      <w:r>
        <w:rPr>
          <w:rFonts w:ascii="Arial" w:hAnsi="Arial"/>
          <w:i/>
          <w:sz w:val="20"/>
        </w:rPr>
        <w:t>[2001]</w:t>
      </w:r>
      <w:r>
        <w:rPr>
          <w:rFonts w:ascii="Arial" w:hAnsi="Arial"/>
          <w:i/>
          <w:spacing w:val="32"/>
          <w:sz w:val="20"/>
        </w:rPr>
        <w:t> </w:t>
      </w:r>
      <w:r>
        <w:rPr>
          <w:rFonts w:ascii="Arial" w:hAnsi="Arial"/>
          <w:i/>
          <w:sz w:val="20"/>
        </w:rPr>
        <w:t>2</w:t>
      </w:r>
      <w:r>
        <w:rPr>
          <w:rFonts w:ascii="Arial" w:hAnsi="Arial"/>
          <w:i/>
          <w:spacing w:val="32"/>
          <w:sz w:val="20"/>
        </w:rPr>
        <w:t> </w:t>
      </w:r>
      <w:r>
        <w:rPr>
          <w:rFonts w:ascii="Arial" w:hAnsi="Arial"/>
          <w:i/>
          <w:sz w:val="20"/>
        </w:rPr>
        <w:t>Lloyd’s</w:t>
      </w:r>
      <w:r>
        <w:rPr>
          <w:rFonts w:ascii="Arial" w:hAnsi="Arial"/>
          <w:i/>
          <w:spacing w:val="32"/>
          <w:sz w:val="20"/>
        </w:rPr>
        <w:t> </w:t>
      </w:r>
      <w:r>
        <w:rPr>
          <w:rFonts w:ascii="Arial" w:hAnsi="Arial"/>
          <w:i/>
          <w:sz w:val="20"/>
        </w:rPr>
        <w:t>Rep.</w:t>
      </w:r>
      <w:r>
        <w:rPr>
          <w:rFonts w:ascii="Arial" w:hAnsi="Arial"/>
          <w:i/>
          <w:spacing w:val="32"/>
          <w:sz w:val="20"/>
        </w:rPr>
        <w:t> </w:t>
      </w:r>
      <w:r>
        <w:rPr>
          <w:rFonts w:ascii="Arial" w:hAnsi="Arial"/>
          <w:i/>
          <w:spacing w:val="-5"/>
          <w:sz w:val="20"/>
        </w:rPr>
        <w:t>249</w:t>
      </w:r>
    </w:p>
    <w:p>
      <w:pPr>
        <w:pStyle w:val="BodyText"/>
        <w:spacing w:line="227" w:lineRule="exact"/>
        <w:ind w:left="705"/>
      </w:pPr>
      <w:r>
        <w:rPr/>
        <w:t>(above,</w:t>
      </w:r>
      <w:r>
        <w:rPr>
          <w:spacing w:val="27"/>
        </w:rPr>
        <w:t> </w:t>
      </w:r>
      <w:r>
        <w:rPr/>
        <w:t>para.18-031)</w:t>
      </w:r>
      <w:r>
        <w:rPr>
          <w:spacing w:val="27"/>
        </w:rPr>
        <w:t> </w:t>
      </w:r>
      <w:r>
        <w:rPr/>
        <w:t>at</w:t>
      </w:r>
      <w:r>
        <w:rPr>
          <w:spacing w:val="27"/>
        </w:rPr>
        <w:t> </w:t>
      </w:r>
      <w:r>
        <w:rPr/>
        <w:t>[69]</w:t>
      </w:r>
      <w:r>
        <w:rPr>
          <w:spacing w:val="27"/>
        </w:rPr>
        <w:t> </w:t>
      </w:r>
      <w:r>
        <w:rPr/>
        <w:t>by</w:t>
      </w:r>
      <w:r>
        <w:rPr>
          <w:spacing w:val="27"/>
        </w:rPr>
        <w:t> </w:t>
      </w:r>
      <w:r>
        <w:rPr/>
        <w:t>Robert</w:t>
      </w:r>
      <w:r>
        <w:rPr>
          <w:spacing w:val="27"/>
        </w:rPr>
        <w:t> </w:t>
      </w:r>
      <w:r>
        <w:rPr/>
        <w:t>Walker</w:t>
      </w:r>
      <w:r>
        <w:rPr>
          <w:spacing w:val="27"/>
        </w:rPr>
        <w:t> </w:t>
      </w:r>
      <w:r>
        <w:rPr/>
        <w:t>L.J.</w:t>
      </w:r>
      <w:r>
        <w:rPr>
          <w:spacing w:val="27"/>
        </w:rPr>
        <w:t> </w:t>
      </w:r>
      <w:r>
        <w:rPr/>
        <w:t>to</w:t>
      </w:r>
      <w:r>
        <w:rPr>
          <w:spacing w:val="27"/>
        </w:rPr>
        <w:t> </w:t>
      </w:r>
      <w:r>
        <w:rPr/>
        <w:t>the</w:t>
      </w:r>
      <w:r>
        <w:rPr>
          <w:spacing w:val="27"/>
        </w:rPr>
        <w:t> </w:t>
      </w:r>
      <w:r>
        <w:rPr/>
        <w:t>“very</w:t>
      </w:r>
      <w:r>
        <w:rPr>
          <w:spacing w:val="27"/>
        </w:rPr>
        <w:t> </w:t>
      </w:r>
      <w:r>
        <w:rPr/>
        <w:t>special</w:t>
      </w:r>
      <w:r>
        <w:rPr>
          <w:spacing w:val="27"/>
        </w:rPr>
        <w:t> </w:t>
      </w:r>
      <w:r>
        <w:rPr/>
        <w:t>problems”</w:t>
      </w:r>
      <w:r>
        <w:rPr>
          <w:spacing w:val="27"/>
        </w:rPr>
        <w:t> </w:t>
      </w:r>
      <w:r>
        <w:rPr/>
        <w:t>which</w:t>
      </w:r>
      <w:r>
        <w:rPr>
          <w:spacing w:val="27"/>
        </w:rPr>
        <w:t> </w:t>
      </w:r>
      <w:r>
        <w:rPr>
          <w:spacing w:val="-5"/>
        </w:rPr>
        <w:t>had</w:t>
      </w:r>
    </w:p>
    <w:p>
      <w:pPr>
        <w:pStyle w:val="BodyText"/>
        <w:spacing w:after="0" w:line="227" w:lineRule="exact"/>
        <w:sectPr>
          <w:pgSz w:w="11900" w:h="16840"/>
          <w:pgMar w:header="971" w:footer="0" w:top="1160" w:bottom="280" w:left="1275" w:right="1275"/>
        </w:sectPr>
      </w:pPr>
    </w:p>
    <w:p>
      <w:pPr>
        <w:pStyle w:val="BodyText"/>
        <w:spacing w:before="24"/>
      </w:pPr>
    </w:p>
    <w:p>
      <w:pPr>
        <w:spacing w:line="235" w:lineRule="auto" w:before="1"/>
        <w:ind w:left="705" w:right="168" w:firstLine="0"/>
        <w:jc w:val="both"/>
        <w:rPr>
          <w:sz w:val="20"/>
        </w:rPr>
      </w:pPr>
      <w:r>
        <w:rPr>
          <w:sz w:val="20"/>
        </w:rPr>
        <w:t>arisen in </w:t>
      </w:r>
      <w:r>
        <w:rPr>
          <w:rFonts w:ascii="Arial" w:hAnsi="Arial"/>
          <w:i/>
          <w:sz w:val="20"/>
        </w:rPr>
        <w:t>White v Jones </w:t>
      </w:r>
      <w:r>
        <w:rPr>
          <w:sz w:val="20"/>
        </w:rPr>
        <w:t>and </w:t>
      </w:r>
      <w:r>
        <w:rPr>
          <w:rFonts w:ascii="Arial" w:hAnsi="Arial"/>
          <w:i/>
          <w:sz w:val="20"/>
        </w:rPr>
        <w:t>Gorham’s </w:t>
      </w:r>
      <w:r>
        <w:rPr>
          <w:sz w:val="20"/>
        </w:rPr>
        <w:t>case, evidently not sharing the view of Lightman J. </w:t>
      </w:r>
      <w:r>
        <w:rPr>
          <w:sz w:val="20"/>
        </w:rPr>
        <w:t>in </w:t>
      </w:r>
      <w:r>
        <w:rPr>
          <w:rFonts w:ascii="Arial" w:hAnsi="Arial"/>
          <w:i/>
          <w:sz w:val="20"/>
        </w:rPr>
        <w:t>Dean v Allin &amp; Watts</w:t>
      </w:r>
      <w:r>
        <w:rPr>
          <w:sz w:val="20"/>
        </w:rPr>
        <w:t>, above at [40] that the decision there represented a further extension of</w:t>
      </w:r>
      <w:r>
        <w:rPr>
          <w:spacing w:val="40"/>
          <w:sz w:val="20"/>
        </w:rPr>
        <w:t> </w:t>
      </w:r>
      <w:r>
        <w:rPr>
          <w:sz w:val="20"/>
        </w:rPr>
        <w:t>the principle in </w:t>
      </w:r>
      <w:r>
        <w:rPr>
          <w:rFonts w:ascii="Arial" w:hAnsi="Arial"/>
          <w:i/>
          <w:sz w:val="20"/>
        </w:rPr>
        <w:t>White v Jones</w:t>
      </w:r>
      <w:r>
        <w:rPr>
          <w:sz w:val="20"/>
        </w:rPr>
        <w:t>.</w:t>
      </w:r>
    </w:p>
    <w:p>
      <w:pPr>
        <w:pStyle w:val="BodyText"/>
        <w:spacing w:before="5"/>
      </w:pPr>
    </w:p>
    <w:p>
      <w:pPr>
        <w:tabs>
          <w:tab w:pos="705" w:val="left" w:leader="none"/>
        </w:tabs>
        <w:spacing w:before="0"/>
        <w:ind w:left="165" w:right="0" w:firstLine="0"/>
        <w:jc w:val="left"/>
        <w:rPr>
          <w:sz w:val="20"/>
        </w:rPr>
      </w:pPr>
      <w:bookmarkStart w:name="_bookmark505" w:id="507"/>
      <w:bookmarkEnd w:id="507"/>
      <w:r>
        <w:rPr/>
      </w:r>
      <w:hyperlink w:history="true" w:anchor="_bookmark376">
        <w:r>
          <w:rPr>
            <w:color w:val="005DA1"/>
            <w:spacing w:val="-4"/>
            <w:position w:val="5"/>
            <w:sz w:val="14"/>
            <w:u w:val="single" w:color="005DA1"/>
          </w:rPr>
          <w:t>260</w:t>
        </w:r>
      </w:hyperlink>
      <w:r>
        <w:rPr>
          <w:spacing w:val="-4"/>
          <w:position w:val="5"/>
          <w:sz w:val="14"/>
        </w:rPr>
        <w:t>.</w:t>
      </w:r>
      <w:r>
        <w:rPr>
          <w:position w:val="5"/>
          <w:sz w:val="14"/>
        </w:rPr>
        <w:tab/>
      </w:r>
      <w:r>
        <w:rPr>
          <w:sz w:val="20"/>
        </w:rPr>
        <w:t>See</w:t>
      </w:r>
      <w:r>
        <w:rPr>
          <w:spacing w:val="-1"/>
          <w:sz w:val="20"/>
        </w:rPr>
        <w:t> </w:t>
      </w:r>
      <w:r>
        <w:rPr>
          <w:rFonts w:ascii="Arial"/>
          <w:i/>
          <w:sz w:val="20"/>
        </w:rPr>
        <w:t>Richards v Hughes [2004] EWCA Civ 266, [2004] P.N.L.R. </w:t>
      </w:r>
      <w:r>
        <w:rPr>
          <w:rFonts w:ascii="Arial"/>
          <w:i/>
          <w:spacing w:val="-5"/>
          <w:sz w:val="20"/>
        </w:rPr>
        <w:t>35</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06" w:id="508"/>
      <w:bookmarkEnd w:id="508"/>
      <w:r>
        <w:rPr/>
      </w:r>
      <w:hyperlink w:history="true" w:anchor="_bookmark377">
        <w:r>
          <w:rPr>
            <w:color w:val="005DA1"/>
            <w:spacing w:val="-4"/>
            <w:position w:val="5"/>
            <w:sz w:val="14"/>
            <w:u w:val="single" w:color="005DA1"/>
          </w:rPr>
          <w:t>261</w:t>
        </w:r>
      </w:hyperlink>
      <w:r>
        <w:rPr>
          <w:spacing w:val="-4"/>
          <w:position w:val="5"/>
          <w:sz w:val="14"/>
        </w:rPr>
        <w:t>.</w:t>
      </w:r>
      <w:r>
        <w:rPr>
          <w:position w:val="5"/>
          <w:sz w:val="14"/>
        </w:rPr>
        <w:tab/>
      </w:r>
      <w:r>
        <w:rPr>
          <w:sz w:val="20"/>
        </w:rPr>
        <w:t>For</w:t>
      </w:r>
      <w:r>
        <w:rPr>
          <w:spacing w:val="3"/>
          <w:sz w:val="20"/>
        </w:rPr>
        <w:t> </w:t>
      </w:r>
      <w:r>
        <w:rPr>
          <w:sz w:val="20"/>
        </w:rPr>
        <w:t>a</w:t>
      </w:r>
      <w:r>
        <w:rPr>
          <w:spacing w:val="3"/>
          <w:sz w:val="20"/>
        </w:rPr>
        <w:t> </w:t>
      </w:r>
      <w:r>
        <w:rPr>
          <w:sz w:val="20"/>
        </w:rPr>
        <w:t>case</w:t>
      </w:r>
      <w:r>
        <w:rPr>
          <w:spacing w:val="3"/>
          <w:sz w:val="20"/>
        </w:rPr>
        <w:t> </w:t>
      </w:r>
      <w:r>
        <w:rPr>
          <w:sz w:val="20"/>
        </w:rPr>
        <w:t>of</w:t>
      </w:r>
      <w:r>
        <w:rPr>
          <w:spacing w:val="3"/>
          <w:sz w:val="20"/>
        </w:rPr>
        <w:t> </w:t>
      </w:r>
      <w:r>
        <w:rPr>
          <w:sz w:val="20"/>
        </w:rPr>
        <w:t>such</w:t>
      </w:r>
      <w:r>
        <w:rPr>
          <w:spacing w:val="3"/>
          <w:sz w:val="20"/>
        </w:rPr>
        <w:t> </w:t>
      </w:r>
      <w:r>
        <w:rPr>
          <w:sz w:val="20"/>
        </w:rPr>
        <w:t>alleged</w:t>
      </w:r>
      <w:r>
        <w:rPr>
          <w:spacing w:val="3"/>
          <w:sz w:val="20"/>
        </w:rPr>
        <w:t> </w:t>
      </w:r>
      <w:r>
        <w:rPr>
          <w:sz w:val="20"/>
        </w:rPr>
        <w:t>negligence,</w:t>
      </w:r>
      <w:r>
        <w:rPr>
          <w:spacing w:val="3"/>
          <w:sz w:val="20"/>
        </w:rPr>
        <w:t> </w:t>
      </w:r>
      <w:r>
        <w:rPr>
          <w:sz w:val="20"/>
        </w:rPr>
        <w:t>see</w:t>
      </w:r>
      <w:r>
        <w:rPr>
          <w:spacing w:val="3"/>
          <w:sz w:val="20"/>
        </w:rPr>
        <w:t> </w:t>
      </w:r>
      <w:r>
        <w:rPr>
          <w:rFonts w:ascii="Arial"/>
          <w:i/>
          <w:sz w:val="20"/>
        </w:rPr>
        <w:t>Vinton</w:t>
      </w:r>
      <w:r>
        <w:rPr>
          <w:rFonts w:ascii="Arial"/>
          <w:i/>
          <w:spacing w:val="3"/>
          <w:sz w:val="20"/>
        </w:rPr>
        <w:t> </w:t>
      </w:r>
      <w:r>
        <w:rPr>
          <w:rFonts w:ascii="Arial"/>
          <w:i/>
          <w:sz w:val="20"/>
        </w:rPr>
        <w:t>v</w:t>
      </w:r>
      <w:r>
        <w:rPr>
          <w:rFonts w:ascii="Arial"/>
          <w:i/>
          <w:spacing w:val="3"/>
          <w:sz w:val="20"/>
        </w:rPr>
        <w:t> </w:t>
      </w:r>
      <w:r>
        <w:rPr>
          <w:rFonts w:ascii="Arial"/>
          <w:i/>
          <w:sz w:val="20"/>
        </w:rPr>
        <w:t>Fladgate</w:t>
      </w:r>
      <w:r>
        <w:rPr>
          <w:rFonts w:ascii="Arial"/>
          <w:i/>
          <w:spacing w:val="3"/>
          <w:sz w:val="20"/>
        </w:rPr>
        <w:t> </w:t>
      </w:r>
      <w:r>
        <w:rPr>
          <w:rFonts w:ascii="Arial"/>
          <w:i/>
          <w:sz w:val="20"/>
        </w:rPr>
        <w:t>Fielder</w:t>
      </w:r>
      <w:r>
        <w:rPr>
          <w:rFonts w:ascii="Arial"/>
          <w:i/>
          <w:spacing w:val="3"/>
          <w:sz w:val="20"/>
        </w:rPr>
        <w:t> </w:t>
      </w:r>
      <w:r>
        <w:rPr>
          <w:rFonts w:ascii="Arial"/>
          <w:i/>
          <w:sz w:val="20"/>
        </w:rPr>
        <w:t>[2010]</w:t>
      </w:r>
      <w:r>
        <w:rPr>
          <w:rFonts w:ascii="Arial"/>
          <w:i/>
          <w:spacing w:val="3"/>
          <w:sz w:val="20"/>
        </w:rPr>
        <w:t> </w:t>
      </w:r>
      <w:r>
        <w:rPr>
          <w:rFonts w:ascii="Arial"/>
          <w:i/>
          <w:sz w:val="20"/>
        </w:rPr>
        <w:t>EWHC</w:t>
      </w:r>
      <w:r>
        <w:rPr>
          <w:rFonts w:ascii="Arial"/>
          <w:i/>
          <w:spacing w:val="3"/>
          <w:sz w:val="20"/>
        </w:rPr>
        <w:t> </w:t>
      </w:r>
      <w:r>
        <w:rPr>
          <w:rFonts w:ascii="Arial"/>
          <w:i/>
          <w:sz w:val="20"/>
        </w:rPr>
        <w:t>904,</w:t>
      </w:r>
      <w:r>
        <w:rPr>
          <w:rFonts w:ascii="Arial"/>
          <w:i/>
          <w:spacing w:val="3"/>
          <w:sz w:val="20"/>
        </w:rPr>
        <w:t> </w:t>
      </w:r>
      <w:r>
        <w:rPr>
          <w:rFonts w:ascii="Arial"/>
          <w:i/>
          <w:spacing w:val="-2"/>
          <w:sz w:val="20"/>
        </w:rPr>
        <w:t>[2010]</w:t>
      </w:r>
    </w:p>
    <w:p>
      <w:pPr>
        <w:pStyle w:val="BodyText"/>
        <w:spacing w:line="227" w:lineRule="exact"/>
        <w:ind w:left="705"/>
      </w:pPr>
      <w:r>
        <w:rPr>
          <w:rFonts w:ascii="Arial"/>
          <w:i/>
        </w:rPr>
        <w:t>S.T.C.</w:t>
      </w:r>
      <w:r>
        <w:rPr>
          <w:rFonts w:ascii="Arial"/>
          <w:i/>
          <w:spacing w:val="-1"/>
        </w:rPr>
        <w:t> </w:t>
      </w:r>
      <w:r>
        <w:rPr>
          <w:rFonts w:ascii="Arial"/>
          <w:i/>
        </w:rPr>
        <w:t>1868</w:t>
      </w:r>
      <w:r>
        <w:rPr/>
        <w:t>, where the above suggestion is made at [23], </w:t>
      </w:r>
      <w:r>
        <w:rPr>
          <w:spacing w:val="-2"/>
        </w:rPr>
        <w:t>[24].</w:t>
      </w:r>
    </w:p>
    <w:p>
      <w:pPr>
        <w:pStyle w:val="BodyText"/>
        <w:spacing w:before="5"/>
      </w:pPr>
    </w:p>
    <w:p>
      <w:pPr>
        <w:pStyle w:val="BodyText"/>
        <w:tabs>
          <w:tab w:pos="705" w:val="left" w:leader="none"/>
        </w:tabs>
        <w:ind w:left="165"/>
      </w:pPr>
      <w:bookmarkStart w:name="_bookmark507" w:id="509"/>
      <w:bookmarkEnd w:id="509"/>
      <w:r>
        <w:rPr/>
      </w:r>
      <w:hyperlink w:history="true" w:anchor="_bookmark378">
        <w:r>
          <w:rPr>
            <w:color w:val="005DA1"/>
            <w:spacing w:val="-4"/>
            <w:position w:val="5"/>
            <w:sz w:val="14"/>
            <w:u w:val="single" w:color="005DA1"/>
          </w:rPr>
          <w:t>262</w:t>
        </w:r>
      </w:hyperlink>
      <w:r>
        <w:rPr>
          <w:spacing w:val="-4"/>
          <w:position w:val="5"/>
          <w:sz w:val="14"/>
        </w:rPr>
        <w:t>.</w:t>
      </w:r>
      <w:r>
        <w:rPr>
          <w:position w:val="5"/>
          <w:sz w:val="14"/>
        </w:rPr>
        <w:tab/>
      </w:r>
      <w:r>
        <w:rPr/>
        <w:t>Above, paras 18-039, 18-</w:t>
      </w:r>
      <w:r>
        <w:rPr>
          <w:spacing w:val="-4"/>
        </w:rPr>
        <w:t>040.</w:t>
      </w:r>
    </w:p>
    <w:p>
      <w:pPr>
        <w:pStyle w:val="BodyText"/>
        <w:spacing w:before="5"/>
      </w:pPr>
    </w:p>
    <w:p>
      <w:pPr>
        <w:tabs>
          <w:tab w:pos="705" w:val="left" w:leader="none"/>
        </w:tabs>
        <w:spacing w:before="0"/>
        <w:ind w:left="165" w:right="0" w:firstLine="0"/>
        <w:jc w:val="left"/>
        <w:rPr>
          <w:sz w:val="20"/>
        </w:rPr>
      </w:pPr>
      <w:bookmarkStart w:name="_bookmark508" w:id="510"/>
      <w:bookmarkEnd w:id="510"/>
      <w:r>
        <w:rPr/>
      </w:r>
      <w:hyperlink w:history="true" w:anchor="_bookmark379">
        <w:r>
          <w:rPr>
            <w:color w:val="005DA1"/>
            <w:spacing w:val="-4"/>
            <w:position w:val="5"/>
            <w:sz w:val="14"/>
            <w:u w:val="single" w:color="005DA1"/>
          </w:rPr>
          <w:t>263</w:t>
        </w:r>
      </w:hyperlink>
      <w:r>
        <w:rPr>
          <w:spacing w:val="-4"/>
          <w:position w:val="5"/>
          <w:sz w:val="14"/>
        </w:rPr>
        <w:t>.</w:t>
      </w:r>
      <w:r>
        <w:rPr>
          <w:position w:val="5"/>
          <w:sz w:val="14"/>
        </w:rPr>
        <w:tab/>
      </w:r>
      <w:r>
        <w:rPr>
          <w:rFonts w:ascii="Arial"/>
          <w:i/>
          <w:sz w:val="20"/>
        </w:rPr>
        <w:t>[1996] 1 W.L.R. </w:t>
      </w:r>
      <w:r>
        <w:rPr>
          <w:rFonts w:ascii="Arial"/>
          <w:i/>
          <w:spacing w:val="-4"/>
          <w:sz w:val="20"/>
        </w:rPr>
        <w:t>1397</w:t>
      </w:r>
      <w:r>
        <w:rPr>
          <w:spacing w:val="-4"/>
          <w:sz w:val="20"/>
        </w:rPr>
        <w:t>.</w:t>
      </w:r>
    </w:p>
    <w:p>
      <w:pPr>
        <w:pStyle w:val="BodyText"/>
        <w:spacing w:before="9"/>
      </w:pPr>
    </w:p>
    <w:p>
      <w:pPr>
        <w:spacing w:line="235" w:lineRule="auto" w:before="0"/>
        <w:ind w:left="705" w:right="168" w:hanging="541"/>
        <w:jc w:val="both"/>
        <w:rPr>
          <w:sz w:val="20"/>
        </w:rPr>
      </w:pPr>
      <w:bookmarkStart w:name="_bookmark509" w:id="511"/>
      <w:bookmarkEnd w:id="511"/>
      <w:r>
        <w:rPr/>
      </w:r>
      <w:hyperlink w:history="true" w:anchor="_bookmark380">
        <w:r>
          <w:rPr>
            <w:color w:val="005DA1"/>
            <w:position w:val="5"/>
            <w:sz w:val="14"/>
            <w:u w:val="single" w:color="005DA1"/>
          </w:rPr>
          <w:t>264</w:t>
        </w:r>
      </w:hyperlink>
      <w:r>
        <w:rPr>
          <w:position w:val="5"/>
          <w:sz w:val="14"/>
        </w:rPr>
        <w:t>.</w:t>
      </w:r>
      <w:r>
        <w:rPr>
          <w:spacing w:val="80"/>
          <w:position w:val="5"/>
          <w:sz w:val="14"/>
        </w:rPr>
        <w:t>  </w:t>
      </w:r>
      <w:r>
        <w:rPr>
          <w:rFonts w:ascii="Arial" w:hAnsi="Arial"/>
          <w:i/>
          <w:sz w:val="20"/>
        </w:rPr>
        <w:t>[1996] 1 W.L.R. 1397, 1403</w:t>
      </w:r>
      <w:r>
        <w:rPr>
          <w:sz w:val="20"/>
        </w:rPr>
        <w:t>; cf. above, n.257 and the description of </w:t>
      </w:r>
      <w:r>
        <w:rPr>
          <w:rFonts w:ascii="Arial" w:hAnsi="Arial"/>
          <w:i/>
          <w:sz w:val="20"/>
        </w:rPr>
        <w:t>White v Jones </w:t>
      </w:r>
      <w:r>
        <w:rPr>
          <w:sz w:val="20"/>
        </w:rPr>
        <w:t>as having been “decided on special facts” in </w:t>
      </w:r>
      <w:r>
        <w:rPr>
          <w:rFonts w:ascii="Arial" w:hAnsi="Arial"/>
          <w:i/>
          <w:sz w:val="20"/>
        </w:rPr>
        <w:t>Williams v Natural Life Health Foods [1998] 1 W.L.R. 830 </w:t>
      </w:r>
      <w:r>
        <w:rPr>
          <w:sz w:val="20"/>
        </w:rPr>
        <w:t>at </w:t>
      </w:r>
      <w:r>
        <w:rPr>
          <w:spacing w:val="-4"/>
          <w:sz w:val="20"/>
        </w:rPr>
        <w:t>837.</w:t>
      </w:r>
    </w:p>
    <w:p>
      <w:pPr>
        <w:pStyle w:val="BodyText"/>
        <w:spacing w:before="8"/>
      </w:pPr>
    </w:p>
    <w:p>
      <w:pPr>
        <w:tabs>
          <w:tab w:pos="705" w:val="left" w:leader="none"/>
        </w:tabs>
        <w:spacing w:line="235" w:lineRule="auto" w:before="1"/>
        <w:ind w:left="705" w:right="168" w:hanging="541"/>
        <w:jc w:val="left"/>
        <w:rPr>
          <w:sz w:val="20"/>
        </w:rPr>
      </w:pPr>
      <w:bookmarkStart w:name="_bookmark510" w:id="512"/>
      <w:bookmarkEnd w:id="512"/>
      <w:r>
        <w:rPr/>
      </w:r>
      <w:hyperlink w:history="true" w:anchor="_bookmark381">
        <w:r>
          <w:rPr>
            <w:color w:val="005DA1"/>
            <w:spacing w:val="-4"/>
            <w:position w:val="5"/>
            <w:sz w:val="14"/>
            <w:u w:val="single" w:color="005DA1"/>
          </w:rPr>
          <w:t>265</w:t>
        </w:r>
      </w:hyperlink>
      <w:r>
        <w:rPr>
          <w:spacing w:val="-4"/>
          <w:position w:val="5"/>
          <w:sz w:val="14"/>
        </w:rPr>
        <w:t>.</w:t>
      </w:r>
      <w:r>
        <w:rPr>
          <w:position w:val="5"/>
          <w:sz w:val="14"/>
        </w:rPr>
        <w:tab/>
      </w:r>
      <w:r>
        <w:rPr>
          <w:sz w:val="20"/>
        </w:rPr>
        <w:t>For limits on damages in such cases, see </w:t>
      </w:r>
      <w:r>
        <w:rPr>
          <w:rFonts w:ascii="Arial" w:hAnsi="Arial"/>
          <w:i/>
          <w:sz w:val="20"/>
        </w:rPr>
        <w:t>McFarlane v Tayside Health Board [2000] 2 A.C. </w:t>
      </w:r>
      <w:r>
        <w:rPr>
          <w:rFonts w:ascii="Arial" w:hAnsi="Arial"/>
          <w:i/>
          <w:sz w:val="20"/>
        </w:rPr>
        <w:t>59</w:t>
      </w:r>
      <w:r>
        <w:rPr>
          <w:sz w:val="20"/>
        </w:rPr>
        <w:t>; a full discussion of damages in “wrongful birth” cases is beyond the scope of this book.</w:t>
      </w:r>
    </w:p>
    <w:p>
      <w:pPr>
        <w:pStyle w:val="BodyText"/>
        <w:spacing w:before="5"/>
      </w:pPr>
    </w:p>
    <w:p>
      <w:pPr>
        <w:tabs>
          <w:tab w:pos="705" w:val="left" w:leader="none"/>
        </w:tabs>
        <w:spacing w:before="0"/>
        <w:ind w:left="165" w:right="0" w:firstLine="0"/>
        <w:jc w:val="left"/>
        <w:rPr>
          <w:sz w:val="20"/>
        </w:rPr>
      </w:pPr>
      <w:bookmarkStart w:name="_bookmark511" w:id="513"/>
      <w:bookmarkEnd w:id="513"/>
      <w:r>
        <w:rPr/>
      </w:r>
      <w:hyperlink w:history="true" w:anchor="_bookmark382">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[2003] UKHL 52; [2004] 1 A.C. </w:t>
      </w:r>
      <w:r>
        <w:rPr>
          <w:rFonts w:ascii="Arial"/>
          <w:i/>
          <w:spacing w:val="-4"/>
          <w:sz w:val="20"/>
        </w:rPr>
        <w:t>309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12" w:id="514"/>
      <w:bookmarkEnd w:id="514"/>
      <w:r>
        <w:rPr/>
      </w:r>
      <w:hyperlink w:history="true" w:anchor="_bookmark383">
        <w:r>
          <w:rPr>
            <w:color w:val="005DA1"/>
            <w:spacing w:val="-4"/>
            <w:position w:val="5"/>
            <w:sz w:val="14"/>
            <w:u w:val="single" w:color="005DA1"/>
          </w:rPr>
          <w:t>267</w:t>
        </w:r>
      </w:hyperlink>
      <w:r>
        <w:rPr>
          <w:spacing w:val="-4"/>
          <w:position w:val="5"/>
          <w:sz w:val="14"/>
        </w:rPr>
        <w:t>.</w:t>
      </w:r>
      <w:r>
        <w:rPr>
          <w:position w:val="5"/>
          <w:sz w:val="14"/>
        </w:rPr>
        <w:tab/>
      </w:r>
      <w:r>
        <w:rPr>
          <w:sz w:val="20"/>
        </w:rPr>
        <w:t>ibid., at </w:t>
      </w:r>
      <w:r>
        <w:rPr>
          <w:spacing w:val="-2"/>
          <w:sz w:val="20"/>
        </w:rPr>
        <w:t>[131].</w:t>
      </w:r>
    </w:p>
    <w:p>
      <w:pPr>
        <w:pStyle w:val="BodyText"/>
        <w:spacing w:before="5"/>
      </w:pPr>
    </w:p>
    <w:p>
      <w:pPr>
        <w:tabs>
          <w:tab w:pos="705" w:val="left" w:leader="none"/>
        </w:tabs>
        <w:spacing w:before="0"/>
        <w:ind w:left="165" w:right="0" w:firstLine="0"/>
        <w:jc w:val="left"/>
        <w:rPr>
          <w:sz w:val="20"/>
        </w:rPr>
      </w:pPr>
      <w:bookmarkStart w:name="_bookmark513" w:id="515"/>
      <w:bookmarkEnd w:id="515"/>
      <w:r>
        <w:rPr/>
      </w:r>
      <w:hyperlink w:history="true" w:anchor="_bookmark384">
        <w:r>
          <w:rPr>
            <w:color w:val="005DA1"/>
            <w:spacing w:val="-4"/>
            <w:position w:val="5"/>
            <w:sz w:val="14"/>
            <w:u w:val="single" w:color="005DA1"/>
          </w:rPr>
          <w:t>268</w:t>
        </w:r>
      </w:hyperlink>
      <w:r>
        <w:rPr>
          <w:spacing w:val="-4"/>
          <w:position w:val="5"/>
          <w:sz w:val="14"/>
        </w:rPr>
        <w:t>.</w:t>
      </w:r>
      <w:r>
        <w:rPr>
          <w:position w:val="5"/>
          <w:sz w:val="14"/>
        </w:rPr>
        <w:tab/>
      </w:r>
      <w:r>
        <w:rPr>
          <w:sz w:val="20"/>
        </w:rPr>
        <w:t>ibid., at </w:t>
      </w:r>
      <w:r>
        <w:rPr>
          <w:spacing w:val="-2"/>
          <w:sz w:val="20"/>
        </w:rPr>
        <w:t>[132].</w:t>
      </w:r>
    </w:p>
    <w:p>
      <w:pPr>
        <w:pStyle w:val="BodyText"/>
        <w:spacing w:before="5"/>
      </w:pPr>
    </w:p>
    <w:p>
      <w:pPr>
        <w:tabs>
          <w:tab w:pos="705" w:val="left" w:leader="none"/>
        </w:tabs>
        <w:spacing w:before="0"/>
        <w:ind w:left="165" w:right="0" w:firstLine="0"/>
        <w:jc w:val="left"/>
        <w:rPr>
          <w:sz w:val="20"/>
        </w:rPr>
      </w:pPr>
      <w:bookmarkStart w:name="_bookmark514" w:id="516"/>
      <w:bookmarkEnd w:id="516"/>
      <w:r>
        <w:rPr/>
      </w:r>
      <w:hyperlink w:history="true" w:anchor="_bookmark384">
        <w:r>
          <w:rPr>
            <w:color w:val="005DA1"/>
            <w:spacing w:val="-4"/>
            <w:position w:val="5"/>
            <w:sz w:val="14"/>
            <w:u w:val="single" w:color="005DA1"/>
          </w:rPr>
          <w:t>269</w:t>
        </w:r>
      </w:hyperlink>
      <w:r>
        <w:rPr>
          <w:spacing w:val="-4"/>
          <w:position w:val="5"/>
          <w:sz w:val="14"/>
        </w:rPr>
        <w:t>.</w:t>
      </w:r>
      <w:r>
        <w:rPr>
          <w:position w:val="5"/>
          <w:sz w:val="14"/>
        </w:rPr>
        <w:tab/>
      </w:r>
      <w:r>
        <w:rPr>
          <w:sz w:val="20"/>
        </w:rPr>
        <w:t>ibid., at </w:t>
      </w:r>
      <w:r>
        <w:rPr>
          <w:spacing w:val="-4"/>
          <w:sz w:val="20"/>
        </w:rPr>
        <w:t>[8].</w:t>
      </w:r>
    </w:p>
    <w:p>
      <w:pPr>
        <w:pStyle w:val="BodyText"/>
        <w:spacing w:before="9"/>
      </w:pPr>
    </w:p>
    <w:p>
      <w:pPr>
        <w:pStyle w:val="BodyText"/>
        <w:tabs>
          <w:tab w:pos="705" w:val="left" w:leader="none"/>
        </w:tabs>
        <w:spacing w:line="235" w:lineRule="auto"/>
        <w:ind w:left="705" w:right="168" w:hanging="541"/>
      </w:pPr>
      <w:bookmarkStart w:name="_bookmark515" w:id="517"/>
      <w:bookmarkEnd w:id="517"/>
      <w:r>
        <w:rPr/>
      </w:r>
      <w:hyperlink w:history="true" w:anchor="_bookmark385">
        <w:r>
          <w:rPr>
            <w:color w:val="005DA1"/>
            <w:spacing w:val="-4"/>
            <w:position w:val="5"/>
            <w:sz w:val="14"/>
            <w:u w:val="single" w:color="005DA1"/>
          </w:rPr>
          <w:t>270</w:t>
        </w:r>
      </w:hyperlink>
      <w:r>
        <w:rPr>
          <w:spacing w:val="-4"/>
          <w:position w:val="5"/>
          <w:sz w:val="14"/>
        </w:rPr>
        <w:t>.</w:t>
      </w:r>
      <w:r>
        <w:rPr>
          <w:position w:val="5"/>
          <w:sz w:val="14"/>
        </w:rPr>
        <w:tab/>
      </w:r>
      <w:r>
        <w:rPr/>
        <w:t>ibid., at [123] per Lord Millett (“compensation by way of damages”) and at [148] per Lord </w:t>
      </w:r>
      <w:r>
        <w:rPr/>
        <w:t>Scott (“a conventional sum to compensate the respondent”).</w:t>
      </w:r>
    </w:p>
    <w:p>
      <w:pPr>
        <w:pStyle w:val="BodyText"/>
        <w:spacing w:before="9"/>
      </w:pPr>
    </w:p>
    <w:p>
      <w:pPr>
        <w:pStyle w:val="BodyText"/>
        <w:tabs>
          <w:tab w:pos="705" w:val="left" w:leader="none"/>
        </w:tabs>
        <w:spacing w:line="235" w:lineRule="auto"/>
        <w:ind w:left="705" w:right="168" w:hanging="541"/>
      </w:pPr>
      <w:bookmarkStart w:name="_bookmark516" w:id="518"/>
      <w:bookmarkEnd w:id="518"/>
      <w:r>
        <w:rPr/>
      </w:r>
      <w:hyperlink w:history="true" w:anchor="_bookmark386">
        <w:r>
          <w:rPr>
            <w:color w:val="005DA1"/>
            <w:spacing w:val="-4"/>
            <w:position w:val="5"/>
            <w:sz w:val="14"/>
            <w:u w:val="single" w:color="005DA1"/>
          </w:rPr>
          <w:t>271</w:t>
        </w:r>
      </w:hyperlink>
      <w:r>
        <w:rPr>
          <w:spacing w:val="-4"/>
          <w:position w:val="5"/>
          <w:sz w:val="14"/>
        </w:rPr>
        <w:t>.</w:t>
      </w:r>
      <w:r>
        <w:rPr>
          <w:position w:val="5"/>
          <w:sz w:val="14"/>
        </w:rPr>
        <w:tab/>
      </w:r>
      <w:r>
        <w:rPr/>
        <w:t>ibid. at [8]; in Lord Bingham’s view, such an award “would not be, and would not be intended </w:t>
      </w:r>
      <w:r>
        <w:rPr/>
        <w:t>to be, compensatory”. Lord Nicholls at [17] seems to take the same view.</w:t>
      </w:r>
    </w:p>
    <w:p>
      <w:pPr>
        <w:pStyle w:val="BodyText"/>
        <w:spacing w:before="9"/>
      </w:pPr>
    </w:p>
    <w:p>
      <w:pPr>
        <w:pStyle w:val="BodyText"/>
        <w:spacing w:line="235" w:lineRule="auto" w:before="1"/>
        <w:ind w:left="705" w:right="167" w:hanging="541"/>
        <w:jc w:val="both"/>
      </w:pPr>
      <w:bookmarkStart w:name="_bookmark517" w:id="519"/>
      <w:bookmarkEnd w:id="519"/>
      <w:r>
        <w:rPr/>
      </w:r>
      <w:hyperlink w:history="true" w:anchor="_bookmark387">
        <w:r>
          <w:rPr>
            <w:color w:val="005DA1"/>
            <w:position w:val="5"/>
            <w:sz w:val="14"/>
            <w:u w:val="single" w:color="005DA1"/>
          </w:rPr>
          <w:t>272</w:t>
        </w:r>
      </w:hyperlink>
      <w:r>
        <w:rPr>
          <w:position w:val="5"/>
          <w:sz w:val="14"/>
        </w:rPr>
        <w:t>.</w:t>
      </w:r>
      <w:r>
        <w:rPr>
          <w:spacing w:val="40"/>
          <w:position w:val="5"/>
          <w:sz w:val="14"/>
        </w:rPr>
        <w:t>  </w:t>
      </w:r>
      <w:r>
        <w:rPr/>
        <w:t>A view perhaps supported by Lord Scott at [148] (“to compensate the respondent for loss of the benefit</w:t>
      </w:r>
      <w:r>
        <w:rPr>
          <w:spacing w:val="-1"/>
        </w:rPr>
        <w:t> </w:t>
      </w:r>
      <w:r>
        <w:rPr/>
        <w:t>that</w:t>
      </w:r>
      <w:r>
        <w:rPr>
          <w:spacing w:val="-1"/>
        </w:rPr>
        <w:t> </w:t>
      </w:r>
      <w:r>
        <w:rPr/>
        <w:t>she</w:t>
      </w:r>
      <w:r>
        <w:rPr>
          <w:spacing w:val="-1"/>
        </w:rPr>
        <w:t> </w:t>
      </w:r>
      <w:r>
        <w:rPr/>
        <w:t>was</w:t>
      </w:r>
      <w:r>
        <w:rPr>
          <w:spacing w:val="-1"/>
        </w:rPr>
        <w:t> </w:t>
      </w:r>
      <w:r>
        <w:rPr/>
        <w:t>entitled</w:t>
      </w:r>
      <w:r>
        <w:rPr>
          <w:spacing w:val="-1"/>
        </w:rPr>
        <w:t> </w:t>
      </w:r>
      <w:r>
        <w:rPr/>
        <w:t>to</w:t>
      </w:r>
      <w:r>
        <w:rPr>
          <w:spacing w:val="-1"/>
        </w:rPr>
        <w:t> </w:t>
      </w:r>
      <w:r>
        <w:rPr/>
        <w:t>expect”);</w:t>
      </w:r>
      <w:r>
        <w:rPr>
          <w:spacing w:val="-1"/>
        </w:rPr>
        <w:t> </w:t>
      </w:r>
      <w:r>
        <w:rPr/>
        <w:t>but</w:t>
      </w:r>
      <w:r>
        <w:rPr>
          <w:spacing w:val="-1"/>
        </w:rPr>
        <w:t> </w:t>
      </w:r>
      <w:r>
        <w:rPr/>
        <w:t>see</w:t>
      </w:r>
      <w:r>
        <w:rPr>
          <w:spacing w:val="-1"/>
        </w:rPr>
        <w:t> </w:t>
      </w:r>
      <w:r>
        <w:rPr/>
        <w:t>also</w:t>
      </w:r>
      <w:r>
        <w:rPr>
          <w:spacing w:val="-1"/>
        </w:rPr>
        <w:t> </w:t>
      </w:r>
      <w:r>
        <w:rPr/>
        <w:t>at</w:t>
      </w:r>
      <w:r>
        <w:rPr>
          <w:spacing w:val="-1"/>
        </w:rPr>
        <w:t> </w:t>
      </w:r>
      <w:r>
        <w:rPr/>
        <w:t>[131],</w:t>
      </w:r>
      <w:r>
        <w:rPr>
          <w:spacing w:val="-1"/>
        </w:rPr>
        <w:t> </w:t>
      </w:r>
      <w:r>
        <w:rPr/>
        <w:t>regarding</w:t>
      </w:r>
      <w:r>
        <w:rPr>
          <w:spacing w:val="-1"/>
        </w:rPr>
        <w:t> </w:t>
      </w:r>
      <w:r>
        <w:rPr/>
        <w:t>the</w:t>
      </w:r>
      <w:r>
        <w:rPr>
          <w:spacing w:val="-1"/>
        </w:rPr>
        <w:t> </w:t>
      </w:r>
      <w:r>
        <w:rPr/>
        <w:t>distinction</w:t>
      </w:r>
      <w:r>
        <w:rPr>
          <w:spacing w:val="-1"/>
        </w:rPr>
        <w:t> </w:t>
      </w:r>
      <w:r>
        <w:rPr/>
        <w:t>between contract and tort as irrelevant.</w:t>
      </w:r>
    </w:p>
    <w:p>
      <w:pPr>
        <w:pStyle w:val="BodyText"/>
        <w:spacing w:before="8"/>
      </w:pPr>
    </w:p>
    <w:p>
      <w:pPr>
        <w:pStyle w:val="BodyText"/>
        <w:tabs>
          <w:tab w:pos="705" w:val="left" w:leader="none"/>
        </w:tabs>
        <w:spacing w:line="235" w:lineRule="auto"/>
        <w:ind w:left="705" w:right="168" w:hanging="541"/>
      </w:pPr>
      <w:bookmarkStart w:name="_bookmark518" w:id="520"/>
      <w:bookmarkEnd w:id="520"/>
      <w:r>
        <w:rPr/>
      </w:r>
      <w:hyperlink w:history="true" w:anchor="_bookmark388">
        <w:r>
          <w:rPr>
            <w:color w:val="005DA1"/>
            <w:spacing w:val="-4"/>
            <w:position w:val="5"/>
            <w:sz w:val="14"/>
            <w:u w:val="single" w:color="005DA1"/>
          </w:rPr>
          <w:t>273</w:t>
        </w:r>
      </w:hyperlink>
      <w:r>
        <w:rPr>
          <w:spacing w:val="-4"/>
          <w:position w:val="5"/>
          <w:sz w:val="14"/>
        </w:rPr>
        <w:t>.</w:t>
      </w:r>
      <w:r>
        <w:rPr>
          <w:position w:val="5"/>
          <w:sz w:val="14"/>
        </w:rPr>
        <w:tab/>
      </w:r>
      <w:r>
        <w:rPr/>
        <w:t>A</w:t>
      </w:r>
      <w:r>
        <w:rPr>
          <w:spacing w:val="-1"/>
        </w:rPr>
        <w:t> </w:t>
      </w:r>
      <w:r>
        <w:rPr/>
        <w:t>view</w:t>
      </w:r>
      <w:r>
        <w:rPr>
          <w:spacing w:val="-1"/>
        </w:rPr>
        <w:t> </w:t>
      </w:r>
      <w:r>
        <w:rPr/>
        <w:t>perhaps</w:t>
      </w:r>
      <w:r>
        <w:rPr>
          <w:spacing w:val="-1"/>
        </w:rPr>
        <w:t> </w:t>
      </w:r>
      <w:r>
        <w:rPr/>
        <w:t>supported</w:t>
      </w:r>
      <w:r>
        <w:rPr>
          <w:spacing w:val="-1"/>
        </w:rPr>
        <w:t> </w:t>
      </w:r>
      <w:r>
        <w:rPr/>
        <w:t>by</w:t>
      </w:r>
      <w:r>
        <w:rPr>
          <w:spacing w:val="-1"/>
        </w:rPr>
        <w:t> </w:t>
      </w:r>
      <w:r>
        <w:rPr/>
        <w:t>Lord</w:t>
      </w:r>
      <w:r>
        <w:rPr>
          <w:spacing w:val="-1"/>
        </w:rPr>
        <w:t> </w:t>
      </w:r>
      <w:r>
        <w:rPr/>
        <w:t>Millett</w:t>
      </w:r>
      <w:r>
        <w:rPr>
          <w:spacing w:val="-1"/>
        </w:rPr>
        <w:t> </w:t>
      </w:r>
      <w:r>
        <w:rPr/>
        <w:t>at</w:t>
      </w:r>
      <w:r>
        <w:rPr>
          <w:spacing w:val="-1"/>
        </w:rPr>
        <w:t> </w:t>
      </w:r>
      <w:r>
        <w:rPr/>
        <w:t>[125],</w:t>
      </w:r>
      <w:r>
        <w:rPr>
          <w:spacing w:val="-1"/>
        </w:rPr>
        <w:t> </w:t>
      </w:r>
      <w:r>
        <w:rPr/>
        <w:t>describing</w:t>
      </w:r>
      <w:r>
        <w:rPr>
          <w:spacing w:val="-1"/>
        </w:rPr>
        <w:t> </w:t>
      </w:r>
      <w:r>
        <w:rPr/>
        <w:t>the</w:t>
      </w:r>
      <w:r>
        <w:rPr>
          <w:spacing w:val="-1"/>
        </w:rPr>
        <w:t> </w:t>
      </w:r>
      <w:r>
        <w:rPr/>
        <w:t>purpose</w:t>
      </w:r>
      <w:r>
        <w:rPr>
          <w:spacing w:val="-1"/>
        </w:rPr>
        <w:t> </w:t>
      </w:r>
      <w:r>
        <w:rPr/>
        <w:t>of</w:t>
      </w:r>
      <w:r>
        <w:rPr>
          <w:spacing w:val="-1"/>
        </w:rPr>
        <w:t> </w:t>
      </w:r>
      <w:r>
        <w:rPr/>
        <w:t>the</w:t>
      </w:r>
      <w:r>
        <w:rPr>
          <w:spacing w:val="-1"/>
        </w:rPr>
        <w:t> </w:t>
      </w:r>
      <w:r>
        <w:rPr/>
        <w:t>award</w:t>
      </w:r>
      <w:r>
        <w:rPr>
          <w:spacing w:val="-1"/>
        </w:rPr>
        <w:t> </w:t>
      </w:r>
      <w:r>
        <w:rPr/>
        <w:t>as</w:t>
      </w:r>
      <w:r>
        <w:rPr>
          <w:spacing w:val="-1"/>
        </w:rPr>
        <w:t> </w:t>
      </w:r>
      <w:r>
        <w:rPr/>
        <w:t>being “to compensate” for the … injury to the parents’ autonomy.”</w:t>
      </w:r>
    </w:p>
    <w:p>
      <w:pPr>
        <w:pStyle w:val="BodyText"/>
        <w:spacing w:before="193"/>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53504">
                <wp:simplePos x="0" y="0"/>
                <wp:positionH relativeFrom="page">
                  <wp:posOffset>4703826</wp:posOffset>
                </wp:positionH>
                <wp:positionV relativeFrom="paragraph">
                  <wp:posOffset>377436</wp:posOffset>
                </wp:positionV>
                <wp:extent cx="425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2976"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3. - </w:t>
      </w:r>
      <w:r>
        <w:rPr>
          <w:rFonts w:ascii="Arial"/>
          <w:b/>
          <w:spacing w:val="-2"/>
          <w:sz w:val="24"/>
        </w:rPr>
        <w:t>Scope</w:t>
      </w:r>
    </w:p>
    <w:p>
      <w:pPr>
        <w:pStyle w:val="ListParagraph"/>
        <w:numPr>
          <w:ilvl w:val="0"/>
          <w:numId w:val="2"/>
        </w:numPr>
        <w:tabs>
          <w:tab w:pos="2511" w:val="left" w:leader="none"/>
        </w:tabs>
        <w:spacing w:line="240" w:lineRule="auto" w:before="194" w:after="0"/>
        <w:ind w:left="2511" w:right="0" w:hanging="373"/>
        <w:jc w:val="left"/>
        <w:rPr>
          <w:b/>
          <w:sz w:val="24"/>
        </w:rPr>
      </w:pPr>
      <w:r>
        <w:rPr>
          <w:b/>
          <w:sz w:val="24"/>
        </w:rPr>
        <w:t>- Liability to Third Parties for </w:t>
      </w:r>
      <w:r>
        <w:rPr>
          <w:b/>
          <w:spacing w:val="-2"/>
          <w:sz w:val="24"/>
        </w:rPr>
        <w:t>Intimidation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Tort of </w:t>
      </w:r>
      <w:r>
        <w:rPr>
          <w:rFonts w:ascii="Arial"/>
          <w:b/>
          <w:spacing w:val="-2"/>
          <w:sz w:val="18"/>
        </w:rPr>
        <w:t>intimidation</w:t>
      </w:r>
    </w:p>
    <w:p>
      <w:pPr>
        <w:pStyle w:val="BodyText"/>
        <w:spacing w:before="41"/>
        <w:rPr>
          <w:rFonts w:ascii="Arial"/>
          <w:b/>
          <w:sz w:val="18"/>
        </w:rPr>
      </w:pPr>
    </w:p>
    <w:p>
      <w:pPr>
        <w:pStyle w:val="Heading2"/>
        <w:ind w:left="164"/>
      </w:pPr>
      <w:r>
        <w:rPr/>
        <w:t>18-</w:t>
      </w:r>
      <w:r>
        <w:rPr>
          <w:spacing w:val="-5"/>
        </w:rPr>
        <w:t>042</w:t>
      </w:r>
    </w:p>
    <w:p>
      <w:pPr>
        <w:pStyle w:val="BodyText"/>
        <w:spacing w:line="235" w:lineRule="auto" w:before="203"/>
        <w:ind w:left="164" w:right="167"/>
        <w:jc w:val="both"/>
      </w:pPr>
      <w:bookmarkStart w:name="_bookmark519" w:id="521"/>
      <w:bookmarkEnd w:id="521"/>
      <w:r>
        <w:rPr/>
      </w:r>
      <w:r>
        <w:rPr/>
        <w:t>The tort of intimidation is committed where A induces B to act to the detriment of C by threatening </w:t>
      </w:r>
      <w:r>
        <w:rPr/>
        <w:t>B with some unlawful course of conduct. In </w:t>
      </w:r>
      <w:r>
        <w:rPr>
          <w:rFonts w:ascii="Arial" w:hAnsi="Arial"/>
          <w:i/>
        </w:rPr>
        <w:t>Rookes v Barnard </w:t>
      </w:r>
      <w:r>
        <w:rPr>
          <w:color w:val="005DA1"/>
          <w:u w:val="single" w:color="005DA1"/>
          <w:vertAlign w:val="superscript"/>
        </w:rPr>
        <w:t>274</w:t>
      </w:r>
      <w:r>
        <w:rPr>
          <w:color w:val="005DA1"/>
          <w:vertAlign w:val="baseline"/>
        </w:rPr>
        <w:t> </w:t>
      </w:r>
      <w:r>
        <w:rPr>
          <w:vertAlign w:val="baseline"/>
        </w:rPr>
        <w:t>the House of Lords decided that a threat</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to</w:t>
      </w:r>
      <w:r>
        <w:rPr>
          <w:spacing w:val="-1"/>
          <w:vertAlign w:val="baseline"/>
        </w:rPr>
        <w:t> </w:t>
      </w:r>
      <w:r>
        <w:rPr>
          <w:vertAlign w:val="baseline"/>
        </w:rPr>
        <w:t>break</w:t>
      </w:r>
      <w:r>
        <w:rPr>
          <w:spacing w:val="-1"/>
          <w:vertAlign w:val="baseline"/>
        </w:rPr>
        <w:t> </w:t>
      </w:r>
      <w:r>
        <w:rPr>
          <w:vertAlign w:val="baseline"/>
        </w:rPr>
        <w:t>his</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B</w:t>
      </w:r>
      <w:r>
        <w:rPr>
          <w:spacing w:val="-1"/>
          <w:vertAlign w:val="baseline"/>
        </w:rPr>
        <w:t> </w:t>
      </w:r>
      <w:r>
        <w:rPr>
          <w:vertAlign w:val="baseline"/>
        </w:rPr>
        <w:t>is</w:t>
      </w:r>
      <w:r>
        <w:rPr>
          <w:spacing w:val="-1"/>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purpose</w:t>
      </w:r>
      <w:r>
        <w:rPr>
          <w:spacing w:val="-1"/>
          <w:vertAlign w:val="baseline"/>
        </w:rPr>
        <w:t> </w:t>
      </w:r>
      <w:r>
        <w:rPr>
          <w:vertAlign w:val="baseline"/>
        </w:rPr>
        <w:t>a</w:t>
      </w:r>
      <w:r>
        <w:rPr>
          <w:spacing w:val="-1"/>
          <w:vertAlign w:val="baseline"/>
        </w:rPr>
        <w:t> </w:t>
      </w:r>
      <w:r>
        <w:rPr>
          <w:vertAlign w:val="baseline"/>
        </w:rPr>
        <w:t>threat</w:t>
      </w:r>
      <w:r>
        <w:rPr>
          <w:spacing w:val="-1"/>
          <w:vertAlign w:val="baseline"/>
        </w:rPr>
        <w:t> </w:t>
      </w:r>
      <w:r>
        <w:rPr>
          <w:vertAlign w:val="baseline"/>
        </w:rPr>
        <w:t>to</w:t>
      </w:r>
      <w:r>
        <w:rPr>
          <w:spacing w:val="-1"/>
          <w:vertAlign w:val="baseline"/>
        </w:rPr>
        <w:t> </w:t>
      </w:r>
      <w:r>
        <w:rPr>
          <w:vertAlign w:val="baseline"/>
        </w:rPr>
        <w:t>do</w:t>
      </w:r>
      <w:r>
        <w:rPr>
          <w:spacing w:val="-1"/>
          <w:vertAlign w:val="baseline"/>
        </w:rPr>
        <w:t> </w:t>
      </w:r>
      <w:r>
        <w:rPr>
          <w:vertAlign w:val="baseline"/>
        </w:rPr>
        <w:t>an</w:t>
      </w:r>
      <w:r>
        <w:rPr>
          <w:spacing w:val="-1"/>
          <w:vertAlign w:val="baseline"/>
        </w:rPr>
        <w:t> </w:t>
      </w:r>
      <w:r>
        <w:rPr>
          <w:vertAlign w:val="baseline"/>
        </w:rPr>
        <w:t>unlawful</w:t>
      </w:r>
      <w:r>
        <w:rPr>
          <w:spacing w:val="-1"/>
          <w:vertAlign w:val="baseline"/>
        </w:rPr>
        <w:t> </w:t>
      </w:r>
      <w:r>
        <w:rPr>
          <w:vertAlign w:val="baseline"/>
        </w:rPr>
        <w:t>act.</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threat </w:t>
      </w:r>
      <w:bookmarkStart w:name="_bookmark520" w:id="522"/>
      <w:bookmarkEnd w:id="522"/>
      <w:r>
        <w:rPr>
          <w:vertAlign w:val="baseline"/>
        </w:rPr>
        <w:t>may</w:t>
      </w:r>
      <w:r>
        <w:rPr>
          <w:vertAlign w:val="baseline"/>
        </w:rPr>
        <w:t> therefore entitle C to sue A for intimidation; and in bringing such an action C will to some extent </w:t>
      </w:r>
      <w:bookmarkStart w:name="_bookmark521" w:id="523"/>
      <w:bookmarkEnd w:id="523"/>
      <w:r>
        <w:rPr>
          <w:vertAlign w:val="baseline"/>
        </w:rPr>
        <w:t>be</w:t>
      </w:r>
      <w:r>
        <w:rPr>
          <w:vertAlign w:val="baseline"/>
        </w:rPr>
        <w:t> relying on a contract to which he is not a party. But the suggestion </w:t>
      </w:r>
      <w:r>
        <w:rPr>
          <w:color w:val="005DA1"/>
          <w:u w:val="single" w:color="005DA1"/>
          <w:vertAlign w:val="superscript"/>
        </w:rPr>
        <w:t>275</w:t>
      </w:r>
      <w:r>
        <w:rPr>
          <w:color w:val="005DA1"/>
          <w:vertAlign w:val="baseline"/>
        </w:rPr>
        <w:t> </w:t>
      </w:r>
      <w:r>
        <w:rPr>
          <w:vertAlign w:val="baseline"/>
        </w:rPr>
        <w:t>that this position “outflanks” </w:t>
      </w:r>
      <w:bookmarkStart w:name="_bookmark522" w:id="524"/>
      <w:bookmarkEnd w:id="524"/>
      <w:r>
        <w:rPr>
          <w:vertAlign w:val="baseline"/>
        </w:rPr>
        <w:t>the</w:t>
      </w:r>
      <w:r>
        <w:rPr>
          <w:vertAlign w:val="baseline"/>
        </w:rPr>
        <w:t> common law doctrine of privity has been rejected by the House of Lords. </w:t>
      </w:r>
      <w:r>
        <w:rPr>
          <w:color w:val="005DA1"/>
          <w:u w:val="single" w:color="005DA1"/>
          <w:vertAlign w:val="superscript"/>
        </w:rPr>
        <w:t>276</w:t>
      </w:r>
      <w:r>
        <w:rPr>
          <w:color w:val="005DA1"/>
          <w:vertAlign w:val="baseline"/>
        </w:rPr>
        <w:t> </w:t>
      </w:r>
      <w:r>
        <w:rPr>
          <w:vertAlign w:val="baseline"/>
        </w:rPr>
        <w:t>In the case put, C does not sue to enforce A’s promise to B. “His cause of action is quite different.” </w:t>
      </w:r>
      <w:r>
        <w:rPr>
          <w:color w:val="005DA1"/>
          <w:u w:val="single" w:color="005DA1"/>
          <w:vertAlign w:val="superscript"/>
        </w:rPr>
        <w:t>277</w:t>
      </w:r>
      <w:r>
        <w:rPr>
          <w:color w:val="005DA1"/>
          <w:vertAlign w:val="baseline"/>
        </w:rPr>
        <w:t> </w:t>
      </w:r>
      <w:r>
        <w:rPr>
          <w:vertAlign w:val="baseline"/>
        </w:rPr>
        <w:t>C’s complaint is not that A has broken his contract with B, but that A has coerced B into acting to C’s detriment.</w:t>
      </w:r>
    </w:p>
    <w:p>
      <w:pPr>
        <w:pStyle w:val="BodyText"/>
        <w:spacing w:before="78"/>
      </w:pPr>
    </w:p>
    <w:p>
      <w:pPr>
        <w:pStyle w:val="Heading2"/>
      </w:pPr>
      <w:r>
        <w:rPr/>
        <w:t>18-</w:t>
      </w:r>
      <w:r>
        <w:rPr>
          <w:spacing w:val="-5"/>
        </w:rPr>
        <w:t>043</w:t>
      </w:r>
    </w:p>
    <w:p>
      <w:pPr>
        <w:pStyle w:val="BodyText"/>
        <w:spacing w:line="235" w:lineRule="auto" w:before="203"/>
        <w:ind w:left="164" w:right="167"/>
        <w:jc w:val="both"/>
      </w:pPr>
      <w:bookmarkStart w:name="_bookmark523" w:id="525"/>
      <w:bookmarkEnd w:id="525"/>
      <w:r>
        <w:rPr/>
      </w:r>
      <w:bookmarkStart w:name="_bookmark524" w:id="526"/>
      <w:bookmarkEnd w:id="526"/>
      <w:r>
        <w:rPr/>
      </w:r>
      <w:r>
        <w:rPr/>
        <w:t>In </w:t>
      </w:r>
      <w:r>
        <w:rPr>
          <w:rFonts w:ascii="Arial" w:hAnsi="Arial"/>
          <w:i/>
        </w:rPr>
        <w:t>OBG Ltd v Allen </w:t>
      </w:r>
      <w:r>
        <w:rPr>
          <w:color w:val="005DA1"/>
          <w:u w:val="single" w:color="005DA1"/>
          <w:vertAlign w:val="superscript"/>
        </w:rPr>
        <w:t>278</w:t>
      </w:r>
      <w:r>
        <w:rPr>
          <w:color w:val="005DA1"/>
          <w:vertAlign w:val="baseline"/>
        </w:rPr>
        <w:t> </w:t>
      </w:r>
      <w:r>
        <w:rPr>
          <w:vertAlign w:val="baseline"/>
        </w:rPr>
        <w:t>Lord Hoffmann classified intimidation as “only one variant of the broader tort usually called ‘causing loss by unlawful means”’. </w:t>
      </w:r>
      <w:r>
        <w:rPr>
          <w:color w:val="005DA1"/>
          <w:u w:val="single" w:color="005DA1"/>
          <w:vertAlign w:val="superscript"/>
        </w:rPr>
        <w:t>279</w:t>
      </w:r>
      <w:r>
        <w:rPr>
          <w:color w:val="005DA1"/>
          <w:vertAlign w:val="baseline"/>
        </w:rPr>
        <w:t> </w:t>
      </w:r>
      <w:r>
        <w:rPr>
          <w:vertAlign w:val="baseline"/>
        </w:rPr>
        <w:t>This classification calls for no further </w:t>
      </w:r>
      <w:r>
        <w:rPr>
          <w:vertAlign w:val="baseline"/>
        </w:rPr>
        <w:t>discussion here as it does not affect the relationship between the doctrine of privity of contract and liability in tort for intimidation.</w:t>
      </w:r>
    </w:p>
    <w:p>
      <w:pPr>
        <w:pStyle w:val="BodyText"/>
      </w:pPr>
    </w:p>
    <w:p>
      <w:pPr>
        <w:pStyle w:val="BodyText"/>
        <w:spacing w:before="38"/>
      </w:pPr>
      <w:r>
        <w:rPr/>
        <mc:AlternateContent>
          <mc:Choice Requires="wps">
            <w:drawing>
              <wp:anchor distT="0" distB="0" distL="0" distR="0" allowOverlap="1" layoutInCell="1" locked="0" behindDoc="1" simplePos="0" relativeHeight="487608832">
                <wp:simplePos x="0" y="0"/>
                <wp:positionH relativeFrom="page">
                  <wp:posOffset>914400</wp:posOffset>
                </wp:positionH>
                <wp:positionV relativeFrom="paragraph">
                  <wp:posOffset>185656</wp:posOffset>
                </wp:positionV>
                <wp:extent cx="572452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8617pt;width:450.75pt;height:.1pt;mso-position-horizontal-relative:page;mso-position-vertical-relative:paragraph;z-index:-15707648;mso-wrap-distance-left:0;mso-wrap-distance-right:0" id="docshape17"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54016">
                <wp:simplePos x="0" y="0"/>
                <wp:positionH relativeFrom="page">
                  <wp:posOffset>914400</wp:posOffset>
                </wp:positionH>
                <wp:positionV relativeFrom="paragraph">
                  <wp:posOffset>97116</wp:posOffset>
                </wp:positionV>
                <wp:extent cx="4953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2464"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9"/>
      </w:pPr>
    </w:p>
    <w:p>
      <w:pPr>
        <w:pStyle w:val="BodyText"/>
        <w:spacing w:line="235" w:lineRule="auto"/>
        <w:ind w:left="705" w:right="167" w:hanging="541"/>
        <w:jc w:val="both"/>
      </w:pPr>
      <w:bookmarkStart w:name="_bookmark525" w:id="527"/>
      <w:bookmarkEnd w:id="527"/>
      <w:r>
        <w:rPr/>
      </w:r>
      <w:hyperlink w:history="true" w:anchor="_bookmark519">
        <w:r>
          <w:rPr>
            <w:color w:val="005DA1"/>
            <w:position w:val="5"/>
            <w:sz w:val="14"/>
            <w:u w:val="single" w:color="005DA1"/>
          </w:rPr>
          <w:t>274</w:t>
        </w:r>
      </w:hyperlink>
      <w:r>
        <w:rPr>
          <w:position w:val="5"/>
          <w:sz w:val="14"/>
        </w:rPr>
        <w:t>.</w:t>
      </w:r>
      <w:r>
        <w:rPr>
          <w:spacing w:val="80"/>
          <w:position w:val="5"/>
          <w:sz w:val="14"/>
        </w:rPr>
        <w:t>  </w:t>
      </w:r>
      <w:r>
        <w:rPr>
          <w:rFonts w:ascii="Arial"/>
          <w:i/>
        </w:rPr>
        <w:t>[1964]</w:t>
      </w:r>
      <w:r>
        <w:rPr>
          <w:rFonts w:ascii="Arial"/>
          <w:i/>
          <w:spacing w:val="33"/>
        </w:rPr>
        <w:t> </w:t>
      </w:r>
      <w:r>
        <w:rPr>
          <w:rFonts w:ascii="Arial"/>
          <w:i/>
        </w:rPr>
        <w:t>A.C.</w:t>
      </w:r>
      <w:r>
        <w:rPr>
          <w:rFonts w:ascii="Arial"/>
          <w:i/>
          <w:spacing w:val="33"/>
        </w:rPr>
        <w:t> </w:t>
      </w:r>
      <w:r>
        <w:rPr>
          <w:rFonts w:ascii="Arial"/>
          <w:i/>
        </w:rPr>
        <w:t>1129</w:t>
      </w:r>
      <w:r>
        <w:rPr/>
        <w:t>.</w:t>
      </w:r>
      <w:r>
        <w:rPr>
          <w:spacing w:val="33"/>
        </w:rPr>
        <w:t> </w:t>
      </w:r>
      <w:r>
        <w:rPr/>
        <w:t>For</w:t>
      </w:r>
      <w:r>
        <w:rPr>
          <w:spacing w:val="33"/>
        </w:rPr>
        <w:t> </w:t>
      </w:r>
      <w:r>
        <w:rPr/>
        <w:t>restrictions</w:t>
      </w:r>
      <w:r>
        <w:rPr>
          <w:spacing w:val="33"/>
        </w:rPr>
        <w:t> </w:t>
      </w:r>
      <w:r>
        <w:rPr/>
        <w:t>on</w:t>
      </w:r>
      <w:r>
        <w:rPr>
          <w:spacing w:val="33"/>
        </w:rPr>
        <w:t> </w:t>
      </w:r>
      <w:r>
        <w:rPr/>
        <w:t>the</w:t>
      </w:r>
      <w:r>
        <w:rPr>
          <w:spacing w:val="33"/>
        </w:rPr>
        <w:t> </w:t>
      </w:r>
      <w:r>
        <w:rPr/>
        <w:t>scope</w:t>
      </w:r>
      <w:r>
        <w:rPr>
          <w:spacing w:val="33"/>
        </w:rPr>
        <w:t> </w:t>
      </w:r>
      <w:r>
        <w:rPr/>
        <w:t>of</w:t>
      </w:r>
      <w:r>
        <w:rPr>
          <w:spacing w:val="33"/>
        </w:rPr>
        <w:t> </w:t>
      </w:r>
      <w:r>
        <w:rPr/>
        <w:t>such</w:t>
      </w:r>
      <w:r>
        <w:rPr>
          <w:spacing w:val="33"/>
        </w:rPr>
        <w:t> </w:t>
      </w:r>
      <w:r>
        <w:rPr/>
        <w:t>liability</w:t>
      </w:r>
      <w:r>
        <w:rPr>
          <w:spacing w:val="33"/>
        </w:rPr>
        <w:t> </w:t>
      </w:r>
      <w:r>
        <w:rPr/>
        <w:t>where</w:t>
      </w:r>
      <w:r>
        <w:rPr>
          <w:spacing w:val="33"/>
        </w:rPr>
        <w:t> </w:t>
      </w:r>
      <w:r>
        <w:rPr/>
        <w:t>the</w:t>
      </w:r>
      <w:r>
        <w:rPr>
          <w:spacing w:val="33"/>
        </w:rPr>
        <w:t> </w:t>
      </w:r>
      <w:r>
        <w:rPr/>
        <w:t>unlawful</w:t>
      </w:r>
      <w:r>
        <w:rPr>
          <w:spacing w:val="33"/>
        </w:rPr>
        <w:t> </w:t>
      </w:r>
      <w:r>
        <w:rPr/>
        <w:t>conduct takes the form of acts done in the contemplation or furtherance of a trade dispute, see Trade Union and Labour Relation (Consolidation) Act 1992, s.219, as amended by Trade Union Reform and Employment Rights Act 1993, s.49(1) and Sch.8, para.72; for an extension of </w:t>
      </w:r>
      <w:r>
        <w:rPr/>
        <w:t>the principle in favour of an individual whose expected supply of goods or services is disrupted by unlawful acts inducing industrial action, see Trade Union and Labour Relations (Consolidation) Act 1992, s.235A, as inserted by Trade Union Reform and Employment Rights Act 1993, s.22.</w:t>
      </w:r>
    </w:p>
    <w:p>
      <w:pPr>
        <w:pStyle w:val="BodyText"/>
        <w:spacing w:before="7"/>
      </w:pPr>
    </w:p>
    <w:p>
      <w:pPr>
        <w:tabs>
          <w:tab w:pos="705" w:val="left" w:leader="none"/>
        </w:tabs>
        <w:spacing w:line="235" w:lineRule="auto" w:before="0"/>
        <w:ind w:left="705" w:right="168" w:hanging="541"/>
        <w:jc w:val="left"/>
        <w:rPr>
          <w:sz w:val="20"/>
        </w:rPr>
      </w:pPr>
      <w:bookmarkStart w:name="_bookmark526" w:id="528"/>
      <w:bookmarkEnd w:id="528"/>
      <w:r>
        <w:rPr/>
      </w:r>
      <w:hyperlink w:history="true" w:anchor="_bookmark520">
        <w:r>
          <w:rPr>
            <w:color w:val="005DA1"/>
            <w:spacing w:val="-4"/>
            <w:position w:val="5"/>
            <w:sz w:val="14"/>
            <w:u w:val="single" w:color="005DA1"/>
          </w:rPr>
          <w:t>275</w:t>
        </w:r>
      </w:hyperlink>
      <w:r>
        <w:rPr>
          <w:spacing w:val="-4"/>
          <w:position w:val="5"/>
          <w:sz w:val="14"/>
        </w:rPr>
        <w:t>.</w:t>
      </w:r>
      <w:r>
        <w:rPr>
          <w:position w:val="5"/>
          <w:sz w:val="14"/>
        </w:rPr>
        <w:tab/>
      </w:r>
      <w:r>
        <w:rPr>
          <w:sz w:val="20"/>
        </w:rPr>
        <w:t>Wedderburn (1961) 24 M.L.R. 572, 577; accepted by Pearson L.J. in </w:t>
      </w:r>
      <w:r>
        <w:rPr>
          <w:rFonts w:ascii="Arial"/>
          <w:i/>
          <w:sz w:val="20"/>
        </w:rPr>
        <w:t>Rookes v Barnard [1963]</w:t>
      </w:r>
      <w:r>
        <w:rPr>
          <w:rFonts w:ascii="Arial"/>
          <w:i/>
          <w:spacing w:val="40"/>
          <w:sz w:val="20"/>
        </w:rPr>
        <w:t> </w:t>
      </w:r>
      <w:r>
        <w:rPr>
          <w:rFonts w:ascii="Arial"/>
          <w:i/>
          <w:sz w:val="20"/>
        </w:rPr>
        <w:t>1 Q.B. 623, 695</w:t>
      </w:r>
      <w:r>
        <w:rPr>
          <w:sz w:val="20"/>
        </w:rPr>
        <w:t>, but later rejected: below at n.274.</w:t>
      </w:r>
    </w:p>
    <w:p>
      <w:pPr>
        <w:pStyle w:val="BodyText"/>
        <w:spacing w:before="6"/>
      </w:pPr>
    </w:p>
    <w:p>
      <w:pPr>
        <w:tabs>
          <w:tab w:pos="705" w:val="left" w:leader="none"/>
        </w:tabs>
        <w:spacing w:line="227" w:lineRule="exact" w:before="0"/>
        <w:ind w:left="165" w:right="0" w:firstLine="0"/>
        <w:jc w:val="left"/>
        <w:rPr>
          <w:sz w:val="20"/>
        </w:rPr>
      </w:pPr>
      <w:bookmarkStart w:name="_bookmark527" w:id="529"/>
      <w:bookmarkEnd w:id="529"/>
      <w:r>
        <w:rPr/>
      </w:r>
      <w:hyperlink w:history="true" w:anchor="_bookmark521">
        <w:r>
          <w:rPr>
            <w:color w:val="005DA1"/>
            <w:spacing w:val="-4"/>
            <w:position w:val="5"/>
            <w:sz w:val="14"/>
            <w:u w:val="single" w:color="005DA1"/>
          </w:rPr>
          <w:t>276</w:t>
        </w:r>
      </w:hyperlink>
      <w:r>
        <w:rPr>
          <w:spacing w:val="-4"/>
          <w:position w:val="5"/>
          <w:sz w:val="14"/>
        </w:rPr>
        <w:t>.</w:t>
      </w:r>
      <w:r>
        <w:rPr>
          <w:position w:val="5"/>
          <w:sz w:val="14"/>
        </w:rPr>
        <w:tab/>
      </w:r>
      <w:r>
        <w:rPr>
          <w:rFonts w:ascii="Arial"/>
          <w:i/>
          <w:sz w:val="20"/>
        </w:rPr>
        <w:t>Rookes</w:t>
      </w:r>
      <w:r>
        <w:rPr>
          <w:rFonts w:ascii="Arial"/>
          <w:i/>
          <w:spacing w:val="44"/>
          <w:sz w:val="20"/>
        </w:rPr>
        <w:t> </w:t>
      </w:r>
      <w:r>
        <w:rPr>
          <w:rFonts w:ascii="Arial"/>
          <w:i/>
          <w:sz w:val="20"/>
        </w:rPr>
        <w:t>v</w:t>
      </w:r>
      <w:r>
        <w:rPr>
          <w:rFonts w:ascii="Arial"/>
          <w:i/>
          <w:spacing w:val="45"/>
          <w:sz w:val="20"/>
        </w:rPr>
        <w:t> </w:t>
      </w:r>
      <w:r>
        <w:rPr>
          <w:rFonts w:ascii="Arial"/>
          <w:i/>
          <w:sz w:val="20"/>
        </w:rPr>
        <w:t>Barnard</w:t>
      </w:r>
      <w:r>
        <w:rPr>
          <w:rFonts w:ascii="Arial"/>
          <w:i/>
          <w:spacing w:val="45"/>
          <w:sz w:val="20"/>
        </w:rPr>
        <w:t> </w:t>
      </w:r>
      <w:r>
        <w:rPr>
          <w:rFonts w:ascii="Arial"/>
          <w:i/>
          <w:sz w:val="20"/>
        </w:rPr>
        <w:t>[1964]</w:t>
      </w:r>
      <w:r>
        <w:rPr>
          <w:rFonts w:ascii="Arial"/>
          <w:i/>
          <w:spacing w:val="45"/>
          <w:sz w:val="20"/>
        </w:rPr>
        <w:t> </w:t>
      </w:r>
      <w:r>
        <w:rPr>
          <w:rFonts w:ascii="Arial"/>
          <w:i/>
          <w:sz w:val="20"/>
        </w:rPr>
        <w:t>A.C.</w:t>
      </w:r>
      <w:r>
        <w:rPr>
          <w:rFonts w:ascii="Arial"/>
          <w:i/>
          <w:spacing w:val="45"/>
          <w:sz w:val="20"/>
        </w:rPr>
        <w:t> </w:t>
      </w:r>
      <w:r>
        <w:rPr>
          <w:rFonts w:ascii="Arial"/>
          <w:i/>
          <w:sz w:val="20"/>
        </w:rPr>
        <w:t>1129,</w:t>
      </w:r>
      <w:r>
        <w:rPr>
          <w:rFonts w:ascii="Arial"/>
          <w:i/>
          <w:spacing w:val="45"/>
          <w:sz w:val="20"/>
        </w:rPr>
        <w:t> </w:t>
      </w:r>
      <w:r>
        <w:rPr>
          <w:rFonts w:ascii="Arial"/>
          <w:i/>
          <w:sz w:val="20"/>
        </w:rPr>
        <w:t>1168,</w:t>
      </w:r>
      <w:r>
        <w:rPr>
          <w:rFonts w:ascii="Arial"/>
          <w:i/>
          <w:spacing w:val="45"/>
          <w:sz w:val="20"/>
        </w:rPr>
        <w:t> </w:t>
      </w:r>
      <w:r>
        <w:rPr>
          <w:rFonts w:ascii="Arial"/>
          <w:i/>
          <w:sz w:val="20"/>
        </w:rPr>
        <w:t>1200,</w:t>
      </w:r>
      <w:r>
        <w:rPr>
          <w:rFonts w:ascii="Arial"/>
          <w:i/>
          <w:spacing w:val="45"/>
          <w:sz w:val="20"/>
        </w:rPr>
        <w:t> </w:t>
      </w:r>
      <w:r>
        <w:rPr>
          <w:rFonts w:ascii="Arial"/>
          <w:i/>
          <w:sz w:val="20"/>
        </w:rPr>
        <w:t>1208,</w:t>
      </w:r>
      <w:r>
        <w:rPr>
          <w:rFonts w:ascii="Arial"/>
          <w:i/>
          <w:spacing w:val="45"/>
          <w:sz w:val="20"/>
        </w:rPr>
        <w:t> </w:t>
      </w:r>
      <w:r>
        <w:rPr>
          <w:rFonts w:ascii="Arial"/>
          <w:i/>
          <w:sz w:val="20"/>
        </w:rPr>
        <w:t>1235</w:t>
      </w:r>
      <w:r>
        <w:rPr>
          <w:sz w:val="20"/>
        </w:rPr>
        <w:t>;</w:t>
      </w:r>
      <w:r>
        <w:rPr>
          <w:spacing w:val="45"/>
          <w:sz w:val="20"/>
        </w:rPr>
        <w:t> </w:t>
      </w:r>
      <w:r>
        <w:rPr>
          <w:sz w:val="20"/>
        </w:rPr>
        <w:t>Hamson</w:t>
      </w:r>
      <w:r>
        <w:rPr>
          <w:spacing w:val="45"/>
          <w:sz w:val="20"/>
        </w:rPr>
        <w:t> </w:t>
      </w:r>
      <w:r>
        <w:rPr>
          <w:sz w:val="20"/>
        </w:rPr>
        <w:t>[1961]</w:t>
      </w:r>
      <w:r>
        <w:rPr>
          <w:spacing w:val="45"/>
          <w:sz w:val="20"/>
        </w:rPr>
        <w:t> </w:t>
      </w:r>
      <w:r>
        <w:rPr>
          <w:sz w:val="20"/>
        </w:rPr>
        <w:t>C.L.J.</w:t>
      </w:r>
      <w:r>
        <w:rPr>
          <w:spacing w:val="45"/>
          <w:sz w:val="20"/>
        </w:rPr>
        <w:t> </w:t>
      </w:r>
      <w:r>
        <w:rPr>
          <w:spacing w:val="-4"/>
          <w:sz w:val="20"/>
        </w:rPr>
        <w:t>189;</w:t>
      </w:r>
    </w:p>
    <w:p>
      <w:pPr>
        <w:pStyle w:val="BodyText"/>
        <w:spacing w:line="227" w:lineRule="exact"/>
        <w:ind w:left="705"/>
      </w:pPr>
      <w:r>
        <w:rPr/>
        <w:t>[1964] C.L.J. 159; Hoffmann (1965) 81 L.Q.R. 116, </w:t>
      </w:r>
      <w:r>
        <w:rPr>
          <w:spacing w:val="-2"/>
        </w:rPr>
        <w:t>124–128.</w:t>
      </w:r>
    </w:p>
    <w:p>
      <w:pPr>
        <w:pStyle w:val="BodyText"/>
        <w:spacing w:before="5"/>
      </w:pPr>
    </w:p>
    <w:p>
      <w:pPr>
        <w:tabs>
          <w:tab w:pos="705" w:val="left" w:leader="none"/>
        </w:tabs>
        <w:spacing w:before="0"/>
        <w:ind w:left="165" w:right="0" w:firstLine="0"/>
        <w:jc w:val="left"/>
        <w:rPr>
          <w:sz w:val="20"/>
        </w:rPr>
      </w:pPr>
      <w:bookmarkStart w:name="_bookmark528" w:id="530"/>
      <w:bookmarkEnd w:id="530"/>
      <w:r>
        <w:rPr/>
      </w:r>
      <w:hyperlink w:history="true" w:anchor="_bookmark522">
        <w:r>
          <w:rPr>
            <w:color w:val="005DA1"/>
            <w:spacing w:val="-4"/>
            <w:position w:val="5"/>
            <w:sz w:val="14"/>
            <w:u w:val="single" w:color="005DA1"/>
          </w:rPr>
          <w:t>277</w:t>
        </w:r>
      </w:hyperlink>
      <w:r>
        <w:rPr>
          <w:spacing w:val="-4"/>
          <w:position w:val="5"/>
          <w:sz w:val="14"/>
        </w:rPr>
        <w:t>.</w:t>
      </w:r>
      <w:r>
        <w:rPr>
          <w:position w:val="5"/>
          <w:sz w:val="14"/>
        </w:rPr>
        <w:tab/>
      </w:r>
      <w:r>
        <w:rPr>
          <w:rFonts w:ascii="Arial"/>
          <w:i/>
          <w:sz w:val="20"/>
        </w:rPr>
        <w:t>Rookes</w:t>
      </w:r>
      <w:r>
        <w:rPr>
          <w:rFonts w:ascii="Arial"/>
          <w:i/>
          <w:spacing w:val="-1"/>
          <w:sz w:val="20"/>
        </w:rPr>
        <w:t> </w:t>
      </w:r>
      <w:r>
        <w:rPr>
          <w:rFonts w:ascii="Arial"/>
          <w:i/>
          <w:sz w:val="20"/>
        </w:rPr>
        <w:t>v Barnard [1964] A.C. 1129, 1208</w:t>
      </w:r>
      <w:r>
        <w:rPr>
          <w:sz w:val="20"/>
        </w:rPr>
        <w:t>; if C were suing to enforce the contract, the </w:t>
      </w:r>
      <w:r>
        <w:rPr>
          <w:spacing w:val="-2"/>
          <w:sz w:val="20"/>
        </w:rPr>
        <w:t>damages</w:t>
      </w:r>
    </w:p>
    <w:p>
      <w:pPr>
        <w:spacing w:after="0"/>
        <w:jc w:val="left"/>
        <w:rPr>
          <w:sz w:val="20"/>
        </w:rPr>
        <w:sectPr>
          <w:headerReference w:type="default" r:id="rId13"/>
          <w:pgSz w:w="11900" w:h="16840"/>
          <w:pgMar w:header="971" w:footer="0" w:top="1160" w:bottom="280" w:left="1275" w:right="1275"/>
          <w:pgNumType w:start="1"/>
        </w:sectPr>
      </w:pPr>
    </w:p>
    <w:p>
      <w:pPr>
        <w:pStyle w:val="BodyText"/>
        <w:spacing w:before="21"/>
      </w:pPr>
    </w:p>
    <w:p>
      <w:pPr>
        <w:pStyle w:val="BodyText"/>
        <w:ind w:left="705"/>
      </w:pPr>
      <w:r>
        <w:rPr/>
        <w:t>might be quite </w:t>
      </w:r>
      <w:r>
        <w:rPr>
          <w:spacing w:val="-2"/>
        </w:rPr>
        <w:t>different.</w:t>
      </w:r>
    </w:p>
    <w:p>
      <w:pPr>
        <w:pStyle w:val="BodyText"/>
        <w:spacing w:before="5"/>
      </w:pPr>
    </w:p>
    <w:p>
      <w:pPr>
        <w:tabs>
          <w:tab w:pos="705" w:val="left" w:leader="none"/>
        </w:tabs>
        <w:spacing w:before="0"/>
        <w:ind w:left="165" w:right="0" w:firstLine="0"/>
        <w:jc w:val="left"/>
        <w:rPr>
          <w:sz w:val="20"/>
        </w:rPr>
      </w:pPr>
      <w:bookmarkStart w:name="_bookmark529" w:id="531"/>
      <w:bookmarkEnd w:id="531"/>
      <w:r>
        <w:rPr/>
      </w:r>
      <w:hyperlink w:history="true" w:anchor="_bookmark523">
        <w:r>
          <w:rPr>
            <w:color w:val="005DA1"/>
            <w:spacing w:val="-4"/>
            <w:position w:val="5"/>
            <w:sz w:val="14"/>
            <w:u w:val="single" w:color="005DA1"/>
          </w:rPr>
          <w:t>278</w:t>
        </w:r>
      </w:hyperlink>
      <w:r>
        <w:rPr>
          <w:spacing w:val="-4"/>
          <w:position w:val="5"/>
          <w:sz w:val="14"/>
        </w:rPr>
        <w:t>.</w:t>
      </w:r>
      <w:r>
        <w:rPr>
          <w:position w:val="5"/>
          <w:sz w:val="14"/>
        </w:rPr>
        <w:tab/>
      </w:r>
      <w:r>
        <w:rPr>
          <w:rFonts w:ascii="Arial"/>
          <w:i/>
          <w:sz w:val="20"/>
        </w:rPr>
        <w:t>[2007] UKHL 21, [2008] 1 A.C. </w:t>
      </w:r>
      <w:r>
        <w:rPr>
          <w:rFonts w:ascii="Arial"/>
          <w:i/>
          <w:spacing w:val="-5"/>
          <w:sz w:val="20"/>
        </w:rPr>
        <w:t>1</w:t>
      </w:r>
      <w:r>
        <w:rPr>
          <w:spacing w:val="-5"/>
          <w:sz w:val="20"/>
        </w:rPr>
        <w:t>.</w:t>
      </w:r>
    </w:p>
    <w:p>
      <w:pPr>
        <w:pStyle w:val="BodyText"/>
        <w:spacing w:before="5"/>
      </w:pPr>
    </w:p>
    <w:p>
      <w:pPr>
        <w:pStyle w:val="BodyText"/>
        <w:tabs>
          <w:tab w:pos="705" w:val="left" w:leader="none"/>
        </w:tabs>
        <w:ind w:left="165"/>
      </w:pPr>
      <w:bookmarkStart w:name="_bookmark530" w:id="532"/>
      <w:bookmarkEnd w:id="532"/>
      <w:r>
        <w:rPr/>
      </w:r>
      <w:hyperlink w:history="true" w:anchor="_bookmark524">
        <w:r>
          <w:rPr>
            <w:color w:val="005DA1"/>
            <w:spacing w:val="-4"/>
            <w:position w:val="5"/>
            <w:sz w:val="14"/>
            <w:u w:val="single" w:color="005DA1"/>
          </w:rPr>
          <w:t>279</w:t>
        </w:r>
      </w:hyperlink>
      <w:r>
        <w:rPr>
          <w:spacing w:val="-4"/>
          <w:position w:val="5"/>
          <w:sz w:val="14"/>
        </w:rPr>
        <w:t>.</w:t>
      </w:r>
      <w:r>
        <w:rPr>
          <w:position w:val="5"/>
          <w:sz w:val="14"/>
        </w:rPr>
        <w:tab/>
      </w:r>
      <w:r>
        <w:rPr/>
        <w:t>ibid., at [7]; “broader” because causing loss by unlawful means “does not require threats”: </w:t>
      </w:r>
      <w:r>
        <w:rPr>
          <w:spacing w:val="-2"/>
        </w:rPr>
        <w:t>ibid.</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54528">
                <wp:simplePos x="0" y="0"/>
                <wp:positionH relativeFrom="page">
                  <wp:posOffset>4703826</wp:posOffset>
                </wp:positionH>
                <wp:positionV relativeFrom="paragraph">
                  <wp:posOffset>377436</wp:posOffset>
                </wp:positionV>
                <wp:extent cx="4254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1952"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3. - </w:t>
      </w:r>
      <w:r>
        <w:rPr>
          <w:rFonts w:ascii="Arial"/>
          <w:b/>
          <w:spacing w:val="-2"/>
          <w:sz w:val="24"/>
        </w:rPr>
        <w:t>Scope</w:t>
      </w:r>
    </w:p>
    <w:p>
      <w:pPr>
        <w:pStyle w:val="ListParagraph"/>
        <w:numPr>
          <w:ilvl w:val="0"/>
          <w:numId w:val="2"/>
        </w:numPr>
        <w:tabs>
          <w:tab w:pos="2538" w:val="left" w:leader="none"/>
        </w:tabs>
        <w:spacing w:line="240" w:lineRule="auto" w:before="194" w:after="0"/>
        <w:ind w:left="2538" w:right="0" w:hanging="360"/>
        <w:jc w:val="left"/>
        <w:rPr>
          <w:b/>
          <w:sz w:val="24"/>
        </w:rPr>
      </w:pPr>
      <w:r>
        <w:rPr>
          <w:b/>
          <w:sz w:val="24"/>
        </w:rPr>
        <w:t>- Liability to Third Parties in </w:t>
      </w:r>
      <w:r>
        <w:rPr>
          <w:b/>
          <w:spacing w:val="-2"/>
          <w:sz w:val="24"/>
        </w:rPr>
        <w:t>Restitution?</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Restitution in respect of promisor’s unjust </w:t>
      </w:r>
      <w:r>
        <w:rPr>
          <w:rFonts w:ascii="Arial" w:hAnsi="Arial"/>
          <w:b/>
          <w:spacing w:val="-2"/>
          <w:sz w:val="18"/>
        </w:rPr>
        <w:t>enrichment</w:t>
      </w:r>
    </w:p>
    <w:p>
      <w:pPr>
        <w:pStyle w:val="BodyText"/>
        <w:spacing w:before="41"/>
        <w:rPr>
          <w:rFonts w:ascii="Arial"/>
          <w:b/>
          <w:sz w:val="18"/>
        </w:rPr>
      </w:pPr>
    </w:p>
    <w:p>
      <w:pPr>
        <w:pStyle w:val="Heading2"/>
        <w:ind w:left="164"/>
      </w:pPr>
      <w:r>
        <w:rPr/>
        <w:t>18-</w:t>
      </w:r>
      <w:r>
        <w:rPr>
          <w:spacing w:val="-5"/>
        </w:rPr>
        <w:t>044</w:t>
      </w:r>
    </w:p>
    <w:p>
      <w:pPr>
        <w:pStyle w:val="BodyText"/>
        <w:spacing w:line="235" w:lineRule="auto" w:before="203"/>
        <w:ind w:left="164" w:right="167"/>
        <w:jc w:val="both"/>
      </w:pPr>
      <w:r>
        <w:rPr/>
        <w:t>It has been suggested in Australia that the third party may have a claim in restitution where the promisor has received payment (or some other performance) from the promisee and has then </w:t>
      </w:r>
      <w:r>
        <w:rPr/>
        <w:t>failed</w:t>
      </w:r>
      <w:r>
        <w:rPr>
          <w:spacing w:val="40"/>
        </w:rPr>
        <w:t> </w:t>
      </w:r>
      <w:bookmarkStart w:name="_bookmark531" w:id="533"/>
      <w:bookmarkEnd w:id="533"/>
      <w:r>
        <w:rPr/>
        <w:t>or</w:t>
      </w:r>
      <w:r>
        <w:rPr/>
        <w:t> refused to perform the promise in favour of the third party; and that the measure of recovery on such</w:t>
      </w:r>
      <w:r>
        <w:rPr>
          <w:spacing w:val="-3"/>
        </w:rPr>
        <w:t> </w:t>
      </w:r>
      <w:r>
        <w:rPr/>
        <w:t>a</w:t>
      </w:r>
      <w:r>
        <w:rPr>
          <w:spacing w:val="-3"/>
        </w:rPr>
        <w:t> </w:t>
      </w:r>
      <w:r>
        <w:rPr/>
        <w:t>claim</w:t>
      </w:r>
      <w:r>
        <w:rPr>
          <w:spacing w:val="-3"/>
        </w:rPr>
        <w:t> </w:t>
      </w:r>
      <w:r>
        <w:rPr/>
        <w:t>is</w:t>
      </w:r>
      <w:r>
        <w:rPr>
          <w:spacing w:val="-3"/>
        </w:rPr>
        <w:t> </w:t>
      </w:r>
      <w:r>
        <w:rPr/>
        <w:t>the</w:t>
      </w:r>
      <w:r>
        <w:rPr>
          <w:spacing w:val="-3"/>
        </w:rPr>
        <w:t> </w:t>
      </w:r>
      <w:r>
        <w:rPr/>
        <w:t>amount</w:t>
      </w:r>
      <w:r>
        <w:rPr>
          <w:spacing w:val="-3"/>
        </w:rPr>
        <w:t> </w:t>
      </w:r>
      <w:r>
        <w:rPr/>
        <w:t>promised.</w:t>
      </w:r>
      <w:r>
        <w:rPr>
          <w:spacing w:val="-3"/>
        </w:rPr>
        <w:t> </w:t>
      </w:r>
      <w:r>
        <w:rPr>
          <w:color w:val="005DA1"/>
          <w:u w:val="single" w:color="005DA1"/>
          <w:vertAlign w:val="superscript"/>
        </w:rPr>
        <w:t>280</w:t>
      </w:r>
      <w:r>
        <w:rPr>
          <w:color w:val="005DA1"/>
          <w:spacing w:val="-3"/>
          <w:vertAlign w:val="baseline"/>
        </w:rPr>
        <w:t> </w:t>
      </w:r>
      <w:r>
        <w:rPr>
          <w:vertAlign w:val="baseline"/>
        </w:rPr>
        <w:t>The</w:t>
      </w:r>
      <w:r>
        <w:rPr>
          <w:spacing w:val="-3"/>
          <w:vertAlign w:val="baseline"/>
        </w:rPr>
        <w:t> </w:t>
      </w:r>
      <w:r>
        <w:rPr>
          <w:vertAlign w:val="baseline"/>
        </w:rPr>
        <w:t>suggestion</w:t>
      </w:r>
      <w:r>
        <w:rPr>
          <w:spacing w:val="-3"/>
          <w:vertAlign w:val="baseline"/>
        </w:rPr>
        <w:t> </w:t>
      </w:r>
      <w:r>
        <w:rPr>
          <w:vertAlign w:val="baseline"/>
        </w:rPr>
        <w:t>was</w:t>
      </w:r>
      <w:r>
        <w:rPr>
          <w:spacing w:val="-3"/>
          <w:vertAlign w:val="baseline"/>
        </w:rPr>
        <w:t> </w:t>
      </w:r>
      <w:r>
        <w:rPr>
          <w:vertAlign w:val="baseline"/>
        </w:rPr>
        <w:t>made</w:t>
      </w:r>
      <w:r>
        <w:rPr>
          <w:spacing w:val="-3"/>
          <w:vertAlign w:val="baseline"/>
        </w:rPr>
        <w:t> </w:t>
      </w:r>
      <w:r>
        <w:rPr>
          <w:vertAlign w:val="baseline"/>
        </w:rPr>
        <w:t>where</w:t>
      </w:r>
      <w:r>
        <w:rPr>
          <w:spacing w:val="-3"/>
          <w:vertAlign w:val="baseline"/>
        </w:rPr>
        <w:t> </w:t>
      </w:r>
      <w:r>
        <w:rPr>
          <w:vertAlign w:val="baseline"/>
        </w:rPr>
        <w:t>premiums</w:t>
      </w:r>
      <w:r>
        <w:rPr>
          <w:spacing w:val="-3"/>
          <w:vertAlign w:val="baseline"/>
        </w:rPr>
        <w:t> </w:t>
      </w:r>
      <w:r>
        <w:rPr>
          <w:vertAlign w:val="baseline"/>
        </w:rPr>
        <w:t>under</w:t>
      </w:r>
      <w:r>
        <w:rPr>
          <w:spacing w:val="-3"/>
          <w:vertAlign w:val="baseline"/>
        </w:rPr>
        <w:t> </w:t>
      </w:r>
      <w:r>
        <w:rPr>
          <w:vertAlign w:val="baseline"/>
        </w:rPr>
        <w:t>a</w:t>
      </w:r>
      <w:r>
        <w:rPr>
          <w:spacing w:val="-3"/>
          <w:vertAlign w:val="baseline"/>
        </w:rPr>
        <w:t> </w:t>
      </w:r>
      <w:r>
        <w:rPr>
          <w:vertAlign w:val="baseline"/>
        </w:rPr>
        <w:t>policy</w:t>
      </w:r>
      <w:r>
        <w:rPr>
          <w:spacing w:val="-3"/>
          <w:vertAlign w:val="baseline"/>
        </w:rPr>
        <w:t> </w:t>
      </w:r>
      <w:r>
        <w:rPr>
          <w:vertAlign w:val="baseline"/>
        </w:rPr>
        <w:t>of liability insurance for the benefit of a third party had been paid by the promisee to the promisor (the insurance company) which had then refused to pay the third party. The promisor’s liability to the third party in restitution was said to be based on his unjust enrichment, and to arise in spite of the fact that there was no correlative impoverishment of the third party. But while it is true that liability in restitution is not based on loss to the claimant, it is (in the case put) based on gain to the defendant and it is</w:t>
      </w:r>
      <w:r>
        <w:rPr>
          <w:spacing w:val="40"/>
          <w:vertAlign w:val="baseline"/>
        </w:rPr>
        <w:t> </w:t>
      </w:r>
      <w:r>
        <w:rPr>
          <w:vertAlign w:val="baseline"/>
        </w:rPr>
        <w:t>hard to see what justification there can be for wholly disregarding this </w:t>
      </w:r>
      <w:r>
        <w:rPr>
          <w:rFonts w:ascii="Arial" w:hAnsi="Arial"/>
          <w:i/>
          <w:vertAlign w:val="baseline"/>
        </w:rPr>
        <w:t>basis </w:t>
      </w:r>
      <w:r>
        <w:rPr>
          <w:vertAlign w:val="baseline"/>
        </w:rPr>
        <w:t>of restitutionary liability in </w:t>
      </w:r>
      <w:bookmarkStart w:name="_bookmark532" w:id="534"/>
      <w:bookmarkEnd w:id="534"/>
      <w:r>
        <w:rPr>
          <w:vertAlign w:val="baseline"/>
        </w:rPr>
        <w:t>determining</w:t>
      </w:r>
      <w:r>
        <w:rPr>
          <w:vertAlign w:val="baseline"/>
        </w:rPr>
        <w:t> its </w:t>
      </w:r>
      <w:r>
        <w:rPr>
          <w:rFonts w:ascii="Arial" w:hAnsi="Arial"/>
          <w:i/>
          <w:vertAlign w:val="baseline"/>
        </w:rPr>
        <w:t>measure</w:t>
      </w:r>
      <w:r>
        <w:rPr>
          <w:vertAlign w:val="baseline"/>
        </w:rPr>
        <w:t>. And the argument that, to hold the promisor liable to the third party for the amount promised was “not an abrogation of the doctrine of privity of contract,” </w:t>
      </w:r>
      <w:r>
        <w:rPr>
          <w:color w:val="005DA1"/>
          <w:u w:val="single" w:color="005DA1"/>
          <w:vertAlign w:val="superscript"/>
        </w:rPr>
        <w:t>281</w:t>
      </w:r>
      <w:r>
        <w:rPr>
          <w:color w:val="005DA1"/>
          <w:vertAlign w:val="baseline"/>
        </w:rPr>
        <w:t> </w:t>
      </w:r>
      <w:r>
        <w:rPr>
          <w:vertAlign w:val="baseline"/>
        </w:rPr>
        <w:t>merely because the liability was said to arise in restitution, is, it is submitted, inconsistent with the practical result of</w:t>
      </w:r>
      <w:r>
        <w:rPr>
          <w:spacing w:val="40"/>
          <w:vertAlign w:val="baseline"/>
        </w:rPr>
        <w:t> </w:t>
      </w:r>
      <w:bookmarkStart w:name="_bookmark533" w:id="535"/>
      <w:bookmarkEnd w:id="535"/>
      <w:r>
        <w:rPr>
          <w:vertAlign w:val="baseline"/>
        </w:rPr>
        <w:t>making</w:t>
      </w:r>
      <w:r>
        <w:rPr>
          <w:vertAlign w:val="baseline"/>
        </w:rPr>
        <w:t> the promisor so liable. We have seen that, in England, the promisor is not liable in tort where the practical effect of imposing such liability would be to abrogate the common law doctrine of privity </w:t>
      </w:r>
      <w:r>
        <w:rPr>
          <w:color w:val="005DA1"/>
          <w:u w:val="single" w:color="005DA1"/>
          <w:vertAlign w:val="superscript"/>
        </w:rPr>
        <w:t>282</w:t>
      </w:r>
      <w:r>
        <w:rPr>
          <w:vertAlign w:val="baseline"/>
        </w:rPr>
        <w:t>; and it is hard to see why the position should be different merely because the alleged basis of liability is called restitution rather than tort. The suggestion that the promisor is liable in restitution to </w:t>
      </w:r>
      <w:bookmarkStart w:name="_bookmark534" w:id="536"/>
      <w:bookmarkEnd w:id="536"/>
      <w:r>
        <w:rPr>
          <w:vertAlign w:val="baseline"/>
        </w:rPr>
        <w:t>the</w:t>
      </w:r>
      <w:r>
        <w:rPr>
          <w:vertAlign w:val="baseline"/>
        </w:rPr>
        <w:t> third party for the amount promised, merely because the promisor has received performance from the promisee is, moreover, inconsistent with the reasoning of </w:t>
      </w:r>
      <w:r>
        <w:rPr>
          <w:rFonts w:ascii="Arial" w:hAnsi="Arial"/>
          <w:i/>
          <w:vertAlign w:val="baseline"/>
        </w:rPr>
        <w:t>Beswick v Beswick</w:t>
      </w:r>
      <w:r>
        <w:rPr>
          <w:vertAlign w:val="baseline"/>
        </w:rPr>
        <w:t>, </w:t>
      </w:r>
      <w:r>
        <w:rPr>
          <w:color w:val="005DA1"/>
          <w:u w:val="single" w:color="005DA1"/>
          <w:vertAlign w:val="superscript"/>
        </w:rPr>
        <w:t>283</w:t>
      </w:r>
      <w:r>
        <w:rPr>
          <w:color w:val="005DA1"/>
          <w:vertAlign w:val="baseline"/>
        </w:rPr>
        <w:t> </w:t>
      </w:r>
      <w:r>
        <w:rPr>
          <w:vertAlign w:val="baseline"/>
        </w:rPr>
        <w:t>where it was assumed that the third party had no common law right to sue the promisor in her own name, in spite</w:t>
      </w:r>
      <w:r>
        <w:rPr>
          <w:spacing w:val="40"/>
          <w:vertAlign w:val="baseline"/>
        </w:rPr>
        <w:t> </w:t>
      </w:r>
      <w:r>
        <w:rPr>
          <w:vertAlign w:val="baseline"/>
        </w:rPr>
        <w:t>of the fact that the promisor had received performance in full from the promisee. The view that claims of</w:t>
      </w:r>
      <w:r>
        <w:rPr>
          <w:spacing w:val="-1"/>
          <w:vertAlign w:val="baseline"/>
        </w:rPr>
        <w:t> </w:t>
      </w:r>
      <w:r>
        <w:rPr>
          <w:vertAlign w:val="baseline"/>
        </w:rPr>
        <w:t>the</w:t>
      </w:r>
      <w:r>
        <w:rPr>
          <w:spacing w:val="-1"/>
          <w:vertAlign w:val="baseline"/>
        </w:rPr>
        <w:t> </w:t>
      </w:r>
      <w:r>
        <w:rPr>
          <w:vertAlign w:val="baseline"/>
        </w:rPr>
        <w:t>kind</w:t>
      </w:r>
      <w:r>
        <w:rPr>
          <w:spacing w:val="-1"/>
          <w:vertAlign w:val="baseline"/>
        </w:rPr>
        <w:t> </w:t>
      </w:r>
      <w:r>
        <w:rPr>
          <w:vertAlign w:val="baseline"/>
        </w:rPr>
        <w:t>here</w:t>
      </w:r>
      <w:r>
        <w:rPr>
          <w:spacing w:val="-1"/>
          <w:vertAlign w:val="baseline"/>
        </w:rPr>
        <w:t> </w:t>
      </w:r>
      <w:r>
        <w:rPr>
          <w:vertAlign w:val="baseline"/>
        </w:rPr>
        <w:t>discussed</w:t>
      </w:r>
      <w:r>
        <w:rPr>
          <w:spacing w:val="-1"/>
          <w:vertAlign w:val="baseline"/>
        </w:rPr>
        <w:t> </w:t>
      </w:r>
      <w:r>
        <w:rPr>
          <w:vertAlign w:val="baseline"/>
        </w:rPr>
        <w:t>fall</w:t>
      </w:r>
      <w:r>
        <w:rPr>
          <w:spacing w:val="-1"/>
          <w:vertAlign w:val="baseline"/>
        </w:rPr>
        <w:t> </w:t>
      </w:r>
      <w:r>
        <w:rPr>
          <w:vertAlign w:val="baseline"/>
        </w:rPr>
        <w:t>outside</w:t>
      </w:r>
      <w:r>
        <w:rPr>
          <w:spacing w:val="-1"/>
          <w:vertAlign w:val="baseline"/>
        </w:rPr>
        <w:t> </w:t>
      </w:r>
      <w:r>
        <w:rPr>
          <w:vertAlign w:val="baseline"/>
        </w:rPr>
        <w:t>the</w:t>
      </w:r>
      <w:r>
        <w:rPr>
          <w:spacing w:val="-1"/>
          <w:vertAlign w:val="baseline"/>
        </w:rPr>
        <w:t> </w:t>
      </w:r>
      <w:r>
        <w:rPr>
          <w:vertAlign w:val="baseline"/>
        </w:rPr>
        <w:t>scope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of</w:t>
      </w:r>
      <w:r>
        <w:rPr>
          <w:spacing w:val="-1"/>
          <w:vertAlign w:val="baseline"/>
        </w:rPr>
        <w:t> </w:t>
      </w:r>
      <w:r>
        <w:rPr>
          <w:vertAlign w:val="baseline"/>
        </w:rPr>
        <w:t>privity</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must</w:t>
      </w:r>
      <w:r>
        <w:rPr>
          <w:spacing w:val="-1"/>
          <w:vertAlign w:val="baseline"/>
        </w:rPr>
        <w:t> </w:t>
      </w:r>
      <w:r>
        <w:rPr>
          <w:vertAlign w:val="baseline"/>
        </w:rPr>
        <w:t>therefore</w:t>
      </w:r>
      <w:r>
        <w:rPr>
          <w:spacing w:val="-1"/>
          <w:vertAlign w:val="baseline"/>
        </w:rPr>
        <w:t> </w:t>
      </w:r>
      <w:r>
        <w:rPr>
          <w:vertAlign w:val="baseline"/>
        </w:rPr>
        <w:t>be viewed with scepticism. The argument based on restitution would in any event be of no avail to the </w:t>
      </w:r>
      <w:bookmarkStart w:name="_bookmark535" w:id="537"/>
      <w:bookmarkEnd w:id="537"/>
      <w:r>
        <w:rPr>
          <w:vertAlign w:val="baseline"/>
        </w:rPr>
        <w:t>third</w:t>
      </w:r>
      <w:r>
        <w:rPr>
          <w:vertAlign w:val="baseline"/>
        </w:rPr>
        <w:t> party where the promisor was willing to pay and the issue was merely whether the promisor should pay the third party or the promisee </w:t>
      </w:r>
      <w:r>
        <w:rPr>
          <w:color w:val="005DA1"/>
          <w:u w:val="single" w:color="005DA1"/>
          <w:vertAlign w:val="superscript"/>
        </w:rPr>
        <w:t>284</w:t>
      </w:r>
      <w:r>
        <w:rPr>
          <w:vertAlign w:val="baseline"/>
        </w:rPr>
        <w:t>: in such cases the promisor would not just be unjustly enriched so that there would be no basis for restitutionary liability.</w:t>
      </w:r>
    </w:p>
    <w:p>
      <w:pPr>
        <w:pStyle w:val="BodyText"/>
        <w:spacing w:before="80"/>
      </w:pPr>
    </w:p>
    <w:p>
      <w:pPr>
        <w:pStyle w:val="BodyText"/>
        <w:spacing w:line="235" w:lineRule="auto"/>
        <w:ind w:left="164" w:right="167"/>
        <w:jc w:val="both"/>
      </w:pPr>
      <w:r>
        <w:rPr/>
        <w:t>The above discussion is based on the assumption that the promisor would be unjustly enriched if he were allowed to retain a payment received </w:t>
      </w:r>
      <w:r>
        <w:rPr>
          <w:rFonts w:ascii="Arial" w:hAnsi="Arial"/>
          <w:i/>
        </w:rPr>
        <w:t>from the promisee </w:t>
      </w:r>
      <w:r>
        <w:rPr/>
        <w:t>in spite of his failure to perform his promise to pay the third party. There is the further possibility that the promisor may have received a benefit </w:t>
      </w:r>
      <w:r>
        <w:rPr>
          <w:rFonts w:ascii="Arial" w:hAnsi="Arial"/>
          <w:i/>
        </w:rPr>
        <w:t>from a third party</w:t>
      </w:r>
      <w:r>
        <w:rPr/>
        <w:t>: for example, where A contracts to grant a development lease to B, </w:t>
      </w:r>
      <w:r>
        <w:rPr/>
        <w:t>a company controlled by C, and C incurs expense in improving A’s land in anticipation of the </w:t>
      </w:r>
      <w:bookmarkStart w:name="_bookmark536" w:id="538"/>
      <w:bookmarkEnd w:id="538"/>
      <w:r>
        <w:rPr/>
        <w:t>development,</w:t>
      </w:r>
      <w:r>
        <w:rPr/>
        <w:t> which then fails to take place because of A’s failure to perform his contract with B. In such a case, it is arguable that C may have a restitution claim against A. </w:t>
      </w:r>
      <w:r>
        <w:rPr>
          <w:color w:val="005DA1"/>
          <w:u w:val="single" w:color="005DA1"/>
          <w:vertAlign w:val="superscript"/>
        </w:rPr>
        <w:t>285</w:t>
      </w:r>
      <w:r>
        <w:rPr>
          <w:color w:val="005DA1"/>
          <w:vertAlign w:val="baseline"/>
        </w:rPr>
        <w:t> </w:t>
      </w:r>
      <w:r>
        <w:rPr>
          <w:vertAlign w:val="baseline"/>
        </w:rPr>
        <w:t>To allow such a claim would not be inconsistent with the doctrine of privity since in such a case C’s claim is not based on any promise made by A to B for the benefit of C; no such promise has been made. The basis and measure of any restitution claim which C may have against A is more closely analogous to cases in </w:t>
      </w:r>
      <w:bookmarkStart w:name="_bookmark537" w:id="539"/>
      <w:bookmarkEnd w:id="539"/>
      <w:r>
        <w:rPr>
          <w:vertAlign w:val="baseline"/>
        </w:rPr>
        <w:t>which</w:t>
      </w:r>
      <w:r>
        <w:rPr>
          <w:vertAlign w:val="baseline"/>
        </w:rPr>
        <w:t> restitution is granted in respect of benefits conferred under anticipated contracts which fail to come into existence. </w:t>
      </w:r>
      <w:r>
        <w:rPr>
          <w:color w:val="005DA1"/>
          <w:u w:val="single" w:color="005DA1"/>
          <w:vertAlign w:val="superscript"/>
        </w:rPr>
        <w:t>286</w:t>
      </w:r>
    </w:p>
    <w:p>
      <w:pPr>
        <w:pStyle w:val="BodyText"/>
        <w:spacing w:after="0" w:line="235" w:lineRule="auto"/>
        <w:jc w:val="both"/>
        <w:sectPr>
          <w:headerReference w:type="default" r:id="rId14"/>
          <w:pgSz w:w="11900" w:h="16840"/>
          <w:pgMar w:header="971" w:footer="0" w:top="1160" w:bottom="280" w:left="1275" w:right="1275"/>
          <w:pgNumType w:start="1"/>
        </w:sectPr>
      </w:pPr>
    </w:p>
    <w:p>
      <w:pPr>
        <w:pStyle w:val="BodyText"/>
      </w:pPr>
    </w:p>
    <w:p>
      <w:pPr>
        <w:pStyle w:val="BodyText"/>
        <w:spacing w:before="158" w:after="1"/>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68" name="Group 68"/>
                <wp:cNvGraphicFramePr>
                  <a:graphicFrameLocks/>
                </wp:cNvGraphicFramePr>
                <a:graphic>
                  <a:graphicData uri="http://schemas.microsoft.com/office/word/2010/wordprocessingGroup">
                    <wpg:wgp>
                      <wpg:cNvPr id="68" name="Group 68"/>
                      <wpg:cNvGrpSpPr/>
                      <wpg:grpSpPr>
                        <a:xfrm>
                          <a:off x="0" y="0"/>
                          <a:ext cx="5724525" cy="12700"/>
                          <a:chExt cx="5724525" cy="12700"/>
                        </a:xfrm>
                      </wpg:grpSpPr>
                      <wps:wsp>
                        <wps:cNvPr id="69" name="Graphic 69"/>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19" coordorigin="0,0" coordsize="9015,20">
                <v:line style="position:absolute" from="0,10" to="9014,10" stroked="true" strokeweight="1pt" strokecolor="#000000">
                  <v:stroke dashstyle="solid"/>
                </v:line>
              </v:group>
            </w:pict>
          </mc:Fallback>
        </mc:AlternateContent>
      </w:r>
      <w:r>
        <w:rPr>
          <w:sz w:val="2"/>
        </w:rPr>
      </w:r>
    </w:p>
    <w:p>
      <w:pPr>
        <w:pStyle w:val="BodyText"/>
        <w:spacing w:before="8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55552">
                <wp:simplePos x="0" y="0"/>
                <wp:positionH relativeFrom="page">
                  <wp:posOffset>914400</wp:posOffset>
                </wp:positionH>
                <wp:positionV relativeFrom="paragraph">
                  <wp:posOffset>97116</wp:posOffset>
                </wp:positionV>
                <wp:extent cx="4953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60928"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9"/>
      </w:pPr>
    </w:p>
    <w:p>
      <w:pPr>
        <w:tabs>
          <w:tab w:pos="705" w:val="left" w:leader="none"/>
        </w:tabs>
        <w:spacing w:line="235" w:lineRule="auto" w:before="0"/>
        <w:ind w:left="705" w:right="167" w:hanging="541"/>
        <w:jc w:val="left"/>
        <w:rPr>
          <w:sz w:val="20"/>
        </w:rPr>
      </w:pPr>
      <w:bookmarkStart w:name="_bookmark538" w:id="540"/>
      <w:bookmarkEnd w:id="540"/>
      <w:r>
        <w:rPr/>
      </w:r>
      <w:hyperlink w:history="true" w:anchor="_bookmark531">
        <w:r>
          <w:rPr>
            <w:color w:val="005DA1"/>
            <w:spacing w:val="-4"/>
            <w:position w:val="5"/>
            <w:sz w:val="14"/>
            <w:u w:val="single" w:color="005DA1"/>
          </w:rPr>
          <w:t>280</w:t>
        </w:r>
      </w:hyperlink>
      <w:r>
        <w:rPr>
          <w:spacing w:val="-4"/>
          <w:position w:val="5"/>
          <w:sz w:val="14"/>
        </w:rPr>
        <w:t>.</w:t>
      </w:r>
      <w:r>
        <w:rPr>
          <w:position w:val="5"/>
          <w:sz w:val="14"/>
        </w:rPr>
        <w:tab/>
      </w:r>
      <w:r>
        <w:rPr>
          <w:rFonts w:ascii="Arial"/>
          <w:i/>
          <w:sz w:val="20"/>
        </w:rPr>
        <w:t>Trident Insurance Co Ltd v McNiece Bros Pty Ltd (1988) 165 C.L.R. 107</w:t>
      </w:r>
      <w:r>
        <w:rPr>
          <w:sz w:val="20"/>
        </w:rPr>
        <w:t>, per Gaudron J.; this</w:t>
      </w:r>
      <w:r>
        <w:rPr>
          <w:spacing w:val="40"/>
          <w:sz w:val="20"/>
        </w:rPr>
        <w:t> </w:t>
      </w:r>
      <w:r>
        <w:rPr>
          <w:sz w:val="20"/>
        </w:rPr>
        <w:t>view</w:t>
      </w:r>
      <w:r>
        <w:rPr>
          <w:spacing w:val="17"/>
          <w:sz w:val="20"/>
        </w:rPr>
        <w:t> </w:t>
      </w:r>
      <w:r>
        <w:rPr>
          <w:sz w:val="20"/>
        </w:rPr>
        <w:t>does</w:t>
      </w:r>
      <w:r>
        <w:rPr>
          <w:spacing w:val="17"/>
          <w:sz w:val="20"/>
        </w:rPr>
        <w:t> </w:t>
      </w:r>
      <w:r>
        <w:rPr>
          <w:sz w:val="20"/>
        </w:rPr>
        <w:t>not</w:t>
      </w:r>
      <w:r>
        <w:rPr>
          <w:spacing w:val="17"/>
          <w:sz w:val="20"/>
        </w:rPr>
        <w:t> </w:t>
      </w:r>
      <w:r>
        <w:rPr>
          <w:sz w:val="20"/>
        </w:rPr>
        <w:t>seem</w:t>
      </w:r>
      <w:r>
        <w:rPr>
          <w:spacing w:val="17"/>
          <w:sz w:val="20"/>
        </w:rPr>
        <w:t> </w:t>
      </w:r>
      <w:r>
        <w:rPr>
          <w:sz w:val="20"/>
        </w:rPr>
        <w:t>to</w:t>
      </w:r>
      <w:r>
        <w:rPr>
          <w:spacing w:val="17"/>
          <w:sz w:val="20"/>
        </w:rPr>
        <w:t> </w:t>
      </w:r>
      <w:r>
        <w:rPr>
          <w:sz w:val="20"/>
        </w:rPr>
        <w:t>have</w:t>
      </w:r>
      <w:r>
        <w:rPr>
          <w:spacing w:val="17"/>
          <w:sz w:val="20"/>
        </w:rPr>
        <w:t> </w:t>
      </w:r>
      <w:r>
        <w:rPr>
          <w:sz w:val="20"/>
        </w:rPr>
        <w:t>been</w:t>
      </w:r>
      <w:r>
        <w:rPr>
          <w:spacing w:val="17"/>
          <w:sz w:val="20"/>
        </w:rPr>
        <w:t> </w:t>
      </w:r>
      <w:r>
        <w:rPr>
          <w:sz w:val="20"/>
        </w:rPr>
        <w:t>shared</w:t>
      </w:r>
      <w:r>
        <w:rPr>
          <w:spacing w:val="17"/>
          <w:sz w:val="20"/>
        </w:rPr>
        <w:t> </w:t>
      </w:r>
      <w:r>
        <w:rPr>
          <w:sz w:val="20"/>
        </w:rPr>
        <w:t>by</w:t>
      </w:r>
      <w:r>
        <w:rPr>
          <w:spacing w:val="17"/>
          <w:sz w:val="20"/>
        </w:rPr>
        <w:t> </w:t>
      </w:r>
      <w:r>
        <w:rPr>
          <w:sz w:val="20"/>
        </w:rPr>
        <w:t>any</w:t>
      </w:r>
      <w:r>
        <w:rPr>
          <w:spacing w:val="17"/>
          <w:sz w:val="20"/>
        </w:rPr>
        <w:t> </w:t>
      </w:r>
      <w:r>
        <w:rPr>
          <w:sz w:val="20"/>
        </w:rPr>
        <w:t>other</w:t>
      </w:r>
      <w:r>
        <w:rPr>
          <w:spacing w:val="17"/>
          <w:sz w:val="20"/>
        </w:rPr>
        <w:t> </w:t>
      </w:r>
      <w:r>
        <w:rPr>
          <w:sz w:val="20"/>
        </w:rPr>
        <w:t>member</w:t>
      </w:r>
      <w:r>
        <w:rPr>
          <w:spacing w:val="17"/>
          <w:sz w:val="20"/>
        </w:rPr>
        <w:t> </w:t>
      </w:r>
      <w:r>
        <w:rPr>
          <w:sz w:val="20"/>
        </w:rPr>
        <w:t>of</w:t>
      </w:r>
      <w:r>
        <w:rPr>
          <w:spacing w:val="17"/>
          <w:sz w:val="20"/>
        </w:rPr>
        <w:t> </w:t>
      </w:r>
      <w:r>
        <w:rPr>
          <w:sz w:val="20"/>
        </w:rPr>
        <w:t>the</w:t>
      </w:r>
      <w:r>
        <w:rPr>
          <w:spacing w:val="17"/>
          <w:sz w:val="20"/>
        </w:rPr>
        <w:t> </w:t>
      </w:r>
      <w:r>
        <w:rPr>
          <w:sz w:val="20"/>
        </w:rPr>
        <w:t>Court;</w:t>
      </w:r>
      <w:r>
        <w:rPr>
          <w:spacing w:val="17"/>
          <w:sz w:val="20"/>
        </w:rPr>
        <w:t> </w:t>
      </w:r>
      <w:r>
        <w:rPr>
          <w:sz w:val="20"/>
        </w:rPr>
        <w:t>Soh</w:t>
      </w:r>
      <w:r>
        <w:rPr>
          <w:spacing w:val="17"/>
          <w:sz w:val="20"/>
        </w:rPr>
        <w:t> </w:t>
      </w:r>
      <w:r>
        <w:rPr>
          <w:sz w:val="20"/>
        </w:rPr>
        <w:t>(1989)</w:t>
      </w:r>
      <w:r>
        <w:rPr>
          <w:spacing w:val="17"/>
          <w:sz w:val="20"/>
        </w:rPr>
        <w:t> </w:t>
      </w:r>
      <w:r>
        <w:rPr>
          <w:spacing w:val="-5"/>
          <w:sz w:val="20"/>
        </w:rPr>
        <w:t>105</w:t>
      </w:r>
    </w:p>
    <w:p>
      <w:pPr>
        <w:pStyle w:val="BodyText"/>
        <w:spacing w:line="225" w:lineRule="exact"/>
        <w:ind w:left="705"/>
      </w:pPr>
      <w:r>
        <w:rPr/>
        <w:t>L.Q.R. </w:t>
      </w:r>
      <w:r>
        <w:rPr>
          <w:spacing w:val="-5"/>
        </w:rPr>
        <w:t>4.</w:t>
      </w:r>
    </w:p>
    <w:p>
      <w:pPr>
        <w:pStyle w:val="BodyText"/>
        <w:spacing w:before="5"/>
      </w:pPr>
    </w:p>
    <w:p>
      <w:pPr>
        <w:tabs>
          <w:tab w:pos="705" w:val="left" w:leader="none"/>
        </w:tabs>
        <w:spacing w:before="0"/>
        <w:ind w:left="165" w:right="0" w:firstLine="0"/>
        <w:jc w:val="left"/>
        <w:rPr>
          <w:sz w:val="20"/>
        </w:rPr>
      </w:pPr>
      <w:bookmarkStart w:name="_bookmark539" w:id="541"/>
      <w:bookmarkEnd w:id="541"/>
      <w:r>
        <w:rPr/>
      </w:r>
      <w:hyperlink w:history="true" w:anchor="_bookmark532">
        <w:r>
          <w:rPr>
            <w:color w:val="005DA1"/>
            <w:spacing w:val="-4"/>
            <w:position w:val="5"/>
            <w:sz w:val="14"/>
            <w:u w:val="single" w:color="005DA1"/>
          </w:rPr>
          <w:t>281</w:t>
        </w:r>
      </w:hyperlink>
      <w:r>
        <w:rPr>
          <w:spacing w:val="-4"/>
          <w:position w:val="5"/>
          <w:sz w:val="14"/>
        </w:rPr>
        <w:t>.</w:t>
      </w:r>
      <w:r>
        <w:rPr>
          <w:position w:val="5"/>
          <w:sz w:val="14"/>
        </w:rPr>
        <w:tab/>
      </w:r>
      <w:r>
        <w:rPr>
          <w:sz w:val="20"/>
        </w:rPr>
        <w:t>165 C.L.R. at </w:t>
      </w:r>
      <w:r>
        <w:rPr>
          <w:spacing w:val="-4"/>
          <w:sz w:val="20"/>
        </w:rPr>
        <w:t>177.</w:t>
      </w:r>
    </w:p>
    <w:p>
      <w:pPr>
        <w:pStyle w:val="BodyText"/>
        <w:spacing w:before="5"/>
      </w:pPr>
    </w:p>
    <w:p>
      <w:pPr>
        <w:pStyle w:val="BodyText"/>
        <w:tabs>
          <w:tab w:pos="705" w:val="left" w:leader="none"/>
        </w:tabs>
        <w:ind w:left="165"/>
      </w:pPr>
      <w:bookmarkStart w:name="_bookmark540" w:id="542"/>
      <w:bookmarkEnd w:id="542"/>
      <w:r>
        <w:rPr/>
      </w:r>
      <w:hyperlink w:history="true" w:anchor="_bookmark533">
        <w:r>
          <w:rPr>
            <w:color w:val="005DA1"/>
            <w:spacing w:val="-4"/>
            <w:position w:val="5"/>
            <w:sz w:val="14"/>
            <w:u w:val="single" w:color="005DA1"/>
          </w:rPr>
          <w:t>282</w:t>
        </w:r>
      </w:hyperlink>
      <w:r>
        <w:rPr>
          <w:spacing w:val="-4"/>
          <w:position w:val="5"/>
          <w:sz w:val="14"/>
        </w:rPr>
        <w:t>.</w:t>
      </w:r>
      <w:r>
        <w:rPr>
          <w:position w:val="5"/>
          <w:sz w:val="14"/>
        </w:rPr>
        <w:tab/>
      </w:r>
      <w:r>
        <w:rPr/>
        <w:t>Above, paras 18-033, 18-</w:t>
      </w:r>
      <w:r>
        <w:rPr>
          <w:spacing w:val="-4"/>
        </w:rPr>
        <w:t>037.</w:t>
      </w:r>
    </w:p>
    <w:p>
      <w:pPr>
        <w:pStyle w:val="BodyText"/>
        <w:spacing w:before="5"/>
      </w:pPr>
    </w:p>
    <w:p>
      <w:pPr>
        <w:tabs>
          <w:tab w:pos="705" w:val="left" w:leader="none"/>
        </w:tabs>
        <w:spacing w:before="0"/>
        <w:ind w:left="165" w:right="0" w:firstLine="0"/>
        <w:jc w:val="left"/>
        <w:rPr>
          <w:sz w:val="20"/>
        </w:rPr>
      </w:pPr>
      <w:bookmarkStart w:name="_bookmark541" w:id="543"/>
      <w:bookmarkEnd w:id="543"/>
      <w:r>
        <w:rPr/>
      </w:r>
      <w:hyperlink w:history="true" w:anchor="_bookmark534">
        <w:r>
          <w:rPr>
            <w:color w:val="005DA1"/>
            <w:spacing w:val="-4"/>
            <w:position w:val="5"/>
            <w:sz w:val="14"/>
            <w:u w:val="single" w:color="005DA1"/>
          </w:rPr>
          <w:t>283</w:t>
        </w:r>
      </w:hyperlink>
      <w:r>
        <w:rPr>
          <w:spacing w:val="-4"/>
          <w:position w:val="5"/>
          <w:sz w:val="14"/>
        </w:rPr>
        <w:t>.</w:t>
      </w:r>
      <w:r>
        <w:rPr>
          <w:position w:val="5"/>
          <w:sz w:val="14"/>
        </w:rPr>
        <w:tab/>
      </w:r>
      <w:r>
        <w:rPr>
          <w:rFonts w:ascii="Arial"/>
          <w:i/>
          <w:sz w:val="20"/>
        </w:rPr>
        <w:t>[1968]</w:t>
      </w:r>
      <w:r>
        <w:rPr>
          <w:rFonts w:ascii="Arial"/>
          <w:i/>
          <w:spacing w:val="-1"/>
          <w:sz w:val="20"/>
        </w:rPr>
        <w:t> </w:t>
      </w:r>
      <w:r>
        <w:rPr>
          <w:rFonts w:ascii="Arial"/>
          <w:i/>
          <w:sz w:val="20"/>
        </w:rPr>
        <w:t>A.C. 58</w:t>
      </w:r>
      <w:r>
        <w:rPr>
          <w:sz w:val="20"/>
        </w:rPr>
        <w:t>; above, para.18-</w:t>
      </w:r>
      <w:r>
        <w:rPr>
          <w:spacing w:val="-4"/>
          <w:sz w:val="20"/>
        </w:rPr>
        <w:t>022.</w:t>
      </w:r>
    </w:p>
    <w:p>
      <w:pPr>
        <w:pStyle w:val="BodyText"/>
        <w:spacing w:before="9"/>
      </w:pPr>
    </w:p>
    <w:p>
      <w:pPr>
        <w:tabs>
          <w:tab w:pos="705" w:val="left" w:leader="none"/>
        </w:tabs>
        <w:spacing w:line="235" w:lineRule="auto" w:before="0"/>
        <w:ind w:left="705" w:right="168" w:hanging="541"/>
        <w:jc w:val="left"/>
        <w:rPr>
          <w:sz w:val="20"/>
        </w:rPr>
      </w:pPr>
      <w:bookmarkStart w:name="_bookmark542" w:id="544"/>
      <w:bookmarkEnd w:id="544"/>
      <w:r>
        <w:rPr/>
      </w:r>
      <w:hyperlink w:history="true" w:anchor="_bookmark535">
        <w:r>
          <w:rPr>
            <w:color w:val="005DA1"/>
            <w:spacing w:val="-4"/>
            <w:position w:val="5"/>
            <w:sz w:val="14"/>
            <w:u w:val="single" w:color="005DA1"/>
          </w:rPr>
          <w:t>284</w:t>
        </w:r>
      </w:hyperlink>
      <w:r>
        <w:rPr>
          <w:spacing w:val="-4"/>
          <w:position w:val="5"/>
          <w:sz w:val="14"/>
        </w:rPr>
        <w:t>.</w:t>
      </w:r>
      <w:r>
        <w:rPr>
          <w:position w:val="5"/>
          <w:sz w:val="14"/>
        </w:rPr>
        <w:tab/>
      </w:r>
      <w:r>
        <w:rPr>
          <w:sz w:val="20"/>
        </w:rPr>
        <w:t>See below, para.18-075; cf. such cases as </w:t>
      </w:r>
      <w:r>
        <w:rPr>
          <w:rFonts w:ascii="Arial" w:hAnsi="Arial"/>
          <w:i/>
          <w:sz w:val="20"/>
        </w:rPr>
        <w:t>Re Schebsman [1944] Ch. 83 </w:t>
      </w:r>
      <w:r>
        <w:rPr>
          <w:sz w:val="20"/>
        </w:rPr>
        <w:t>and </w:t>
      </w:r>
      <w:r>
        <w:rPr>
          <w:rFonts w:ascii="Arial" w:hAnsi="Arial"/>
          <w:i/>
          <w:sz w:val="20"/>
        </w:rPr>
        <w:t>Re Sinclair’s </w:t>
      </w:r>
      <w:r>
        <w:rPr>
          <w:rFonts w:ascii="Arial" w:hAnsi="Arial"/>
          <w:i/>
          <w:sz w:val="20"/>
        </w:rPr>
        <w:t>Life Policy [1938] Ch. 799 </w:t>
      </w:r>
      <w:r>
        <w:rPr>
          <w:sz w:val="20"/>
        </w:rPr>
        <w:t>(below para.18-081).</w:t>
      </w:r>
    </w:p>
    <w:p>
      <w:pPr>
        <w:pStyle w:val="BodyText"/>
        <w:spacing w:before="9"/>
      </w:pPr>
    </w:p>
    <w:p>
      <w:pPr>
        <w:spacing w:line="235" w:lineRule="auto" w:before="0"/>
        <w:ind w:left="705" w:right="167" w:hanging="541"/>
        <w:jc w:val="both"/>
        <w:rPr>
          <w:sz w:val="20"/>
        </w:rPr>
      </w:pPr>
      <w:bookmarkStart w:name="_bookmark543" w:id="545"/>
      <w:bookmarkEnd w:id="545"/>
      <w:r>
        <w:rPr/>
      </w:r>
      <w:hyperlink w:history="true" w:anchor="_bookmark536">
        <w:r>
          <w:rPr>
            <w:color w:val="005DA1"/>
            <w:position w:val="5"/>
            <w:sz w:val="14"/>
            <w:u w:val="single" w:color="005DA1"/>
          </w:rPr>
          <w:t>285</w:t>
        </w:r>
      </w:hyperlink>
      <w:r>
        <w:rPr>
          <w:position w:val="5"/>
          <w:sz w:val="14"/>
        </w:rPr>
        <w:t>.</w:t>
      </w:r>
      <w:r>
        <w:rPr>
          <w:spacing w:val="80"/>
          <w:position w:val="5"/>
          <w:sz w:val="14"/>
        </w:rPr>
        <w:t>  </w:t>
      </w:r>
      <w:r>
        <w:rPr>
          <w:rFonts w:ascii="Arial"/>
          <w:i/>
          <w:sz w:val="20"/>
        </w:rPr>
        <w:t>Brennan</w:t>
      </w:r>
      <w:r>
        <w:rPr>
          <w:rFonts w:ascii="Arial"/>
          <w:i/>
          <w:spacing w:val="-1"/>
          <w:sz w:val="20"/>
        </w:rPr>
        <w:t> </w:t>
      </w:r>
      <w:r>
        <w:rPr>
          <w:rFonts w:ascii="Arial"/>
          <w:i/>
          <w:sz w:val="20"/>
        </w:rPr>
        <w:t>v</w:t>
      </w:r>
      <w:r>
        <w:rPr>
          <w:rFonts w:ascii="Arial"/>
          <w:i/>
          <w:spacing w:val="-1"/>
          <w:sz w:val="20"/>
        </w:rPr>
        <w:t> </w:t>
      </w:r>
      <w:r>
        <w:rPr>
          <w:rFonts w:ascii="Arial"/>
          <w:i/>
          <w:sz w:val="20"/>
        </w:rPr>
        <w:t>Brighton</w:t>
      </w:r>
      <w:r>
        <w:rPr>
          <w:rFonts w:ascii="Arial"/>
          <w:i/>
          <w:spacing w:val="-1"/>
          <w:sz w:val="20"/>
        </w:rPr>
        <w:t> </w:t>
      </w:r>
      <w:r>
        <w:rPr>
          <w:rFonts w:ascii="Arial"/>
          <w:i/>
          <w:sz w:val="20"/>
        </w:rPr>
        <w:t>B.C.</w:t>
      </w:r>
      <w:r>
        <w:rPr>
          <w:rFonts w:ascii="Arial"/>
          <w:i/>
          <w:spacing w:val="-1"/>
          <w:sz w:val="20"/>
        </w:rPr>
        <w:t> </w:t>
      </w:r>
      <w:r>
        <w:rPr>
          <w:rFonts w:ascii="Arial"/>
          <w:i/>
          <w:sz w:val="20"/>
        </w:rPr>
        <w:t>(No.2),</w:t>
      </w:r>
      <w:r>
        <w:rPr>
          <w:rFonts w:ascii="Arial"/>
          <w:i/>
          <w:spacing w:val="-1"/>
          <w:sz w:val="20"/>
        </w:rPr>
        <w:t> </w:t>
      </w:r>
      <w:r>
        <w:rPr>
          <w:rFonts w:ascii="Arial"/>
          <w:i/>
          <w:sz w:val="20"/>
        </w:rPr>
        <w:t>The</w:t>
      </w:r>
      <w:r>
        <w:rPr>
          <w:rFonts w:ascii="Arial"/>
          <w:i/>
          <w:spacing w:val="-1"/>
          <w:sz w:val="20"/>
        </w:rPr>
        <w:t> </w:t>
      </w:r>
      <w:r>
        <w:rPr>
          <w:rFonts w:ascii="Arial"/>
          <w:i/>
          <w:sz w:val="20"/>
        </w:rPr>
        <w:t>Times,</w:t>
      </w:r>
      <w:r>
        <w:rPr>
          <w:rFonts w:ascii="Arial"/>
          <w:i/>
          <w:spacing w:val="-1"/>
          <w:sz w:val="20"/>
        </w:rPr>
        <w:t> </w:t>
      </w:r>
      <w:r>
        <w:rPr>
          <w:rFonts w:ascii="Arial"/>
          <w:i/>
          <w:sz w:val="20"/>
        </w:rPr>
        <w:t>May</w:t>
      </w:r>
      <w:r>
        <w:rPr>
          <w:rFonts w:ascii="Arial"/>
          <w:i/>
          <w:spacing w:val="-1"/>
          <w:sz w:val="20"/>
        </w:rPr>
        <w:t> </w:t>
      </w:r>
      <w:r>
        <w:rPr>
          <w:rFonts w:ascii="Arial"/>
          <w:i/>
          <w:sz w:val="20"/>
        </w:rPr>
        <w:t>15,</w:t>
      </w:r>
      <w:r>
        <w:rPr>
          <w:rFonts w:ascii="Arial"/>
          <w:i/>
          <w:spacing w:val="-1"/>
          <w:sz w:val="20"/>
        </w:rPr>
        <w:t> </w:t>
      </w:r>
      <w:r>
        <w:rPr>
          <w:rFonts w:ascii="Arial"/>
          <w:i/>
          <w:sz w:val="20"/>
        </w:rPr>
        <w:t>1997,</w:t>
      </w:r>
      <w:r>
        <w:rPr>
          <w:rFonts w:ascii="Arial"/>
          <w:i/>
          <w:spacing w:val="-1"/>
          <w:sz w:val="20"/>
        </w:rPr>
        <w:t> </w:t>
      </w:r>
      <w:r>
        <w:rPr>
          <w:rFonts w:ascii="Arial"/>
          <w:i/>
          <w:sz w:val="20"/>
        </w:rPr>
        <w:t>(1997)</w:t>
      </w:r>
      <w:r>
        <w:rPr>
          <w:rFonts w:ascii="Arial"/>
          <w:i/>
          <w:spacing w:val="-1"/>
          <w:sz w:val="20"/>
        </w:rPr>
        <w:t> </w:t>
      </w:r>
      <w:r>
        <w:rPr>
          <w:rFonts w:ascii="Arial"/>
          <w:i/>
          <w:sz w:val="20"/>
        </w:rPr>
        <w:t>E.G.</w:t>
      </w:r>
      <w:r>
        <w:rPr>
          <w:rFonts w:ascii="Arial"/>
          <w:i/>
          <w:spacing w:val="-1"/>
          <w:sz w:val="20"/>
        </w:rPr>
        <w:t> </w:t>
      </w:r>
      <w:r>
        <w:rPr>
          <w:rFonts w:ascii="Arial"/>
          <w:i/>
          <w:sz w:val="20"/>
        </w:rPr>
        <w:t>76</w:t>
      </w:r>
      <w:r>
        <w:rPr>
          <w:rFonts w:ascii="Arial"/>
          <w:i/>
          <w:spacing w:val="-1"/>
          <w:sz w:val="20"/>
        </w:rPr>
        <w:t> </w:t>
      </w:r>
      <w:r>
        <w:rPr>
          <w:rFonts w:ascii="Arial"/>
          <w:i/>
          <w:sz w:val="20"/>
        </w:rPr>
        <w:t>(CS)</w:t>
      </w:r>
      <w:r>
        <w:rPr>
          <w:sz w:val="20"/>
        </w:rPr>
        <w:t>,</w:t>
      </w:r>
      <w:r>
        <w:rPr>
          <w:spacing w:val="-1"/>
          <w:sz w:val="20"/>
        </w:rPr>
        <w:t> </w:t>
      </w:r>
      <w:r>
        <w:rPr>
          <w:sz w:val="20"/>
        </w:rPr>
        <w:t>where</w:t>
      </w:r>
      <w:r>
        <w:rPr>
          <w:spacing w:val="-1"/>
          <w:sz w:val="20"/>
        </w:rPr>
        <w:t> </w:t>
      </w:r>
      <w:r>
        <w:rPr>
          <w:sz w:val="20"/>
        </w:rPr>
        <w:t>B</w:t>
      </w:r>
      <w:r>
        <w:rPr>
          <w:spacing w:val="-1"/>
          <w:sz w:val="20"/>
        </w:rPr>
        <w:t> </w:t>
      </w:r>
      <w:r>
        <w:rPr>
          <w:sz w:val="20"/>
        </w:rPr>
        <w:t>was</w:t>
      </w:r>
      <w:r>
        <w:rPr>
          <w:spacing w:val="-1"/>
          <w:sz w:val="20"/>
        </w:rPr>
        <w:t> </w:t>
      </w:r>
      <w:r>
        <w:rPr>
          <w:sz w:val="20"/>
        </w:rPr>
        <w:t>a company which had been wound up and so could no longer sue A for breach of the </w:t>
      </w:r>
      <w:r>
        <w:rPr>
          <w:sz w:val="20"/>
        </w:rPr>
        <w:t>contract between them.</w:t>
      </w:r>
    </w:p>
    <w:p>
      <w:pPr>
        <w:pStyle w:val="BodyText"/>
        <w:spacing w:before="5"/>
      </w:pPr>
    </w:p>
    <w:p>
      <w:pPr>
        <w:pStyle w:val="BodyText"/>
        <w:tabs>
          <w:tab w:pos="705" w:val="left" w:leader="none"/>
        </w:tabs>
        <w:ind w:left="165"/>
      </w:pPr>
      <w:bookmarkStart w:name="_bookmark544" w:id="546"/>
      <w:bookmarkEnd w:id="546"/>
      <w:r>
        <w:rPr/>
      </w:r>
      <w:hyperlink w:history="true" w:anchor="_bookmark537">
        <w:r>
          <w:rPr>
            <w:color w:val="005DA1"/>
            <w:spacing w:val="-4"/>
            <w:position w:val="5"/>
            <w:sz w:val="14"/>
            <w:u w:val="single" w:color="005DA1"/>
          </w:rPr>
          <w:t>286</w:t>
        </w:r>
      </w:hyperlink>
      <w:r>
        <w:rPr>
          <w:spacing w:val="-4"/>
          <w:position w:val="5"/>
          <w:sz w:val="14"/>
        </w:rPr>
        <w:t>.</w:t>
      </w:r>
      <w:r>
        <w:rPr>
          <w:position w:val="5"/>
          <w:sz w:val="14"/>
        </w:rPr>
        <w:tab/>
      </w:r>
      <w:r>
        <w:rPr/>
        <w:t>Above, paras 2-218, 2-219; below, paras 29-070 and 29-</w:t>
      </w:r>
      <w:r>
        <w:rPr>
          <w:spacing w:val="-4"/>
        </w:rPr>
        <w:t>071.</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rPr>
          <w:sz w:val="18"/>
        </w:rPr>
      </w:pPr>
    </w:p>
    <w:p>
      <w:pPr>
        <w:pStyle w:val="BodyText"/>
        <w:rPr>
          <w:sz w:val="18"/>
        </w:rPr>
      </w:pPr>
    </w:p>
    <w:p>
      <w:pPr>
        <w:pStyle w:val="BodyText"/>
        <w:spacing w:before="20"/>
        <w:rPr>
          <w:sz w:val="18"/>
        </w:rPr>
      </w:pPr>
    </w:p>
    <w:p>
      <w:pPr>
        <w:spacing w:before="0"/>
        <w:ind w:left="165" w:right="0" w:firstLine="0"/>
        <w:jc w:val="left"/>
        <w:rPr>
          <w:rFonts w:ascii="Arial"/>
          <w:b/>
          <w:sz w:val="18"/>
        </w:rPr>
      </w:pPr>
      <w:r>
        <w:rPr>
          <w:rFonts w:ascii="Arial"/>
          <w:b/>
          <w:spacing w:val="-2"/>
          <w:sz w:val="18"/>
        </w:rPr>
        <w:t>General</w:t>
      </w:r>
    </w:p>
    <w:p>
      <w:pPr>
        <w:pStyle w:val="BodyText"/>
        <w:spacing w:before="41"/>
        <w:rPr>
          <w:rFonts w:ascii="Arial"/>
          <w:b/>
          <w:sz w:val="18"/>
        </w:rPr>
      </w:pPr>
    </w:p>
    <w:p>
      <w:pPr>
        <w:pStyle w:val="Heading2"/>
      </w:pPr>
      <w:r>
        <w:rPr/>
        <w:t>18-</w:t>
      </w:r>
      <w:r>
        <w:rPr>
          <w:spacing w:val="-5"/>
        </w:rPr>
        <w:t>045</w:t>
      </w:r>
    </w:p>
    <w:p>
      <w:pPr>
        <w:pStyle w:val="BodyText"/>
        <w:spacing w:line="235" w:lineRule="auto" w:before="203"/>
        <w:ind w:left="165" w:right="167"/>
        <w:jc w:val="both"/>
      </w:pPr>
      <w:r>
        <w:rPr/>
        <w:t>Although a contract for the benefit of a third party generally does not, at common law, entitle the </w:t>
      </w:r>
      <w:r>
        <w:rPr/>
        <w:t>third party to enforce rights arising under it, the contract remains nevertheless binding between promisor and promisee. The fact that the contract was made for the benefit of a third party does, however, give rise to special problems so far as the promisee’s remedies against the promisor are concerned.</w:t>
      </w:r>
      <w:r>
        <w:rPr>
          <w:spacing w:val="40"/>
        </w:rPr>
        <w:t> </w:t>
      </w:r>
      <w:r>
        <w:rPr/>
        <w:t>Actual performance of the contract may also lead to disputes between promisee and third party.</w:t>
      </w:r>
    </w:p>
    <w:p>
      <w:pPr>
        <w:pStyle w:val="BodyText"/>
      </w:pPr>
    </w:p>
    <w:p>
      <w:pPr>
        <w:pStyle w:val="BodyText"/>
        <w:spacing w:before="38"/>
      </w:pPr>
      <w:r>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185513</wp:posOffset>
                </wp:positionV>
                <wp:extent cx="572452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7359pt;width:450.75pt;height:.1pt;mso-position-horizontal-relative:page;mso-position-vertical-relative:paragraph;z-index:-15704576;mso-wrap-distance-left:0;mso-wrap-distance-right:0" id="docshape22"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56576">
                <wp:simplePos x="0" y="0"/>
                <wp:positionH relativeFrom="page">
                  <wp:posOffset>914400</wp:posOffset>
                </wp:positionH>
                <wp:positionV relativeFrom="paragraph">
                  <wp:posOffset>97116</wp:posOffset>
                </wp:positionV>
                <wp:extent cx="4953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59904"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headerReference w:type="default" r:id="rId15"/>
          <w:pgSz w:w="11900" w:h="16840"/>
          <w:pgMar w:header="992" w:footer="0" w:top="4700" w:bottom="280" w:left="1275" w:right="1275"/>
        </w:sectPr>
      </w:pPr>
    </w:p>
    <w:p>
      <w:pPr>
        <w:pStyle w:val="Heading2"/>
        <w:spacing w:before="194"/>
        <w:ind w:left="3211"/>
      </w:pPr>
      <w:r>
        <w:rPr/>
        <w:t>(i) - Promisee’s </w:t>
      </w:r>
      <w:r>
        <w:rPr>
          <w:spacing w:val="-2"/>
        </w:rPr>
        <w:t>Remedies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Specific </w:t>
      </w:r>
      <w:r>
        <w:rPr>
          <w:rFonts w:ascii="Arial"/>
          <w:b/>
          <w:spacing w:val="-2"/>
          <w:sz w:val="18"/>
        </w:rPr>
        <w:t>performance</w:t>
      </w:r>
    </w:p>
    <w:p>
      <w:pPr>
        <w:pStyle w:val="BodyText"/>
        <w:spacing w:before="41"/>
        <w:rPr>
          <w:rFonts w:ascii="Arial"/>
          <w:b/>
          <w:sz w:val="18"/>
        </w:rPr>
      </w:pPr>
    </w:p>
    <w:p>
      <w:pPr>
        <w:pStyle w:val="Heading2"/>
      </w:pPr>
      <w:r>
        <w:rPr/>
        <w:t>18-</w:t>
      </w:r>
      <w:r>
        <w:rPr>
          <w:spacing w:val="-5"/>
        </w:rPr>
        <w:t>046</w:t>
      </w:r>
    </w:p>
    <w:p>
      <w:pPr>
        <w:pStyle w:val="BodyText"/>
        <w:spacing w:line="235" w:lineRule="auto" w:before="203"/>
        <w:ind w:left="164" w:right="167"/>
        <w:jc w:val="both"/>
      </w:pPr>
      <w:bookmarkStart w:name="_bookmark545" w:id="547"/>
      <w:bookmarkEnd w:id="547"/>
      <w:r>
        <w:rPr/>
      </w:r>
      <w:r>
        <w:rPr/>
        <w:t>The promisee (or those acting for his estate) may seek specific performance of the contract. If, as in </w:t>
      </w:r>
      <w:r>
        <w:rPr>
          <w:rFonts w:ascii="Arial"/>
          <w:i/>
        </w:rPr>
        <w:t>Beswick v Beswick</w:t>
      </w:r>
      <w:r>
        <w:rPr/>
        <w:t>, </w:t>
      </w:r>
      <w:r>
        <w:rPr>
          <w:color w:val="005DA1"/>
          <w:u w:val="single" w:color="005DA1"/>
          <w:vertAlign w:val="superscript"/>
        </w:rPr>
        <w:t>287</w:t>
      </w:r>
      <w:r>
        <w:rPr>
          <w:color w:val="005DA1"/>
          <w:vertAlign w:val="baseline"/>
        </w:rPr>
        <w:t> </w:t>
      </w:r>
      <w:r>
        <w:rPr>
          <w:vertAlign w:val="baseline"/>
        </w:rPr>
        <w:t>such an order is obtained, the third party will in fact receive the </w:t>
      </w:r>
      <w:r>
        <w:rPr>
          <w:vertAlign w:val="baseline"/>
        </w:rPr>
        <w:t>benefit contracted for. But the scope of the remedy of specific performance is limited in various ways; these </w:t>
      </w:r>
      <w:bookmarkStart w:name="_bookmark546" w:id="548"/>
      <w:bookmarkEnd w:id="548"/>
      <w:r>
        <w:rPr>
          <w:vertAlign w:val="baseline"/>
        </w:rPr>
        <w:t>limitations,</w:t>
      </w:r>
      <w:r>
        <w:rPr>
          <w:vertAlign w:val="baseline"/>
        </w:rPr>
        <w:t> and their applicability to cases involving third parties, will be discussed in Chapter 27 below. </w:t>
      </w:r>
      <w:r>
        <w:rPr>
          <w:color w:val="005DA1"/>
          <w:u w:val="single" w:color="005DA1"/>
          <w:vertAlign w:val="superscript"/>
        </w:rPr>
        <w:t>288</w:t>
      </w:r>
      <w:r>
        <w:rPr>
          <w:color w:val="005DA1"/>
          <w:vertAlign w:val="baseline"/>
        </w:rPr>
        <w:t> </w:t>
      </w:r>
      <w:r>
        <w:rPr>
          <w:vertAlign w:val="baseline"/>
        </w:rPr>
        <w:t>In the following paragraphs we shall therefore consider what other remedies may be available to the promisee if the contract is broken.</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Restitution</w:t>
      </w:r>
    </w:p>
    <w:p>
      <w:pPr>
        <w:pStyle w:val="BodyText"/>
        <w:spacing w:before="41"/>
        <w:rPr>
          <w:rFonts w:ascii="Arial"/>
          <w:b/>
          <w:sz w:val="18"/>
        </w:rPr>
      </w:pPr>
    </w:p>
    <w:p>
      <w:pPr>
        <w:pStyle w:val="Heading2"/>
        <w:spacing w:before="1"/>
      </w:pPr>
      <w:r>
        <w:rPr/>
        <w:t>18-</w:t>
      </w:r>
      <w:r>
        <w:rPr>
          <w:spacing w:val="-5"/>
        </w:rPr>
        <w:t>047</w:t>
      </w:r>
    </w:p>
    <w:p>
      <w:pPr>
        <w:pStyle w:val="BodyText"/>
        <w:spacing w:line="235" w:lineRule="auto" w:before="202"/>
        <w:ind w:left="165" w:right="167"/>
        <w:jc w:val="both"/>
      </w:pPr>
      <w:r>
        <w:rPr/>
        <w:t>The promisee might claim restitution of the consideration provided by him on the ground that </w:t>
      </w:r>
      <w:r>
        <w:rPr/>
        <w:t>the promisor would be unjustly enriched if he retained that consideration while failing or refusing to </w:t>
      </w:r>
      <w:bookmarkStart w:name="_bookmark547" w:id="549"/>
      <w:bookmarkEnd w:id="549"/>
      <w:r>
        <w:rPr/>
        <w:t>perform</w:t>
      </w:r>
      <w:r>
        <w:rPr/>
        <w:t> his promise in favour of the third party. But the promisor’s part performance of the promise in favour of the third party could defeat this remedy, </w:t>
      </w:r>
      <w:r>
        <w:rPr>
          <w:color w:val="005DA1"/>
          <w:u w:val="single" w:color="005DA1"/>
          <w:vertAlign w:val="superscript"/>
        </w:rPr>
        <w:t>289</w:t>
      </w:r>
      <w:r>
        <w:rPr>
          <w:color w:val="005DA1"/>
          <w:vertAlign w:val="baseline"/>
        </w:rPr>
        <w:t> </w:t>
      </w:r>
      <w:r>
        <w:rPr>
          <w:vertAlign w:val="baseline"/>
        </w:rPr>
        <w:t>and it might also be unjust to restrict the </w:t>
      </w:r>
      <w:bookmarkStart w:name="_bookmark548" w:id="550"/>
      <w:bookmarkEnd w:id="550"/>
      <w:r>
        <w:rPr>
          <w:vertAlign w:val="baseline"/>
        </w:rPr>
        <w:t>promisee</w:t>
      </w:r>
      <w:r>
        <w:rPr>
          <w:vertAlign w:val="baseline"/>
        </w:rPr>
        <w:t> (or his estate) to it: for example, return of premiums could be a quite inadequate remedy where a policy of life insurance had been taken out for the benefit of a third party and had matured.</w:t>
      </w:r>
      <w:r>
        <w:rPr>
          <w:spacing w:val="-2"/>
          <w:vertAlign w:val="baseline"/>
        </w:rPr>
        <w:t> </w:t>
      </w:r>
      <w:r>
        <w:rPr>
          <w:color w:val="005DA1"/>
          <w:spacing w:val="-5"/>
          <w:u w:val="single" w:color="005DA1"/>
          <w:vertAlign w:val="superscript"/>
        </w:rPr>
        <w:t>290</w:t>
      </w:r>
    </w:p>
    <w:p>
      <w:pPr>
        <w:pStyle w:val="BodyText"/>
      </w:pPr>
    </w:p>
    <w:p>
      <w:pPr>
        <w:pStyle w:val="BodyText"/>
        <w:spacing w:before="36"/>
      </w:pPr>
    </w:p>
    <w:p>
      <w:pPr>
        <w:spacing w:before="1"/>
        <w:ind w:left="165" w:right="0" w:firstLine="0"/>
        <w:jc w:val="left"/>
        <w:rPr>
          <w:rFonts w:ascii="Arial"/>
          <w:b/>
          <w:sz w:val="18"/>
        </w:rPr>
      </w:pPr>
      <w:r>
        <w:rPr>
          <w:rFonts w:ascii="Arial"/>
          <w:b/>
          <w:sz w:val="18"/>
        </w:rPr>
        <w:t>Claim for the agreed </w:t>
      </w:r>
      <w:r>
        <w:rPr>
          <w:rFonts w:ascii="Arial"/>
          <w:b/>
          <w:spacing w:val="-5"/>
          <w:sz w:val="18"/>
        </w:rPr>
        <w:t>sum</w:t>
      </w:r>
    </w:p>
    <w:p>
      <w:pPr>
        <w:pStyle w:val="BodyText"/>
        <w:spacing w:before="41"/>
        <w:rPr>
          <w:rFonts w:ascii="Arial"/>
          <w:b/>
          <w:sz w:val="18"/>
        </w:rPr>
      </w:pPr>
    </w:p>
    <w:p>
      <w:pPr>
        <w:pStyle w:val="Heading2"/>
      </w:pPr>
      <w:r>
        <w:rPr/>
        <w:t>18-</w:t>
      </w:r>
      <w:r>
        <w:rPr>
          <w:spacing w:val="-5"/>
        </w:rPr>
        <w:t>048</w:t>
      </w:r>
    </w:p>
    <w:p>
      <w:pPr>
        <w:pStyle w:val="BodyText"/>
        <w:spacing w:line="235" w:lineRule="auto" w:before="203"/>
        <w:ind w:left="164" w:right="167"/>
        <w:jc w:val="both"/>
      </w:pPr>
      <w:r>
        <w:rPr/>
        <w:t>The promisee might sue for payment to himself of the agreed sum. It may be objected that to </w:t>
      </w:r>
      <w:r>
        <w:rPr/>
        <w:t>allow such a claim would force the promisor to do something which he had never contracted to do, viz. to </w:t>
      </w:r>
      <w:bookmarkStart w:name="_bookmark549" w:id="551"/>
      <w:bookmarkEnd w:id="551"/>
      <w:r>
        <w:rPr/>
        <w:t>pay</w:t>
      </w:r>
      <w:r>
        <w:rPr/>
        <w:t> the promisee when he contracted to pay the third party; and one view therefore is that the </w:t>
      </w:r>
      <w:bookmarkStart w:name="_bookmark550" w:id="552"/>
      <w:bookmarkEnd w:id="552"/>
      <w:r>
        <w:rPr/>
        <w:t>promisee</w:t>
      </w:r>
      <w:r>
        <w:rPr/>
        <w:t> cannot sue for the agreed sum, </w:t>
      </w:r>
      <w:r>
        <w:rPr>
          <w:color w:val="005DA1"/>
          <w:u w:val="single" w:color="005DA1"/>
          <w:vertAlign w:val="superscript"/>
        </w:rPr>
        <w:t>291</w:t>
      </w:r>
      <w:r>
        <w:rPr>
          <w:color w:val="005DA1"/>
          <w:vertAlign w:val="baseline"/>
        </w:rPr>
        <w:t> </w:t>
      </w:r>
      <w:r>
        <w:rPr>
          <w:vertAlign w:val="baseline"/>
        </w:rPr>
        <w:t>save in the exceptional circumstances to be described later in this Chapter. </w:t>
      </w:r>
      <w:r>
        <w:rPr>
          <w:color w:val="005DA1"/>
          <w:u w:val="single" w:color="005DA1"/>
          <w:vertAlign w:val="superscript"/>
        </w:rPr>
        <w:t>292</w:t>
      </w:r>
      <w:r>
        <w:rPr>
          <w:color w:val="005DA1"/>
          <w:vertAlign w:val="baseline"/>
        </w:rPr>
        <w:t> </w:t>
      </w:r>
      <w:r>
        <w:rPr>
          <w:vertAlign w:val="baseline"/>
        </w:rPr>
        <w:t>But the objection to allowing the promisee to claim payment to himself loses most of its force where the promisor would not in fact be prejudiced by having to pay the promisee </w:t>
      </w:r>
      <w:bookmarkStart w:name="_bookmark551" w:id="553"/>
      <w:bookmarkEnd w:id="553"/>
      <w:r>
        <w:rPr>
          <w:vertAlign w:val="baseline"/>
        </w:rPr>
        <w:t>rather</w:t>
      </w:r>
      <w:r>
        <w:rPr>
          <w:vertAlign w:val="baseline"/>
        </w:rPr>
        <w:t> than the third party (so long as such payment gave him a good discharge). In such a case, the contract may, on its true construction, be one to pay the third party or as the promisee shall direct, </w:t>
      </w:r>
      <w:r>
        <w:rPr>
          <w:color w:val="005DA1"/>
          <w:u w:val="single" w:color="005DA1"/>
          <w:vertAlign w:val="superscript"/>
        </w:rPr>
        <w:t>293</w:t>
      </w:r>
      <w:r>
        <w:rPr>
          <w:color w:val="005DA1"/>
          <w:vertAlign w:val="baseline"/>
        </w:rPr>
        <w:t> </w:t>
      </w:r>
      <w:r>
        <w:rPr>
          <w:vertAlign w:val="baseline"/>
        </w:rPr>
        <w:t>so that it would not be inconsistent with its terms to allow the promisee to claim payment for himself. </w:t>
      </w:r>
      <w:bookmarkStart w:name="_bookmark552" w:id="554"/>
      <w:bookmarkEnd w:id="554"/>
      <w:r>
        <w:rPr>
          <w:vertAlign w:val="baseline"/>
        </w:rPr>
        <w:t>The</w:t>
      </w:r>
      <w:r>
        <w:rPr>
          <w:vertAlign w:val="baseline"/>
        </w:rPr>
        <w:t> promisee is a fortiori so entitled where the contract is one to pay him (the promisee) as nominee for the third party </w:t>
      </w:r>
      <w:r>
        <w:rPr>
          <w:color w:val="005DA1"/>
          <w:u w:val="single" w:color="005DA1"/>
          <w:vertAlign w:val="superscript"/>
        </w:rPr>
        <w:t>294</w:t>
      </w:r>
      <w:r>
        <w:rPr>
          <w:vertAlign w:val="baseline"/>
        </w:rPr>
        <w:t>: such a contract is not one for the benefit of a third party </w:t>
      </w:r>
      <w:r>
        <w:rPr>
          <w:color w:val="005DA1"/>
          <w:u w:val="single" w:color="005DA1"/>
          <w:vertAlign w:val="superscript"/>
        </w:rPr>
        <w:t>295</w:t>
      </w:r>
      <w:r>
        <w:rPr>
          <w:color w:val="005DA1"/>
          <w:vertAlign w:val="baseline"/>
        </w:rPr>
        <w:t> </w:t>
      </w:r>
      <w:r>
        <w:rPr>
          <w:vertAlign w:val="baseline"/>
        </w:rPr>
        <w:t>in the sense of one purporting to give that party a right against the promisor.</w:t>
      </w:r>
    </w:p>
    <w:p>
      <w:pPr>
        <w:pStyle w:val="BodyText"/>
        <w:spacing w:after="0" w:line="235" w:lineRule="auto"/>
        <w:jc w:val="both"/>
        <w:sectPr>
          <w:pgSz w:w="11900" w:h="16840"/>
          <w:pgMar w:header="992" w:footer="0" w:top="4700" w:bottom="280" w:left="1275" w:right="1275"/>
        </w:sectPr>
      </w:pPr>
    </w:p>
    <w:p>
      <w:pPr>
        <w:pStyle w:val="BodyText"/>
        <w:rPr>
          <w:sz w:val="18"/>
        </w:rPr>
      </w:pPr>
    </w:p>
    <w:p>
      <w:pPr>
        <w:pStyle w:val="BodyText"/>
        <w:spacing w:before="179"/>
        <w:rPr>
          <w:sz w:val="18"/>
        </w:rPr>
      </w:pPr>
    </w:p>
    <w:p>
      <w:pPr>
        <w:spacing w:before="0"/>
        <w:ind w:left="165" w:right="0" w:firstLine="0"/>
        <w:jc w:val="left"/>
        <w:rPr>
          <w:rFonts w:ascii="Arial" w:hAnsi="Arial"/>
          <w:b/>
          <w:sz w:val="18"/>
        </w:rPr>
      </w:pPr>
      <w:r>
        <w:rPr>
          <w:rFonts w:ascii="Arial" w:hAnsi="Arial"/>
          <w:b/>
          <w:sz w:val="18"/>
        </w:rPr>
        <w:t>Damages in respect of promisee’s </w:t>
      </w:r>
      <w:r>
        <w:rPr>
          <w:rFonts w:ascii="Arial" w:hAnsi="Arial"/>
          <w:b/>
          <w:spacing w:val="-4"/>
          <w:sz w:val="18"/>
        </w:rPr>
        <w:t>loss</w:t>
      </w:r>
    </w:p>
    <w:p>
      <w:pPr>
        <w:pStyle w:val="BodyText"/>
        <w:spacing w:before="41"/>
        <w:rPr>
          <w:rFonts w:ascii="Arial"/>
          <w:b/>
          <w:sz w:val="18"/>
        </w:rPr>
      </w:pPr>
    </w:p>
    <w:p>
      <w:pPr>
        <w:pStyle w:val="Heading2"/>
        <w:spacing w:before="1"/>
      </w:pPr>
      <w:r>
        <w:rPr/>
        <w:t>18-</w:t>
      </w:r>
      <w:r>
        <w:rPr>
          <w:spacing w:val="-5"/>
        </w:rPr>
        <w:t>049</w:t>
      </w:r>
    </w:p>
    <w:p>
      <w:pPr>
        <w:pStyle w:val="BodyText"/>
        <w:spacing w:line="235" w:lineRule="auto" w:before="202"/>
        <w:ind w:left="164" w:right="167"/>
        <w:jc w:val="both"/>
      </w:pPr>
      <w:bookmarkStart w:name="_bookmark553" w:id="555"/>
      <w:bookmarkEnd w:id="555"/>
      <w:r>
        <w:rPr/>
      </w:r>
      <w:r>
        <w:rPr/>
        <w:t>The promisee might claim damages where he has suffered loss as a result of the promisor’s failure to perform in favour of the third party. But in </w:t>
      </w:r>
      <w:r>
        <w:rPr>
          <w:rFonts w:ascii="Arial" w:hAnsi="Arial"/>
          <w:i/>
        </w:rPr>
        <w:t>Beswick v Beswick </w:t>
      </w:r>
      <w:r>
        <w:rPr/>
        <w:t>the majority of the House of Lords </w:t>
      </w:r>
      <w:r>
        <w:rPr>
          <w:color w:val="005DA1"/>
          <w:u w:val="single" w:color="005DA1"/>
          <w:vertAlign w:val="superscript"/>
        </w:rPr>
        <w:t>296</w:t>
      </w:r>
      <w:r>
        <w:rPr>
          <w:color w:val="005DA1"/>
          <w:vertAlign w:val="baseline"/>
        </w:rPr>
        <w:t> </w:t>
      </w:r>
      <w:r>
        <w:rPr>
          <w:vertAlign w:val="baseline"/>
        </w:rPr>
        <w:t>evidently thought that no such loss had been or would be suffered by the promisee, and </w:t>
      </w:r>
      <w:r>
        <w:rPr>
          <w:vertAlign w:val="baseline"/>
        </w:rPr>
        <w:t>that accordingly the damages recoverable by the uncle’s (i.e., the promisee’s) estate for breach of the nephew’s promise would be merely nominal. This would have been the case because, as Lord</w:t>
      </w:r>
      <w:r>
        <w:rPr>
          <w:spacing w:val="40"/>
          <w:vertAlign w:val="baseline"/>
        </w:rPr>
        <w:t> </w:t>
      </w:r>
      <w:bookmarkStart w:name="_bookmark554" w:id="556"/>
      <w:bookmarkEnd w:id="556"/>
      <w:r>
        <w:rPr>
          <w:vertAlign w:val="baseline"/>
        </w:rPr>
        <w:t>Upjohn</w:t>
      </w:r>
      <w:r>
        <w:rPr>
          <w:vertAlign w:val="baseline"/>
        </w:rPr>
        <w:t> said, the promisee “died </w:t>
      </w:r>
      <w:r>
        <w:rPr>
          <w:rFonts w:ascii="Arial" w:hAnsi="Arial"/>
          <w:i/>
          <w:vertAlign w:val="baseline"/>
        </w:rPr>
        <w:t>without any assets </w:t>
      </w:r>
      <w:r>
        <w:rPr>
          <w:vertAlign w:val="baseline"/>
        </w:rPr>
        <w:t>save and except the agreement which he hoped would</w:t>
      </w:r>
      <w:r>
        <w:rPr>
          <w:spacing w:val="-3"/>
          <w:vertAlign w:val="baseline"/>
        </w:rPr>
        <w:t> </w:t>
      </w:r>
      <w:r>
        <w:rPr>
          <w:vertAlign w:val="baseline"/>
        </w:rPr>
        <w:t>keep</w:t>
      </w:r>
      <w:r>
        <w:rPr>
          <w:spacing w:val="-3"/>
          <w:vertAlign w:val="baseline"/>
        </w:rPr>
        <w:t> </w:t>
      </w:r>
      <w:r>
        <w:rPr>
          <w:vertAlign w:val="baseline"/>
        </w:rPr>
        <w:t>him</w:t>
      </w:r>
      <w:r>
        <w:rPr>
          <w:spacing w:val="-3"/>
          <w:vertAlign w:val="baseline"/>
        </w:rPr>
        <w:t> </w:t>
      </w:r>
      <w:r>
        <w:rPr>
          <w:vertAlign w:val="baseline"/>
        </w:rPr>
        <w:t>and</w:t>
      </w:r>
      <w:r>
        <w:rPr>
          <w:spacing w:val="-3"/>
          <w:vertAlign w:val="baseline"/>
        </w:rPr>
        <w:t> </w:t>
      </w:r>
      <w:r>
        <w:rPr>
          <w:vertAlign w:val="baseline"/>
        </w:rPr>
        <w:t>then</w:t>
      </w:r>
      <w:r>
        <w:rPr>
          <w:spacing w:val="-3"/>
          <w:vertAlign w:val="baseline"/>
        </w:rPr>
        <w:t> </w:t>
      </w:r>
      <w:r>
        <w:rPr>
          <w:vertAlign w:val="baseline"/>
        </w:rPr>
        <w:t>his</w:t>
      </w:r>
      <w:r>
        <w:rPr>
          <w:spacing w:val="-3"/>
          <w:vertAlign w:val="baseline"/>
        </w:rPr>
        <w:t> </w:t>
      </w:r>
      <w:r>
        <w:rPr>
          <w:vertAlign w:val="baseline"/>
        </w:rPr>
        <w:t>widow</w:t>
      </w:r>
      <w:r>
        <w:rPr>
          <w:spacing w:val="-3"/>
          <w:vertAlign w:val="baseline"/>
        </w:rPr>
        <w:t> </w:t>
      </w:r>
      <w:r>
        <w:rPr>
          <w:vertAlign w:val="baseline"/>
        </w:rPr>
        <w:t>for</w:t>
      </w:r>
      <w:r>
        <w:rPr>
          <w:spacing w:val="-3"/>
          <w:vertAlign w:val="baseline"/>
        </w:rPr>
        <w:t> </w:t>
      </w:r>
      <w:r>
        <w:rPr>
          <w:vertAlign w:val="baseline"/>
        </w:rPr>
        <w:t>their</w:t>
      </w:r>
      <w:r>
        <w:rPr>
          <w:spacing w:val="-3"/>
          <w:vertAlign w:val="baseline"/>
        </w:rPr>
        <w:t> </w:t>
      </w:r>
      <w:r>
        <w:rPr>
          <w:vertAlign w:val="baseline"/>
        </w:rPr>
        <w:t>lives.”</w:t>
      </w:r>
      <w:r>
        <w:rPr>
          <w:spacing w:val="-4"/>
          <w:vertAlign w:val="baseline"/>
        </w:rPr>
        <w:t> </w:t>
      </w:r>
      <w:r>
        <w:rPr>
          <w:color w:val="005DA1"/>
          <w:u w:val="single" w:color="005DA1"/>
          <w:vertAlign w:val="superscript"/>
        </w:rPr>
        <w:t>297</w:t>
      </w:r>
      <w:r>
        <w:rPr>
          <w:color w:val="005DA1"/>
          <w:spacing w:val="-3"/>
          <w:vertAlign w:val="baseline"/>
        </w:rPr>
        <w:t> </w:t>
      </w:r>
      <w:r>
        <w:rPr>
          <w:vertAlign w:val="baseline"/>
        </w:rPr>
        <w:t>It</w:t>
      </w:r>
      <w:r>
        <w:rPr>
          <w:spacing w:val="-3"/>
          <w:vertAlign w:val="baseline"/>
        </w:rPr>
        <w:t> </w:t>
      </w:r>
      <w:r>
        <w:rPr>
          <w:vertAlign w:val="baseline"/>
        </w:rPr>
        <w:t>seems</w:t>
      </w:r>
      <w:r>
        <w:rPr>
          <w:spacing w:val="-3"/>
          <w:vertAlign w:val="baseline"/>
        </w:rPr>
        <w:t> </w:t>
      </w:r>
      <w:r>
        <w:rPr>
          <w:vertAlign w:val="baseline"/>
        </w:rPr>
        <w:t>possible</w:t>
      </w:r>
      <w:r>
        <w:rPr>
          <w:spacing w:val="-3"/>
          <w:vertAlign w:val="baseline"/>
        </w:rPr>
        <w:t> </w:t>
      </w:r>
      <w:r>
        <w:rPr>
          <w:vertAlign w:val="baseline"/>
        </w:rPr>
        <w:t>to</w:t>
      </w:r>
      <w:r>
        <w:rPr>
          <w:spacing w:val="-3"/>
          <w:vertAlign w:val="baseline"/>
        </w:rPr>
        <w:t> </w:t>
      </w:r>
      <w:r>
        <w:rPr>
          <w:vertAlign w:val="baseline"/>
        </w:rPr>
        <w:t>deduce</w:t>
      </w:r>
      <w:r>
        <w:rPr>
          <w:spacing w:val="-3"/>
          <w:vertAlign w:val="baseline"/>
        </w:rPr>
        <w:t> </w:t>
      </w:r>
      <w:r>
        <w:rPr>
          <w:vertAlign w:val="baseline"/>
        </w:rPr>
        <w:t>from</w:t>
      </w:r>
      <w:r>
        <w:rPr>
          <w:spacing w:val="-3"/>
          <w:vertAlign w:val="baseline"/>
        </w:rPr>
        <w:t> </w:t>
      </w:r>
      <w:r>
        <w:rPr>
          <w:vertAlign w:val="baseline"/>
        </w:rPr>
        <w:t>this</w:t>
      </w:r>
      <w:r>
        <w:rPr>
          <w:spacing w:val="-3"/>
          <w:vertAlign w:val="baseline"/>
        </w:rPr>
        <w:t> </w:t>
      </w:r>
      <w:r>
        <w:rPr>
          <w:vertAlign w:val="baseline"/>
        </w:rPr>
        <w:t>statement </w:t>
      </w:r>
      <w:bookmarkStart w:name="_bookmark555" w:id="557"/>
      <w:bookmarkEnd w:id="557"/>
      <w:r>
        <w:rPr>
          <w:vertAlign w:val="baseline"/>
        </w:rPr>
        <w:t>that</w:t>
      </w:r>
      <w:r>
        <w:rPr>
          <w:vertAlign w:val="baseline"/>
        </w:rPr>
        <w:t> damages might have been substantial if the promisee had had other assets—either because the widow might then have had a claim against those assets if the promise were not performed </w:t>
      </w:r>
      <w:r>
        <w:rPr>
          <w:color w:val="005DA1"/>
          <w:u w:val="single" w:color="005DA1"/>
          <w:vertAlign w:val="superscript"/>
        </w:rPr>
        <w:t>298</w:t>
      </w:r>
      <w:r>
        <w:rPr>
          <w:color w:val="005DA1"/>
          <w:vertAlign w:val="baseline"/>
        </w:rPr>
        <w:t> </w:t>
      </w:r>
      <w:r>
        <w:rPr>
          <w:vertAlign w:val="baseline"/>
        </w:rPr>
        <w:t>or because the promisee or his estate would in fact, even if not legally obliged to do so, have made</w:t>
      </w:r>
      <w:r>
        <w:rPr>
          <w:spacing w:val="40"/>
          <w:vertAlign w:val="baseline"/>
        </w:rPr>
        <w:t> </w:t>
      </w:r>
      <w:r>
        <w:rPr>
          <w:vertAlign w:val="baseline"/>
        </w:rPr>
        <w:t>some</w:t>
      </w:r>
      <w:r>
        <w:rPr>
          <w:spacing w:val="-1"/>
          <w:vertAlign w:val="baseline"/>
        </w:rPr>
        <w:t> </w:t>
      </w:r>
      <w:r>
        <w:rPr>
          <w:vertAlign w:val="baseline"/>
        </w:rPr>
        <w:t>other,</w:t>
      </w:r>
      <w:r>
        <w:rPr>
          <w:spacing w:val="-1"/>
          <w:vertAlign w:val="baseline"/>
        </w:rPr>
        <w:t> </w:t>
      </w:r>
      <w:r>
        <w:rPr>
          <w:vertAlign w:val="baseline"/>
        </w:rPr>
        <w:t>wholly</w:t>
      </w:r>
      <w:r>
        <w:rPr>
          <w:spacing w:val="-1"/>
          <w:vertAlign w:val="baseline"/>
        </w:rPr>
        <w:t> </w:t>
      </w:r>
      <w:r>
        <w:rPr>
          <w:vertAlign w:val="baseline"/>
        </w:rPr>
        <w:t>voluntary,</w:t>
      </w:r>
      <w:r>
        <w:rPr>
          <w:spacing w:val="-1"/>
          <w:vertAlign w:val="baseline"/>
        </w:rPr>
        <w:t> </w:t>
      </w:r>
      <w:r>
        <w:rPr>
          <w:vertAlign w:val="baseline"/>
        </w:rPr>
        <w:t>provision</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widow.</w:t>
      </w:r>
      <w:r>
        <w:rPr>
          <w:spacing w:val="-1"/>
          <w:vertAlign w:val="baseline"/>
        </w:rPr>
        <w:t> </w:t>
      </w:r>
      <w:r>
        <w:rPr>
          <w:vertAlign w:val="baseline"/>
        </w:rPr>
        <w:t>The</w:t>
      </w:r>
      <w:r>
        <w:rPr>
          <w:spacing w:val="-1"/>
          <w:vertAlign w:val="baseline"/>
        </w:rPr>
        <w:t> </w:t>
      </w:r>
      <w:r>
        <w:rPr>
          <w:vertAlign w:val="baseline"/>
        </w:rPr>
        <w:t>loss</w:t>
      </w:r>
      <w:r>
        <w:rPr>
          <w:spacing w:val="-1"/>
          <w:vertAlign w:val="baseline"/>
        </w:rPr>
        <w:t> </w:t>
      </w:r>
      <w:r>
        <w:rPr>
          <w:vertAlign w:val="baseline"/>
        </w:rPr>
        <w:t>suffered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promisee</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the cost of making such an alternative provision, and there is some authority for the view that damages</w:t>
      </w:r>
      <w:r>
        <w:rPr>
          <w:spacing w:val="40"/>
          <w:vertAlign w:val="baseline"/>
        </w:rPr>
        <w:t> </w:t>
      </w:r>
      <w:bookmarkStart w:name="_bookmark556" w:id="558"/>
      <w:bookmarkEnd w:id="558"/>
      <w:r>
        <w:rPr>
          <w:vertAlign w:val="baseline"/>
        </w:rPr>
        <w:t>for</w:t>
      </w:r>
      <w:r>
        <w:rPr>
          <w:vertAlign w:val="baseline"/>
        </w:rPr>
        <w:t> breach of contract may be recovered to compensate for such loss even though the provision is wholly voluntary. </w:t>
      </w:r>
      <w:r>
        <w:rPr>
          <w:color w:val="005DA1"/>
          <w:u w:val="single" w:color="005DA1"/>
          <w:vertAlign w:val="superscript"/>
        </w:rPr>
        <w:t>299</w:t>
      </w:r>
      <w:r>
        <w:rPr>
          <w:color w:val="005DA1"/>
          <w:vertAlign w:val="baseline"/>
        </w:rPr>
        <w:t> </w:t>
      </w:r>
      <w:r>
        <w:rPr>
          <w:vertAlign w:val="baseline"/>
        </w:rPr>
        <w:t>A fortiori the promisee can recover substantial damages where he is under a</w:t>
      </w:r>
      <w:r>
        <w:rPr>
          <w:spacing w:val="40"/>
          <w:vertAlign w:val="baseline"/>
        </w:rPr>
        <w:t> </w:t>
      </w:r>
      <w:r>
        <w:rPr>
          <w:vertAlign w:val="baseline"/>
        </w:rPr>
        <w:t>legal obligation to make a payment to the third party and where this obligation would have been discharged if the promisor had paid the third party in accordance with the contract. Where loss is suffered by the promisee, substantial damages can, moreover, be recovered by the promisee even though the promisee is legally bound to pay those damages over to a third party. Thus where loss of income was suffered by the estate of a deceased person as a result of the negligence of solicitors </w:t>
      </w:r>
      <w:bookmarkStart w:name="_bookmark557" w:id="559"/>
      <w:bookmarkEnd w:id="559"/>
      <w:r>
        <w:rPr>
          <w:vertAlign w:val="baseline"/>
        </w:rPr>
        <w:t>retained</w:t>
      </w:r>
      <w:r>
        <w:rPr>
          <w:vertAlign w:val="baseline"/>
        </w:rPr>
        <w:t> by that person’s executrix to administer the estate, the executrix recovered substantial damages</w:t>
      </w:r>
      <w:r>
        <w:rPr>
          <w:spacing w:val="-3"/>
          <w:vertAlign w:val="baseline"/>
        </w:rPr>
        <w:t> </w:t>
      </w:r>
      <w:r>
        <w:rPr>
          <w:vertAlign w:val="baseline"/>
        </w:rPr>
        <w:t>in</w:t>
      </w:r>
      <w:r>
        <w:rPr>
          <w:spacing w:val="-3"/>
          <w:vertAlign w:val="baseline"/>
        </w:rPr>
        <w:t> </w:t>
      </w:r>
      <w:r>
        <w:rPr>
          <w:vertAlign w:val="baseline"/>
        </w:rPr>
        <w:t>respect</w:t>
      </w:r>
      <w:r>
        <w:rPr>
          <w:spacing w:val="-3"/>
          <w:vertAlign w:val="baseline"/>
        </w:rPr>
        <w:t> </w:t>
      </w:r>
      <w:r>
        <w:rPr>
          <w:vertAlign w:val="baseline"/>
        </w:rPr>
        <w:t>of</w:t>
      </w:r>
      <w:r>
        <w:rPr>
          <w:spacing w:val="-3"/>
          <w:vertAlign w:val="baseline"/>
        </w:rPr>
        <w:t> </w:t>
      </w:r>
      <w:r>
        <w:rPr>
          <w:vertAlign w:val="baseline"/>
        </w:rPr>
        <w:t>that</w:t>
      </w:r>
      <w:r>
        <w:rPr>
          <w:spacing w:val="-3"/>
          <w:vertAlign w:val="baseline"/>
        </w:rPr>
        <w:t> </w:t>
      </w:r>
      <w:r>
        <w:rPr>
          <w:vertAlign w:val="baseline"/>
        </w:rPr>
        <w:t>loss</w:t>
      </w:r>
      <w:r>
        <w:rPr>
          <w:spacing w:val="-3"/>
          <w:vertAlign w:val="baseline"/>
        </w:rPr>
        <w:t> </w:t>
      </w:r>
      <w:r>
        <w:rPr>
          <w:vertAlign w:val="baseline"/>
        </w:rPr>
        <w:t>in</w:t>
      </w:r>
      <w:r>
        <w:rPr>
          <w:spacing w:val="-3"/>
          <w:vertAlign w:val="baseline"/>
        </w:rPr>
        <w:t> </w:t>
      </w:r>
      <w:r>
        <w:rPr>
          <w:vertAlign w:val="baseline"/>
        </w:rPr>
        <w:t>her</w:t>
      </w:r>
      <w:r>
        <w:rPr>
          <w:spacing w:val="-3"/>
          <w:vertAlign w:val="baseline"/>
        </w:rPr>
        <w:t> </w:t>
      </w:r>
      <w:r>
        <w:rPr>
          <w:vertAlign w:val="baseline"/>
        </w:rPr>
        <w:t>representative</w:t>
      </w:r>
      <w:r>
        <w:rPr>
          <w:spacing w:val="-3"/>
          <w:vertAlign w:val="baseline"/>
        </w:rPr>
        <w:t> </w:t>
      </w:r>
      <w:r>
        <w:rPr>
          <w:vertAlign w:val="baseline"/>
        </w:rPr>
        <w:t>capacity</w:t>
      </w:r>
      <w:r>
        <w:rPr>
          <w:spacing w:val="-3"/>
          <w:vertAlign w:val="baseline"/>
        </w:rPr>
        <w:t> </w:t>
      </w:r>
      <w:r>
        <w:rPr>
          <w:vertAlign w:val="baseline"/>
        </w:rPr>
        <w:t>as</w:t>
      </w:r>
      <w:r>
        <w:rPr>
          <w:spacing w:val="-3"/>
          <w:vertAlign w:val="baseline"/>
        </w:rPr>
        <w:t> </w:t>
      </w:r>
      <w:r>
        <w:rPr>
          <w:vertAlign w:val="baseline"/>
        </w:rPr>
        <w:t>owner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deceased’s</w:t>
      </w:r>
      <w:r>
        <w:rPr>
          <w:spacing w:val="-3"/>
          <w:vertAlign w:val="baseline"/>
        </w:rPr>
        <w:t> </w:t>
      </w:r>
      <w:r>
        <w:rPr>
          <w:vertAlign w:val="baseline"/>
        </w:rPr>
        <w:t>estate.</w:t>
      </w:r>
      <w:r>
        <w:rPr>
          <w:spacing w:val="-4"/>
          <w:vertAlign w:val="baseline"/>
        </w:rPr>
        <w:t> </w:t>
      </w:r>
      <w:r>
        <w:rPr>
          <w:color w:val="005DA1"/>
          <w:u w:val="single" w:color="005DA1"/>
          <w:vertAlign w:val="superscript"/>
        </w:rPr>
        <w:t>300</w:t>
      </w:r>
      <w:r>
        <w:rPr>
          <w:color w:val="005DA1"/>
          <w:spacing w:val="-3"/>
          <w:vertAlign w:val="baseline"/>
        </w:rPr>
        <w:t> </w:t>
      </w:r>
      <w:r>
        <w:rPr>
          <w:vertAlign w:val="baseline"/>
        </w:rPr>
        <w:t>It made no difference that she was not entitled beneficially to the estate and was therefore obliged, as executrix, to hand over the damages to the residuary legatee under the deceased’s will.</w:t>
      </w:r>
    </w:p>
    <w:p>
      <w:pPr>
        <w:pStyle w:val="BodyText"/>
      </w:pPr>
    </w:p>
    <w:p>
      <w:pPr>
        <w:pStyle w:val="BodyText"/>
        <w:spacing w:before="30"/>
      </w:pPr>
    </w:p>
    <w:p>
      <w:pPr>
        <w:spacing w:before="0"/>
        <w:ind w:left="165" w:right="0" w:firstLine="0"/>
        <w:jc w:val="both"/>
        <w:rPr>
          <w:rFonts w:ascii="Arial"/>
          <w:b/>
          <w:sz w:val="18"/>
        </w:rPr>
      </w:pPr>
      <w:r>
        <w:rPr>
          <w:rFonts w:ascii="Arial"/>
          <w:b/>
          <w:sz w:val="18"/>
        </w:rPr>
        <w:t>Whose </w:t>
      </w:r>
      <w:r>
        <w:rPr>
          <w:rFonts w:ascii="Arial"/>
          <w:b/>
          <w:spacing w:val="-2"/>
          <w:sz w:val="18"/>
        </w:rPr>
        <w:t>loss?</w:t>
      </w:r>
    </w:p>
    <w:p>
      <w:pPr>
        <w:pStyle w:val="BodyText"/>
        <w:spacing w:before="41"/>
        <w:rPr>
          <w:rFonts w:ascii="Arial"/>
          <w:b/>
          <w:sz w:val="18"/>
        </w:rPr>
      </w:pPr>
    </w:p>
    <w:p>
      <w:pPr>
        <w:pStyle w:val="Heading2"/>
        <w:spacing w:before="1"/>
      </w:pPr>
      <w:r>
        <w:rPr/>
        <w:t>18-</w:t>
      </w:r>
      <w:r>
        <w:rPr>
          <w:spacing w:val="-5"/>
        </w:rPr>
        <w:t>050</w:t>
      </w:r>
    </w:p>
    <w:p>
      <w:pPr>
        <w:pStyle w:val="BodyText"/>
        <w:spacing w:before="88"/>
        <w:rPr>
          <w:rFonts w:ascii="Arial"/>
          <w:b/>
        </w:rPr>
      </w:pPr>
    </w:p>
    <w:p>
      <w:pPr>
        <w:spacing w:before="0"/>
        <w:ind w:left="165" w:right="0" w:firstLine="0"/>
        <w:jc w:val="both"/>
        <w:rPr>
          <w:rFonts w:ascii="Arial"/>
          <w:i/>
          <w:sz w:val="20"/>
        </w:rPr>
      </w:pPr>
      <w:r>
        <w:rPr>
          <w:position w:val="-2"/>
        </w:rPr>
        <w:drawing>
          <wp:inline distT="0" distB="0" distL="0" distR="0">
            <wp:extent cx="107988" cy="10798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4"/>
          <w:sz w:val="20"/>
        </w:rPr>
        <w:t> </w:t>
      </w:r>
      <w:bookmarkStart w:name="_bookmark558" w:id="560"/>
      <w:bookmarkEnd w:id="560"/>
      <w:r>
        <w:rPr>
          <w:rFonts w:ascii="Times New Roman"/>
          <w:spacing w:val="14"/>
          <w:sz w:val="20"/>
        </w:rPr>
      </w:r>
      <w:r>
        <w:rPr>
          <w:sz w:val="20"/>
        </w:rPr>
        <w:t>The</w:t>
      </w:r>
      <w:r>
        <w:rPr>
          <w:spacing w:val="9"/>
          <w:sz w:val="20"/>
        </w:rPr>
        <w:t> </w:t>
      </w:r>
      <w:r>
        <w:rPr>
          <w:sz w:val="20"/>
        </w:rPr>
        <w:t>question</w:t>
      </w:r>
      <w:r>
        <w:rPr>
          <w:spacing w:val="9"/>
          <w:sz w:val="20"/>
        </w:rPr>
        <w:t> </w:t>
      </w:r>
      <w:r>
        <w:rPr>
          <w:sz w:val="20"/>
        </w:rPr>
        <w:t>whether</w:t>
      </w:r>
      <w:r>
        <w:rPr>
          <w:spacing w:val="9"/>
          <w:sz w:val="20"/>
        </w:rPr>
        <w:t> </w:t>
      </w:r>
      <w:r>
        <w:rPr>
          <w:sz w:val="20"/>
        </w:rPr>
        <w:t>loss</w:t>
      </w:r>
      <w:r>
        <w:rPr>
          <w:spacing w:val="9"/>
          <w:sz w:val="20"/>
        </w:rPr>
        <w:t> </w:t>
      </w:r>
      <w:r>
        <w:rPr>
          <w:sz w:val="20"/>
        </w:rPr>
        <w:t>had</w:t>
      </w:r>
      <w:r>
        <w:rPr>
          <w:spacing w:val="9"/>
          <w:sz w:val="20"/>
        </w:rPr>
        <w:t> </w:t>
      </w:r>
      <w:r>
        <w:rPr>
          <w:sz w:val="20"/>
        </w:rPr>
        <w:t>been</w:t>
      </w:r>
      <w:r>
        <w:rPr>
          <w:spacing w:val="9"/>
          <w:sz w:val="20"/>
        </w:rPr>
        <w:t> </w:t>
      </w:r>
      <w:r>
        <w:rPr>
          <w:sz w:val="20"/>
        </w:rPr>
        <w:t>suffered</w:t>
      </w:r>
      <w:r>
        <w:rPr>
          <w:spacing w:val="9"/>
          <w:sz w:val="20"/>
        </w:rPr>
        <w:t> </w:t>
      </w:r>
      <w:r>
        <w:rPr>
          <w:sz w:val="20"/>
        </w:rPr>
        <w:t>by</w:t>
      </w:r>
      <w:r>
        <w:rPr>
          <w:spacing w:val="9"/>
          <w:sz w:val="20"/>
        </w:rPr>
        <w:t> </w:t>
      </w:r>
      <w:r>
        <w:rPr>
          <w:sz w:val="20"/>
        </w:rPr>
        <w:t>the</w:t>
      </w:r>
      <w:r>
        <w:rPr>
          <w:spacing w:val="9"/>
          <w:sz w:val="20"/>
        </w:rPr>
        <w:t> </w:t>
      </w:r>
      <w:r>
        <w:rPr>
          <w:sz w:val="20"/>
        </w:rPr>
        <w:t>promisee</w:t>
      </w:r>
      <w:r>
        <w:rPr>
          <w:spacing w:val="9"/>
          <w:sz w:val="20"/>
        </w:rPr>
        <w:t> </w:t>
      </w:r>
      <w:r>
        <w:rPr>
          <w:sz w:val="20"/>
        </w:rPr>
        <w:t>arose</w:t>
      </w:r>
      <w:r>
        <w:rPr>
          <w:spacing w:val="9"/>
          <w:sz w:val="20"/>
        </w:rPr>
        <w:t> </w:t>
      </w:r>
      <w:r>
        <w:rPr>
          <w:sz w:val="20"/>
        </w:rPr>
        <w:t>in</w:t>
      </w:r>
      <w:r>
        <w:rPr>
          <w:spacing w:val="8"/>
          <w:sz w:val="20"/>
        </w:rPr>
        <w:t> </w:t>
      </w:r>
      <w:r>
        <w:rPr>
          <w:rFonts w:ascii="Arial"/>
          <w:i/>
          <w:sz w:val="20"/>
        </w:rPr>
        <w:t>Glory</w:t>
      </w:r>
      <w:r>
        <w:rPr>
          <w:rFonts w:ascii="Arial"/>
          <w:i/>
          <w:spacing w:val="9"/>
          <w:sz w:val="20"/>
        </w:rPr>
        <w:t> </w:t>
      </w:r>
      <w:r>
        <w:rPr>
          <w:rFonts w:ascii="Arial"/>
          <w:i/>
          <w:sz w:val="20"/>
        </w:rPr>
        <w:t>Wealth</w:t>
      </w:r>
      <w:r>
        <w:rPr>
          <w:rFonts w:ascii="Arial"/>
          <w:i/>
          <w:spacing w:val="9"/>
          <w:sz w:val="20"/>
        </w:rPr>
        <w:t> </w:t>
      </w:r>
      <w:r>
        <w:rPr>
          <w:rFonts w:ascii="Arial"/>
          <w:i/>
          <w:sz w:val="20"/>
        </w:rPr>
        <w:t>Shipping</w:t>
      </w:r>
      <w:r>
        <w:rPr>
          <w:rFonts w:ascii="Arial"/>
          <w:i/>
          <w:spacing w:val="9"/>
          <w:sz w:val="20"/>
        </w:rPr>
        <w:t> </w:t>
      </w:r>
      <w:r>
        <w:rPr>
          <w:rFonts w:ascii="Arial"/>
          <w:i/>
          <w:sz w:val="20"/>
        </w:rPr>
        <w:t>Pte</w:t>
      </w:r>
    </w:p>
    <w:p>
      <w:pPr>
        <w:pStyle w:val="BodyText"/>
        <w:spacing w:line="235" w:lineRule="auto" w:before="119"/>
        <w:ind w:left="165" w:right="167"/>
        <w:jc w:val="both"/>
      </w:pPr>
      <w:r>
        <w:rPr>
          <w:rFonts w:ascii="Arial" w:hAnsi="Arial"/>
          <w:i/>
        </w:rPr>
        <w:t>Ltd v Flame SA</w:t>
      </w:r>
      <w:r>
        <w:rPr/>
        <w:t>, </w:t>
      </w:r>
      <w:r>
        <w:rPr>
          <w:color w:val="005DA1"/>
          <w:u w:val="single" w:color="005DA1"/>
          <w:vertAlign w:val="superscript"/>
        </w:rPr>
        <w:t>301</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40"/>
          <w:vertAlign w:val="baseline"/>
        </w:rPr>
        <w:t> </w:t>
      </w:r>
      <w:r>
        <w:rPr>
          <w:vertAlign w:val="baseline"/>
        </w:rPr>
        <w:t>where a contract between A and B would, if the contract had been </w:t>
      </w:r>
      <w:r>
        <w:rPr>
          <w:vertAlign w:val="baseline"/>
        </w:rPr>
        <w:t>duly </w:t>
      </w:r>
      <w:bookmarkStart w:name="_bookmark559" w:id="561"/>
      <w:bookmarkEnd w:id="561"/>
      <w:r>
        <w:rPr>
          <w:vertAlign w:val="baseline"/>
        </w:rPr>
        <w:t>performed</w:t>
      </w:r>
      <w:r>
        <w:rPr>
          <w:spacing w:val="13"/>
          <w:vertAlign w:val="baseline"/>
        </w:rPr>
        <w:t> </w:t>
      </w:r>
      <w:r>
        <w:rPr>
          <w:vertAlign w:val="baseline"/>
        </w:rPr>
        <w:t>by</w:t>
      </w:r>
      <w:r>
        <w:rPr>
          <w:spacing w:val="15"/>
          <w:vertAlign w:val="baseline"/>
        </w:rPr>
        <w:t> </w:t>
      </w:r>
      <w:r>
        <w:rPr>
          <w:vertAlign w:val="baseline"/>
        </w:rPr>
        <w:t>B,</w:t>
      </w:r>
      <w:r>
        <w:rPr>
          <w:spacing w:val="15"/>
          <w:vertAlign w:val="baseline"/>
        </w:rPr>
        <w:t> </w:t>
      </w:r>
      <w:r>
        <w:rPr>
          <w:vertAlign w:val="baseline"/>
        </w:rPr>
        <w:t>have</w:t>
      </w:r>
      <w:r>
        <w:rPr>
          <w:spacing w:val="15"/>
          <w:vertAlign w:val="baseline"/>
        </w:rPr>
        <w:t> </w:t>
      </w:r>
      <w:r>
        <w:rPr>
          <w:vertAlign w:val="baseline"/>
        </w:rPr>
        <w:t>resulted</w:t>
      </w:r>
      <w:r>
        <w:rPr>
          <w:spacing w:val="15"/>
          <w:vertAlign w:val="baseline"/>
        </w:rPr>
        <w:t> </w:t>
      </w:r>
      <w:r>
        <w:rPr>
          <w:vertAlign w:val="baseline"/>
        </w:rPr>
        <w:t>in</w:t>
      </w:r>
      <w:r>
        <w:rPr>
          <w:spacing w:val="15"/>
          <w:vertAlign w:val="baseline"/>
        </w:rPr>
        <w:t> </w:t>
      </w:r>
      <w:r>
        <w:rPr>
          <w:vertAlign w:val="baseline"/>
        </w:rPr>
        <w:t>B’s</w:t>
      </w:r>
      <w:r>
        <w:rPr>
          <w:spacing w:val="15"/>
          <w:vertAlign w:val="baseline"/>
        </w:rPr>
        <w:t> </w:t>
      </w:r>
      <w:r>
        <w:rPr>
          <w:vertAlign w:val="baseline"/>
        </w:rPr>
        <w:t>making</w:t>
      </w:r>
      <w:r>
        <w:rPr>
          <w:spacing w:val="15"/>
          <w:vertAlign w:val="baseline"/>
        </w:rPr>
        <w:t> </w:t>
      </w:r>
      <w:r>
        <w:rPr>
          <w:vertAlign w:val="baseline"/>
        </w:rPr>
        <w:t>payments</w:t>
      </w:r>
      <w:r>
        <w:rPr>
          <w:spacing w:val="15"/>
          <w:vertAlign w:val="baseline"/>
        </w:rPr>
        <w:t> </w:t>
      </w:r>
      <w:r>
        <w:rPr>
          <w:vertAlign w:val="baseline"/>
        </w:rPr>
        <w:t>to</w:t>
      </w:r>
      <w:r>
        <w:rPr>
          <w:spacing w:val="15"/>
          <w:vertAlign w:val="baseline"/>
        </w:rPr>
        <w:t> </w:t>
      </w:r>
      <w:r>
        <w:rPr>
          <w:vertAlign w:val="baseline"/>
        </w:rPr>
        <w:t>A,</w:t>
      </w:r>
      <w:r>
        <w:rPr>
          <w:spacing w:val="15"/>
          <w:vertAlign w:val="baseline"/>
        </w:rPr>
        <w:t> </w:t>
      </w:r>
      <w:r>
        <w:rPr>
          <w:vertAlign w:val="baseline"/>
        </w:rPr>
        <w:t>who,</w:t>
      </w:r>
      <w:r>
        <w:rPr>
          <w:spacing w:val="15"/>
          <w:vertAlign w:val="baseline"/>
        </w:rPr>
        <w:t> </w:t>
      </w:r>
      <w:r>
        <w:rPr>
          <w:vertAlign w:val="baseline"/>
        </w:rPr>
        <w:t>because</w:t>
      </w:r>
      <w:r>
        <w:rPr>
          <w:spacing w:val="15"/>
          <w:vertAlign w:val="baseline"/>
        </w:rPr>
        <w:t> </w:t>
      </w:r>
      <w:r>
        <w:rPr>
          <w:vertAlign w:val="baseline"/>
        </w:rPr>
        <w:t>it</w:t>
      </w:r>
      <w:r>
        <w:rPr>
          <w:spacing w:val="15"/>
          <w:vertAlign w:val="baseline"/>
        </w:rPr>
        <w:t> </w:t>
      </w:r>
      <w:r>
        <w:rPr>
          <w:vertAlign w:val="baseline"/>
        </w:rPr>
        <w:t>had</w:t>
      </w:r>
      <w:r>
        <w:rPr>
          <w:spacing w:val="15"/>
          <w:vertAlign w:val="baseline"/>
        </w:rPr>
        <w:t> </w:t>
      </w:r>
      <w:r>
        <w:rPr>
          <w:vertAlign w:val="baseline"/>
        </w:rPr>
        <w:t>become</w:t>
      </w:r>
      <w:r>
        <w:rPr>
          <w:spacing w:val="15"/>
          <w:vertAlign w:val="baseline"/>
        </w:rPr>
        <w:t> </w:t>
      </w:r>
      <w:r>
        <w:rPr>
          <w:spacing w:val="-2"/>
          <w:vertAlign w:val="baseline"/>
        </w:rPr>
        <w:t>insolvent</w:t>
      </w:r>
    </w:p>
    <w:p>
      <w:pPr>
        <w:pStyle w:val="BodyText"/>
        <w:spacing w:line="235" w:lineRule="auto" w:before="119"/>
        <w:ind w:left="164" w:right="167"/>
        <w:jc w:val="both"/>
      </w:pPr>
      <w:r>
        <w:rPr/>
        <w:t>and wished to “protect its monetary assets” </w:t>
      </w:r>
      <w:r>
        <w:rPr>
          <w:color w:val="005DA1"/>
          <w:u w:val="single" w:color="005DA1"/>
          <w:vertAlign w:val="superscript"/>
        </w:rPr>
        <w:t>302</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14"/>
          <w:vertAlign w:val="baseline"/>
        </w:rPr>
        <w:t> </w:t>
      </w:r>
      <w:r>
        <w:rPr>
          <w:vertAlign w:val="baseline"/>
        </w:rPr>
        <w:t>from its creditors, directed B to make those </w:t>
      </w:r>
      <w:bookmarkStart w:name="_bookmark560" w:id="562"/>
      <w:bookmarkEnd w:id="562"/>
      <w:r>
        <w:rPr>
          <w:vertAlign w:val="baseline"/>
        </w:rPr>
        <w:t>payments</w:t>
      </w:r>
      <w:r>
        <w:rPr>
          <w:spacing w:val="18"/>
          <w:vertAlign w:val="baseline"/>
        </w:rPr>
        <w:t> </w:t>
      </w:r>
      <w:r>
        <w:rPr>
          <w:vertAlign w:val="baseline"/>
        </w:rPr>
        <w:t>to</w:t>
      </w:r>
      <w:r>
        <w:rPr>
          <w:spacing w:val="18"/>
          <w:vertAlign w:val="baseline"/>
        </w:rPr>
        <w:t> </w:t>
      </w:r>
      <w:r>
        <w:rPr>
          <w:vertAlign w:val="baseline"/>
        </w:rPr>
        <w:t>two</w:t>
      </w:r>
      <w:r>
        <w:rPr>
          <w:spacing w:val="18"/>
          <w:vertAlign w:val="baseline"/>
        </w:rPr>
        <w:t> </w:t>
      </w:r>
      <w:r>
        <w:rPr>
          <w:vertAlign w:val="baseline"/>
        </w:rPr>
        <w:t>companies</w:t>
      </w:r>
      <w:r>
        <w:rPr>
          <w:spacing w:val="18"/>
          <w:vertAlign w:val="baseline"/>
        </w:rPr>
        <w:t> </w:t>
      </w:r>
      <w:r>
        <w:rPr>
          <w:vertAlign w:val="baseline"/>
        </w:rPr>
        <w:t>(C1</w:t>
      </w:r>
      <w:r>
        <w:rPr>
          <w:spacing w:val="18"/>
          <w:vertAlign w:val="baseline"/>
        </w:rPr>
        <w:t> </w:t>
      </w:r>
      <w:r>
        <w:rPr>
          <w:vertAlign w:val="baseline"/>
        </w:rPr>
        <w:t>and</w:t>
      </w:r>
      <w:r>
        <w:rPr>
          <w:spacing w:val="18"/>
          <w:vertAlign w:val="baseline"/>
        </w:rPr>
        <w:t> </w:t>
      </w:r>
      <w:r>
        <w:rPr>
          <w:vertAlign w:val="baseline"/>
        </w:rPr>
        <w:t>C2)</w:t>
      </w:r>
      <w:r>
        <w:rPr>
          <w:spacing w:val="18"/>
          <w:vertAlign w:val="baseline"/>
        </w:rPr>
        <w:t> </w:t>
      </w:r>
      <w:r>
        <w:rPr>
          <w:vertAlign w:val="baseline"/>
        </w:rPr>
        <w:t>which</w:t>
      </w:r>
      <w:r>
        <w:rPr>
          <w:spacing w:val="18"/>
          <w:vertAlign w:val="baseline"/>
        </w:rPr>
        <w:t> </w:t>
      </w:r>
      <w:r>
        <w:rPr>
          <w:vertAlign w:val="baseline"/>
        </w:rPr>
        <w:t>“were</w:t>
      </w:r>
      <w:r>
        <w:rPr>
          <w:spacing w:val="18"/>
          <w:vertAlign w:val="baseline"/>
        </w:rPr>
        <w:t> </w:t>
      </w:r>
      <w:r>
        <w:rPr>
          <w:vertAlign w:val="baseline"/>
        </w:rPr>
        <w:t>not</w:t>
      </w:r>
      <w:r>
        <w:rPr>
          <w:spacing w:val="18"/>
          <w:vertAlign w:val="baseline"/>
        </w:rPr>
        <w:t> </w:t>
      </w:r>
      <w:r>
        <w:rPr>
          <w:vertAlign w:val="baseline"/>
        </w:rPr>
        <w:t>acting</w:t>
      </w:r>
      <w:r>
        <w:rPr>
          <w:spacing w:val="18"/>
          <w:vertAlign w:val="baseline"/>
        </w:rPr>
        <w:t> </w:t>
      </w:r>
      <w:r>
        <w:rPr>
          <w:vertAlign w:val="baseline"/>
        </w:rPr>
        <w:t>as</w:t>
      </w:r>
      <w:r>
        <w:rPr>
          <w:spacing w:val="18"/>
          <w:vertAlign w:val="baseline"/>
        </w:rPr>
        <w:t> </w:t>
      </w:r>
      <w:r>
        <w:rPr>
          <w:vertAlign w:val="baseline"/>
        </w:rPr>
        <w:t>agents</w:t>
      </w:r>
      <w:r>
        <w:rPr>
          <w:spacing w:val="18"/>
          <w:vertAlign w:val="baseline"/>
        </w:rPr>
        <w:t> </w:t>
      </w:r>
      <w:r>
        <w:rPr>
          <w:vertAlign w:val="baseline"/>
        </w:rPr>
        <w:t>of</w:t>
      </w:r>
      <w:r>
        <w:rPr>
          <w:spacing w:val="18"/>
          <w:vertAlign w:val="baseline"/>
        </w:rPr>
        <w:t> </w:t>
      </w:r>
      <w:r>
        <w:rPr>
          <w:vertAlign w:val="baseline"/>
        </w:rPr>
        <w:t>[A]</w:t>
      </w:r>
      <w:r>
        <w:rPr>
          <w:spacing w:val="18"/>
          <w:vertAlign w:val="baseline"/>
        </w:rPr>
        <w:t> </w:t>
      </w:r>
      <w:r>
        <w:rPr>
          <w:vertAlign w:val="baseline"/>
        </w:rPr>
        <w:t>and</w:t>
      </w:r>
      <w:r>
        <w:rPr>
          <w:spacing w:val="18"/>
          <w:vertAlign w:val="baseline"/>
        </w:rPr>
        <w:t> </w:t>
      </w:r>
      <w:r>
        <w:rPr>
          <w:vertAlign w:val="baseline"/>
        </w:rPr>
        <w:t>so</w:t>
      </w:r>
      <w:r>
        <w:rPr>
          <w:spacing w:val="18"/>
          <w:vertAlign w:val="baseline"/>
        </w:rPr>
        <w:t> </w:t>
      </w:r>
      <w:r>
        <w:rPr>
          <w:vertAlign w:val="baseline"/>
        </w:rPr>
        <w:t>would</w:t>
      </w:r>
      <w:r>
        <w:rPr>
          <w:spacing w:val="18"/>
          <w:vertAlign w:val="baseline"/>
        </w:rPr>
        <w:t> </w:t>
      </w:r>
      <w:r>
        <w:rPr>
          <w:spacing w:val="-5"/>
          <w:vertAlign w:val="baseline"/>
        </w:rPr>
        <w:t>not</w:t>
      </w:r>
    </w:p>
    <w:p>
      <w:pPr>
        <w:pStyle w:val="BodyText"/>
        <w:spacing w:line="235" w:lineRule="auto" w:before="120"/>
        <w:ind w:left="165" w:right="167"/>
        <w:jc w:val="both"/>
      </w:pPr>
      <w:r>
        <w:rPr/>
        <w:t>have</w:t>
      </w:r>
      <w:r>
        <w:rPr>
          <w:spacing w:val="-1"/>
        </w:rPr>
        <w:t> </w:t>
      </w:r>
      <w:r>
        <w:rPr/>
        <w:t>held</w:t>
      </w:r>
      <w:r>
        <w:rPr>
          <w:spacing w:val="-1"/>
        </w:rPr>
        <w:t> </w:t>
      </w:r>
      <w:r>
        <w:rPr/>
        <w:t>the</w:t>
      </w:r>
      <w:r>
        <w:rPr>
          <w:spacing w:val="-1"/>
        </w:rPr>
        <w:t> </w:t>
      </w:r>
      <w:r>
        <w:rPr/>
        <w:t>[moneys]</w:t>
      </w:r>
      <w:r>
        <w:rPr>
          <w:spacing w:val="-1"/>
        </w:rPr>
        <w:t> </w:t>
      </w:r>
      <w:r>
        <w:rPr/>
        <w:t>on</w:t>
      </w:r>
      <w:r>
        <w:rPr>
          <w:spacing w:val="-1"/>
        </w:rPr>
        <w:t> </w:t>
      </w:r>
      <w:r>
        <w:rPr/>
        <w:t>behalf</w:t>
      </w:r>
      <w:r>
        <w:rPr>
          <w:spacing w:val="-1"/>
        </w:rPr>
        <w:t> </w:t>
      </w:r>
      <w:r>
        <w:rPr/>
        <w:t>of</w:t>
      </w:r>
      <w:r>
        <w:rPr>
          <w:spacing w:val="-1"/>
        </w:rPr>
        <w:t> </w:t>
      </w:r>
      <w:r>
        <w:rPr/>
        <w:t>[A]”.</w:t>
      </w:r>
      <w:r>
        <w:rPr>
          <w:spacing w:val="-1"/>
        </w:rPr>
        <w:t> </w:t>
      </w:r>
      <w:r>
        <w:rPr>
          <w:color w:val="005DA1"/>
          <w:u w:val="single" w:color="005DA1"/>
          <w:vertAlign w:val="superscript"/>
        </w:rPr>
        <w:t>303</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vertAlign w:val="baseline"/>
        </w:rPr>
        <w:t> </w:t>
      </w:r>
      <w:r>
        <w:rPr>
          <w:vertAlign w:val="baseline"/>
        </w:rPr>
        <w:t>In</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between</w:t>
      </w:r>
      <w:r>
        <w:rPr>
          <w:spacing w:val="-1"/>
          <w:vertAlign w:val="baseline"/>
        </w:rPr>
        <w:t> </w:t>
      </w:r>
      <w:r>
        <w:rPr>
          <w:vertAlign w:val="baseline"/>
        </w:rPr>
        <w:t>A</w:t>
      </w:r>
      <w:r>
        <w:rPr>
          <w:spacing w:val="-1"/>
          <w:vertAlign w:val="baseline"/>
        </w:rPr>
        <w:t> </w:t>
      </w:r>
      <w:r>
        <w:rPr>
          <w:vertAlign w:val="baseline"/>
        </w:rPr>
        <w:t>and</w:t>
      </w:r>
      <w:r>
        <w:rPr>
          <w:spacing w:val="-1"/>
          <w:vertAlign w:val="baseline"/>
        </w:rPr>
        <w:t> </w:t>
      </w:r>
      <w:r>
        <w:rPr>
          <w:vertAlign w:val="baseline"/>
        </w:rPr>
        <w:t>B,</w:t>
      </w:r>
      <w:r>
        <w:rPr>
          <w:spacing w:val="-1"/>
          <w:vertAlign w:val="baseline"/>
        </w:rPr>
        <w:t> </w:t>
      </w:r>
      <w:r>
        <w:rPr>
          <w:vertAlign w:val="baseline"/>
        </w:rPr>
        <w:t>B</w:t>
      </w:r>
      <w:r>
        <w:rPr>
          <w:spacing w:val="-1"/>
          <w:vertAlign w:val="baseline"/>
        </w:rPr>
        <w:t> </w:t>
      </w:r>
      <w:r>
        <w:rPr>
          <w:vertAlign w:val="baseline"/>
        </w:rPr>
        <w:t>failed</w:t>
      </w:r>
      <w:r>
        <w:rPr>
          <w:spacing w:val="-1"/>
          <w:vertAlign w:val="baseline"/>
        </w:rPr>
        <w:t> </w:t>
      </w:r>
      <w:r>
        <w:rPr>
          <w:vertAlign w:val="baseline"/>
        </w:rPr>
        <w:t>to </w:t>
      </w:r>
      <w:bookmarkStart w:name="_bookmark561" w:id="563"/>
      <w:bookmarkEnd w:id="563"/>
      <w:r>
        <w:rPr>
          <w:vertAlign w:val="baseline"/>
        </w:rPr>
        <w:t>make</w:t>
      </w:r>
      <w:r>
        <w:rPr>
          <w:spacing w:val="11"/>
          <w:vertAlign w:val="baseline"/>
        </w:rPr>
        <w:t> </w:t>
      </w:r>
      <w:r>
        <w:rPr>
          <w:vertAlign w:val="baseline"/>
        </w:rPr>
        <w:t>the</w:t>
      </w:r>
      <w:r>
        <w:rPr>
          <w:spacing w:val="11"/>
          <w:vertAlign w:val="baseline"/>
        </w:rPr>
        <w:t> </w:t>
      </w:r>
      <w:r>
        <w:rPr>
          <w:vertAlign w:val="baseline"/>
        </w:rPr>
        <w:t>stipulated</w:t>
      </w:r>
      <w:r>
        <w:rPr>
          <w:spacing w:val="11"/>
          <w:vertAlign w:val="baseline"/>
        </w:rPr>
        <w:t> </w:t>
      </w:r>
      <w:r>
        <w:rPr>
          <w:vertAlign w:val="baseline"/>
        </w:rPr>
        <w:t>payments;</w:t>
      </w:r>
      <w:r>
        <w:rPr>
          <w:spacing w:val="11"/>
          <w:vertAlign w:val="baseline"/>
        </w:rPr>
        <w:t> </w:t>
      </w:r>
      <w:r>
        <w:rPr>
          <w:vertAlign w:val="baseline"/>
        </w:rPr>
        <w:t>and</w:t>
      </w:r>
      <w:r>
        <w:rPr>
          <w:spacing w:val="11"/>
          <w:vertAlign w:val="baseline"/>
        </w:rPr>
        <w:t> </w:t>
      </w:r>
      <w:r>
        <w:rPr>
          <w:vertAlign w:val="baseline"/>
        </w:rPr>
        <w:t>Teare</w:t>
      </w:r>
      <w:r>
        <w:rPr>
          <w:spacing w:val="11"/>
          <w:vertAlign w:val="baseline"/>
        </w:rPr>
        <w:t> </w:t>
      </w:r>
      <w:r>
        <w:rPr>
          <w:vertAlign w:val="baseline"/>
        </w:rPr>
        <w:t>J.</w:t>
      </w:r>
      <w:r>
        <w:rPr>
          <w:spacing w:val="11"/>
          <w:vertAlign w:val="baseline"/>
        </w:rPr>
        <w:t> </w:t>
      </w:r>
      <w:r>
        <w:rPr>
          <w:vertAlign w:val="baseline"/>
        </w:rPr>
        <w:t>held</w:t>
      </w:r>
      <w:r>
        <w:rPr>
          <w:spacing w:val="11"/>
          <w:vertAlign w:val="baseline"/>
        </w:rPr>
        <w:t> </w:t>
      </w:r>
      <w:r>
        <w:rPr>
          <w:vertAlign w:val="baseline"/>
        </w:rPr>
        <w:t>that</w:t>
      </w:r>
      <w:r>
        <w:rPr>
          <w:spacing w:val="11"/>
          <w:vertAlign w:val="baseline"/>
        </w:rPr>
        <w:t> </w:t>
      </w:r>
      <w:r>
        <w:rPr>
          <w:vertAlign w:val="baseline"/>
        </w:rPr>
        <w:t>this</w:t>
      </w:r>
      <w:r>
        <w:rPr>
          <w:spacing w:val="11"/>
          <w:vertAlign w:val="baseline"/>
        </w:rPr>
        <w:t> </w:t>
      </w:r>
      <w:r>
        <w:rPr>
          <w:vertAlign w:val="baseline"/>
        </w:rPr>
        <w:t>breach</w:t>
      </w:r>
      <w:r>
        <w:rPr>
          <w:spacing w:val="11"/>
          <w:vertAlign w:val="baseline"/>
        </w:rPr>
        <w:t> </w:t>
      </w:r>
      <w:r>
        <w:rPr>
          <w:vertAlign w:val="baseline"/>
        </w:rPr>
        <w:t>had</w:t>
      </w:r>
      <w:r>
        <w:rPr>
          <w:spacing w:val="11"/>
          <w:vertAlign w:val="baseline"/>
        </w:rPr>
        <w:t> </w:t>
      </w:r>
      <w:r>
        <w:rPr>
          <w:vertAlign w:val="baseline"/>
        </w:rPr>
        <w:t>caused</w:t>
      </w:r>
      <w:r>
        <w:rPr>
          <w:spacing w:val="11"/>
          <w:vertAlign w:val="baseline"/>
        </w:rPr>
        <w:t> </w:t>
      </w:r>
      <w:r>
        <w:rPr>
          <w:vertAlign w:val="baseline"/>
        </w:rPr>
        <w:t>a</w:t>
      </w:r>
      <w:r>
        <w:rPr>
          <w:spacing w:val="11"/>
          <w:vertAlign w:val="baseline"/>
        </w:rPr>
        <w:t> </w:t>
      </w:r>
      <w:r>
        <w:rPr>
          <w:vertAlign w:val="baseline"/>
        </w:rPr>
        <w:t>loss</w:t>
      </w:r>
      <w:r>
        <w:rPr>
          <w:spacing w:val="11"/>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of</w:t>
      </w:r>
      <w:r>
        <w:rPr>
          <w:spacing w:val="11"/>
          <w:vertAlign w:val="baseline"/>
        </w:rPr>
        <w:t> </w:t>
      </w:r>
      <w:r>
        <w:rPr>
          <w:vertAlign w:val="baseline"/>
        </w:rPr>
        <w:t>(as</w:t>
      </w:r>
      <w:r>
        <w:rPr>
          <w:spacing w:val="11"/>
          <w:vertAlign w:val="baseline"/>
        </w:rPr>
        <w:t> </w:t>
      </w:r>
      <w:r>
        <w:rPr>
          <w:spacing w:val="-5"/>
          <w:vertAlign w:val="baseline"/>
        </w:rPr>
        <w:t>was</w:t>
      </w:r>
    </w:p>
    <w:p>
      <w:pPr>
        <w:pStyle w:val="BodyText"/>
        <w:spacing w:line="340" w:lineRule="atLeast" w:before="5"/>
        <w:ind w:left="165" w:right="168"/>
        <w:jc w:val="both"/>
      </w:pPr>
      <w:bookmarkStart w:name="_bookmark562" w:id="564"/>
      <w:bookmarkEnd w:id="564"/>
      <w:r>
        <w:rPr/>
      </w:r>
      <w:r>
        <w:rPr/>
        <w:t>found by the arbitrators) more than USD 3 million. </w:t>
      </w:r>
      <w:r>
        <w:rPr>
          <w:color w:val="005DA1"/>
          <w:u w:val="single" w:color="005DA1"/>
          <w:vertAlign w:val="superscript"/>
        </w:rPr>
        <w:t>304</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8"/>
          <w:vertAlign w:val="baseline"/>
        </w:rPr>
        <w:t> </w:t>
      </w:r>
      <w:r>
        <w:rPr>
          <w:vertAlign w:val="baseline"/>
        </w:rPr>
        <w:t>The reason for this conclusion was that, but for B’s breach, A would have been “entitled to receive the [payments] … and to dispose of [them]” </w:t>
      </w:r>
      <w:r>
        <w:rPr>
          <w:color w:val="005DA1"/>
          <w:u w:val="single" w:color="005DA1"/>
          <w:vertAlign w:val="superscript"/>
        </w:rPr>
        <w:t>305</w:t>
      </w:r>
    </w:p>
    <w:p>
      <w:pPr>
        <w:pStyle w:val="BodyText"/>
        <w:spacing w:line="235" w:lineRule="auto" w:before="4"/>
        <w:ind w:left="165" w:right="167"/>
        <w:jc w:val="both"/>
      </w:pPr>
      <w:r>
        <w:rPr>
          <w:position w:val="-2"/>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and the breach had “deprived [A] of the right to receive and dispose of [the payments]”. Just as it would not matter to the assessment of loss if [A] had intended to give the [payments] away once it</w:t>
      </w:r>
      <w:r>
        <w:rPr>
          <w:spacing w:val="40"/>
        </w:rPr>
        <w:t> </w:t>
      </w:r>
      <w:bookmarkStart w:name="_bookmark563" w:id="565"/>
      <w:bookmarkEnd w:id="565"/>
      <w:r>
        <w:rPr/>
        <w:t>had</w:t>
      </w:r>
      <w:r>
        <w:rPr>
          <w:spacing w:val="22"/>
        </w:rPr>
        <w:t> </w:t>
      </w:r>
      <w:r>
        <w:rPr/>
        <w:t>received</w:t>
      </w:r>
      <w:r>
        <w:rPr>
          <w:spacing w:val="22"/>
        </w:rPr>
        <w:t> </w:t>
      </w:r>
      <w:r>
        <w:rPr/>
        <w:t>[them],</w:t>
      </w:r>
      <w:r>
        <w:rPr>
          <w:spacing w:val="22"/>
        </w:rPr>
        <w:t> </w:t>
      </w:r>
      <w:r>
        <w:rPr/>
        <w:t>so</w:t>
      </w:r>
      <w:r>
        <w:rPr>
          <w:spacing w:val="22"/>
        </w:rPr>
        <w:t> </w:t>
      </w:r>
      <w:r>
        <w:rPr/>
        <w:t>it</w:t>
      </w:r>
      <w:r>
        <w:rPr>
          <w:spacing w:val="22"/>
        </w:rPr>
        <w:t> </w:t>
      </w:r>
      <w:r>
        <w:rPr/>
        <w:t>matters</w:t>
      </w:r>
      <w:r>
        <w:rPr>
          <w:spacing w:val="22"/>
        </w:rPr>
        <w:t> </w:t>
      </w:r>
      <w:r>
        <w:rPr/>
        <w:t>not</w:t>
      </w:r>
      <w:r>
        <w:rPr>
          <w:spacing w:val="22"/>
        </w:rPr>
        <w:t> </w:t>
      </w:r>
      <w:r>
        <w:rPr/>
        <w:t>that</w:t>
      </w:r>
      <w:r>
        <w:rPr>
          <w:spacing w:val="22"/>
        </w:rPr>
        <w:t> </w:t>
      </w:r>
      <w:r>
        <w:rPr/>
        <w:t>[A]</w:t>
      </w:r>
      <w:r>
        <w:rPr>
          <w:spacing w:val="22"/>
        </w:rPr>
        <w:t> </w:t>
      </w:r>
      <w:r>
        <w:rPr/>
        <w:t>had</w:t>
      </w:r>
      <w:r>
        <w:rPr>
          <w:spacing w:val="22"/>
        </w:rPr>
        <w:t> </w:t>
      </w:r>
      <w:r>
        <w:rPr/>
        <w:t>previously</w:t>
      </w:r>
      <w:r>
        <w:rPr>
          <w:spacing w:val="22"/>
        </w:rPr>
        <w:t> </w:t>
      </w:r>
      <w:r>
        <w:rPr/>
        <w:t>decided</w:t>
      </w:r>
      <w:r>
        <w:rPr>
          <w:spacing w:val="22"/>
        </w:rPr>
        <w:t> </w:t>
      </w:r>
      <w:r>
        <w:rPr/>
        <w:t>that</w:t>
      </w:r>
      <w:r>
        <w:rPr>
          <w:spacing w:val="22"/>
        </w:rPr>
        <w:t> </w:t>
      </w:r>
      <w:r>
        <w:rPr/>
        <w:t>the</w:t>
      </w:r>
      <w:r>
        <w:rPr>
          <w:spacing w:val="22"/>
        </w:rPr>
        <w:t> </w:t>
      </w:r>
      <w:r>
        <w:rPr/>
        <w:t>payments</w:t>
      </w:r>
      <w:r>
        <w:rPr>
          <w:spacing w:val="22"/>
        </w:rPr>
        <w:t> </w:t>
      </w:r>
      <w:r>
        <w:rPr/>
        <w:t>should</w:t>
      </w:r>
      <w:r>
        <w:rPr>
          <w:spacing w:val="22"/>
        </w:rPr>
        <w:t> </w:t>
      </w:r>
      <w:r>
        <w:rPr>
          <w:spacing w:val="-7"/>
        </w:rPr>
        <w:t>be</w:t>
      </w:r>
    </w:p>
    <w:p>
      <w:pPr>
        <w:pStyle w:val="BodyText"/>
        <w:spacing w:before="115"/>
        <w:ind w:left="165"/>
        <w:jc w:val="both"/>
        <w:rPr>
          <w:position w:val="-2"/>
        </w:rPr>
      </w:pPr>
      <w:r>
        <w:rPr/>
        <w:t>[made to C1 and C2]”. </w:t>
      </w:r>
      <w:r>
        <w:rPr>
          <w:color w:val="005DA1"/>
          <w:u w:val="single" w:color="005DA1"/>
          <w:vertAlign w:val="superscript"/>
        </w:rPr>
        <w:t>306</w:t>
      </w:r>
      <w:r>
        <w:rPr>
          <w:color w:val="005DA1"/>
          <w:spacing w:val="80"/>
          <w:w w:val="150"/>
          <w:vertAlign w:val="baseline"/>
        </w:rPr>
        <w:t> </w:t>
      </w:r>
      <w:r>
        <w:rPr>
          <w:color w:val="005DA1"/>
          <w:position w:val="-2"/>
          <w:vertAlign w:val="baseline"/>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205"/>
      </w:pPr>
    </w:p>
    <w:p>
      <w:pPr>
        <w:pStyle w:val="BodyText"/>
        <w:ind w:left="165"/>
        <w:jc w:val="both"/>
        <w:rPr>
          <w:rFonts w:ascii="Arial"/>
          <w:i/>
        </w:rPr>
      </w:pPr>
      <w:r>
        <w:rPr>
          <w:position w:val="-2"/>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0"/>
        </w:rPr>
        <w:t> </w:t>
      </w:r>
      <w:bookmarkStart w:name="_bookmark564" w:id="566"/>
      <w:bookmarkEnd w:id="566"/>
      <w:r>
        <w:rPr>
          <w:rFonts w:ascii="Times New Roman"/>
          <w:spacing w:val="20"/>
        </w:rPr>
      </w:r>
      <w:r>
        <w:rPr/>
        <w:t>The</w:t>
      </w:r>
      <w:r>
        <w:rPr>
          <w:spacing w:val="16"/>
        </w:rPr>
        <w:t> </w:t>
      </w:r>
      <w:r>
        <w:rPr/>
        <w:t>question</w:t>
      </w:r>
      <w:r>
        <w:rPr>
          <w:spacing w:val="16"/>
        </w:rPr>
        <w:t> </w:t>
      </w:r>
      <w:r>
        <w:rPr/>
        <w:t>whether</w:t>
      </w:r>
      <w:r>
        <w:rPr>
          <w:spacing w:val="16"/>
        </w:rPr>
        <w:t> </w:t>
      </w:r>
      <w:r>
        <w:rPr/>
        <w:t>the</w:t>
      </w:r>
      <w:r>
        <w:rPr>
          <w:spacing w:val="16"/>
        </w:rPr>
        <w:t> </w:t>
      </w:r>
      <w:r>
        <w:rPr/>
        <w:t>loss</w:t>
      </w:r>
      <w:r>
        <w:rPr>
          <w:spacing w:val="16"/>
        </w:rPr>
        <w:t> </w:t>
      </w:r>
      <w:r>
        <w:rPr/>
        <w:t>had</w:t>
      </w:r>
      <w:r>
        <w:rPr>
          <w:spacing w:val="16"/>
        </w:rPr>
        <w:t> </w:t>
      </w:r>
      <w:r>
        <w:rPr/>
        <w:t>been</w:t>
      </w:r>
      <w:r>
        <w:rPr>
          <w:spacing w:val="16"/>
        </w:rPr>
        <w:t> </w:t>
      </w:r>
      <w:r>
        <w:rPr/>
        <w:t>suffered</w:t>
      </w:r>
      <w:r>
        <w:rPr>
          <w:spacing w:val="16"/>
        </w:rPr>
        <w:t> </w:t>
      </w:r>
      <w:r>
        <w:rPr/>
        <w:t>by</w:t>
      </w:r>
      <w:r>
        <w:rPr>
          <w:spacing w:val="16"/>
        </w:rPr>
        <w:t> </w:t>
      </w:r>
      <w:r>
        <w:rPr/>
        <w:t>the</w:t>
      </w:r>
      <w:r>
        <w:rPr>
          <w:spacing w:val="16"/>
        </w:rPr>
        <w:t> </w:t>
      </w:r>
      <w:r>
        <w:rPr/>
        <w:t>promisee</w:t>
      </w:r>
      <w:r>
        <w:rPr>
          <w:spacing w:val="16"/>
        </w:rPr>
        <w:t> </w:t>
      </w:r>
      <w:r>
        <w:rPr/>
        <w:t>or</w:t>
      </w:r>
      <w:r>
        <w:rPr>
          <w:spacing w:val="16"/>
        </w:rPr>
        <w:t> </w:t>
      </w:r>
      <w:r>
        <w:rPr/>
        <w:t>by</w:t>
      </w:r>
      <w:r>
        <w:rPr>
          <w:spacing w:val="16"/>
        </w:rPr>
        <w:t> </w:t>
      </w:r>
      <w:r>
        <w:rPr/>
        <w:t>a</w:t>
      </w:r>
      <w:r>
        <w:rPr>
          <w:spacing w:val="16"/>
        </w:rPr>
        <w:t> </w:t>
      </w:r>
      <w:r>
        <w:rPr/>
        <w:t>third</w:t>
      </w:r>
      <w:r>
        <w:rPr>
          <w:spacing w:val="16"/>
        </w:rPr>
        <w:t> </w:t>
      </w:r>
      <w:r>
        <w:rPr/>
        <w:t>party</w:t>
      </w:r>
      <w:r>
        <w:rPr>
          <w:spacing w:val="16"/>
        </w:rPr>
        <w:t> </w:t>
      </w:r>
      <w:r>
        <w:rPr/>
        <w:t>arose</w:t>
      </w:r>
      <w:r>
        <w:rPr>
          <w:spacing w:val="16"/>
        </w:rPr>
        <w:t> </w:t>
      </w:r>
      <w:r>
        <w:rPr/>
        <w:t>in</w:t>
      </w:r>
      <w:r>
        <w:rPr>
          <w:spacing w:val="14"/>
        </w:rPr>
        <w:t> </w:t>
      </w:r>
      <w:r>
        <w:rPr>
          <w:rFonts w:ascii="Arial"/>
          <w:i/>
        </w:rPr>
        <w:t>De</w:t>
      </w:r>
    </w:p>
    <w:p>
      <w:pPr>
        <w:pStyle w:val="BodyText"/>
        <w:spacing w:line="235" w:lineRule="auto" w:before="119"/>
        <w:ind w:left="164" w:right="167"/>
        <w:jc w:val="both"/>
      </w:pPr>
      <w:r>
        <w:rPr>
          <w:rFonts w:ascii="Arial" w:hAnsi="Arial"/>
          <w:i/>
        </w:rPr>
        <w:t>Jongh Weill v Mean Fiddler Holdings </w:t>
      </w:r>
      <w:r>
        <w:rPr>
          <w:color w:val="005DA1"/>
          <w:u w:val="single" w:color="005DA1"/>
          <w:vertAlign w:val="superscript"/>
        </w:rPr>
        <w:t>307</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36"/>
          <w:vertAlign w:val="baseline"/>
        </w:rPr>
        <w:t> </w:t>
      </w:r>
      <w:r>
        <w:rPr>
          <w:vertAlign w:val="baseline"/>
        </w:rPr>
        <w:t>where the claimant had been engaged by the </w:t>
      </w:r>
      <w:r>
        <w:rPr>
          <w:vertAlign w:val="baseline"/>
        </w:rPr>
        <w:t>defendant company</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financial</w:t>
      </w:r>
      <w:r>
        <w:rPr>
          <w:spacing w:val="-1"/>
          <w:vertAlign w:val="baseline"/>
        </w:rPr>
        <w:t> </w:t>
      </w:r>
      <w:r>
        <w:rPr>
          <w:vertAlign w:val="baseline"/>
        </w:rPr>
        <w:t>consultant.</w:t>
      </w:r>
      <w:r>
        <w:rPr>
          <w:spacing w:val="-1"/>
          <w:vertAlign w:val="baseline"/>
        </w:rPr>
        <w:t> </w:t>
      </w:r>
      <w:r>
        <w:rPr>
          <w:vertAlign w:val="baseline"/>
        </w:rPr>
        <w:t>He</w:t>
      </w:r>
      <w:r>
        <w:rPr>
          <w:spacing w:val="-1"/>
          <w:vertAlign w:val="baseline"/>
        </w:rPr>
        <w:t> </w:t>
      </w:r>
      <w:r>
        <w:rPr>
          <w:vertAlign w:val="baseline"/>
        </w:rPr>
        <w:t>was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remunerated</w:t>
      </w:r>
      <w:r>
        <w:rPr>
          <w:spacing w:val="-1"/>
          <w:vertAlign w:val="baseline"/>
        </w:rPr>
        <w:t> </w:t>
      </w:r>
      <w:r>
        <w:rPr>
          <w:vertAlign w:val="baseline"/>
        </w:rPr>
        <w:t>partly</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specified</w:t>
      </w:r>
      <w:r>
        <w:rPr>
          <w:spacing w:val="-1"/>
          <w:vertAlign w:val="baseline"/>
        </w:rPr>
        <w:t> </w:t>
      </w:r>
      <w:r>
        <w:rPr>
          <w:vertAlign w:val="baseline"/>
        </w:rPr>
        <w:t>fee</w:t>
      </w:r>
      <w:r>
        <w:rPr>
          <w:spacing w:val="-1"/>
          <w:vertAlign w:val="baseline"/>
        </w:rPr>
        <w:t> </w:t>
      </w:r>
      <w:r>
        <w:rPr>
          <w:vertAlign w:val="baseline"/>
        </w:rPr>
        <w:t>but</w:t>
      </w:r>
      <w:r>
        <w:rPr>
          <w:spacing w:val="-1"/>
          <w:vertAlign w:val="baseline"/>
        </w:rPr>
        <w:t> </w:t>
      </w:r>
      <w:r>
        <w:rPr>
          <w:vertAlign w:val="baseline"/>
        </w:rPr>
        <w:t>also</w:t>
      </w:r>
      <w:r>
        <w:rPr>
          <w:spacing w:val="-1"/>
          <w:vertAlign w:val="baseline"/>
        </w:rPr>
        <w:t> </w:t>
      </w:r>
      <w:r>
        <w:rPr>
          <w:vertAlign w:val="baseline"/>
        </w:rPr>
        <w:t>on</w:t>
      </w:r>
      <w:r>
        <w:rPr>
          <w:spacing w:val="-1"/>
          <w:vertAlign w:val="baseline"/>
        </w:rPr>
        <w:t> </w:t>
      </w:r>
      <w:r>
        <w:rPr>
          <w:vertAlign w:val="baseline"/>
        </w:rPr>
        <w:t>the </w:t>
      </w:r>
      <w:bookmarkStart w:name="_bookmark565" w:id="567"/>
      <w:bookmarkEnd w:id="567"/>
      <w:r>
        <w:rPr>
          <w:vertAlign w:val="baseline"/>
        </w:rPr>
        <w:t>terms</w:t>
      </w:r>
      <w:r>
        <w:rPr>
          <w:spacing w:val="25"/>
          <w:vertAlign w:val="baseline"/>
        </w:rPr>
        <w:t> </w:t>
      </w:r>
      <w:r>
        <w:rPr>
          <w:vertAlign w:val="baseline"/>
        </w:rPr>
        <w:t>that</w:t>
      </w:r>
      <w:r>
        <w:rPr>
          <w:spacing w:val="27"/>
          <w:vertAlign w:val="baseline"/>
        </w:rPr>
        <w:t> </w:t>
      </w:r>
      <w:r>
        <w:rPr>
          <w:vertAlign w:val="baseline"/>
        </w:rPr>
        <w:t>“warrants</w:t>
      </w:r>
      <w:r>
        <w:rPr>
          <w:spacing w:val="27"/>
          <w:vertAlign w:val="baseline"/>
        </w:rPr>
        <w:t> </w:t>
      </w:r>
      <w:r>
        <w:rPr>
          <w:vertAlign w:val="baseline"/>
        </w:rPr>
        <w:t>to</w:t>
      </w:r>
      <w:r>
        <w:rPr>
          <w:spacing w:val="27"/>
          <w:vertAlign w:val="baseline"/>
        </w:rPr>
        <w:t> </w:t>
      </w:r>
      <w:r>
        <w:rPr>
          <w:vertAlign w:val="baseline"/>
        </w:rPr>
        <w:t>purchase</w:t>
      </w:r>
      <w:r>
        <w:rPr>
          <w:spacing w:val="27"/>
          <w:vertAlign w:val="baseline"/>
        </w:rPr>
        <w:t> </w:t>
      </w:r>
      <w:r>
        <w:rPr>
          <w:vertAlign w:val="baseline"/>
        </w:rPr>
        <w:t>shares</w:t>
      </w:r>
      <w:r>
        <w:rPr>
          <w:spacing w:val="27"/>
          <w:vertAlign w:val="baseline"/>
        </w:rPr>
        <w:t> </w:t>
      </w:r>
      <w:r>
        <w:rPr>
          <w:vertAlign w:val="baseline"/>
        </w:rPr>
        <w:t>in</w:t>
      </w:r>
      <w:r>
        <w:rPr>
          <w:spacing w:val="27"/>
          <w:vertAlign w:val="baseline"/>
        </w:rPr>
        <w:t> </w:t>
      </w:r>
      <w:r>
        <w:rPr>
          <w:vertAlign w:val="baseline"/>
        </w:rPr>
        <w:t>the</w:t>
      </w:r>
      <w:r>
        <w:rPr>
          <w:spacing w:val="27"/>
          <w:vertAlign w:val="baseline"/>
        </w:rPr>
        <w:t> </w:t>
      </w:r>
      <w:r>
        <w:rPr>
          <w:vertAlign w:val="baseline"/>
        </w:rPr>
        <w:t>[defendant]</w:t>
      </w:r>
      <w:r>
        <w:rPr>
          <w:spacing w:val="27"/>
          <w:vertAlign w:val="baseline"/>
        </w:rPr>
        <w:t> </w:t>
      </w:r>
      <w:r>
        <w:rPr>
          <w:vertAlign w:val="baseline"/>
        </w:rPr>
        <w:t>company</w:t>
      </w:r>
      <w:r>
        <w:rPr>
          <w:spacing w:val="27"/>
          <w:vertAlign w:val="baseline"/>
        </w:rPr>
        <w:t> </w:t>
      </w:r>
      <w:r>
        <w:rPr>
          <w:vertAlign w:val="baseline"/>
        </w:rPr>
        <w:t>will</w:t>
      </w:r>
      <w:r>
        <w:rPr>
          <w:spacing w:val="27"/>
          <w:vertAlign w:val="baseline"/>
        </w:rPr>
        <w:t> </w:t>
      </w:r>
      <w:r>
        <w:rPr>
          <w:vertAlign w:val="baseline"/>
        </w:rPr>
        <w:t>be</w:t>
      </w:r>
      <w:r>
        <w:rPr>
          <w:spacing w:val="27"/>
          <w:vertAlign w:val="baseline"/>
        </w:rPr>
        <w:t> </w:t>
      </w:r>
      <w:r>
        <w:rPr>
          <w:vertAlign w:val="baseline"/>
        </w:rPr>
        <w:t>granted</w:t>
      </w:r>
      <w:r>
        <w:rPr>
          <w:spacing w:val="27"/>
          <w:vertAlign w:val="baseline"/>
        </w:rPr>
        <w:t> </w:t>
      </w:r>
      <w:r>
        <w:rPr>
          <w:vertAlign w:val="baseline"/>
        </w:rPr>
        <w:t>to</w:t>
      </w:r>
      <w:r>
        <w:rPr>
          <w:spacing w:val="27"/>
          <w:vertAlign w:val="baseline"/>
        </w:rPr>
        <w:t> </w:t>
      </w:r>
      <w:r>
        <w:rPr>
          <w:vertAlign w:val="baseline"/>
        </w:rPr>
        <w:t>a</w:t>
      </w:r>
      <w:r>
        <w:rPr>
          <w:spacing w:val="27"/>
          <w:vertAlign w:val="baseline"/>
        </w:rPr>
        <w:t> </w:t>
      </w:r>
      <w:r>
        <w:rPr>
          <w:spacing w:val="-2"/>
          <w:vertAlign w:val="baseline"/>
        </w:rPr>
        <w:t>company</w:t>
      </w:r>
    </w:p>
    <w:p>
      <w:pPr>
        <w:pStyle w:val="BodyText"/>
        <w:spacing w:line="360" w:lineRule="auto" w:before="115"/>
        <w:ind w:left="165" w:right="168"/>
        <w:jc w:val="both"/>
      </w:pPr>
      <w:bookmarkStart w:name="_bookmark566" w:id="568"/>
      <w:bookmarkEnd w:id="568"/>
      <w:r>
        <w:rPr/>
      </w:r>
      <w:r>
        <w:rPr/>
        <w:t>representing my family interests.” </w:t>
      </w:r>
      <w:r>
        <w:rPr>
          <w:color w:val="005DA1"/>
          <w:u w:val="single" w:color="005DA1"/>
          <w:vertAlign w:val="superscript"/>
        </w:rPr>
        <w:t>308</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31"/>
          <w:vertAlign w:val="baseline"/>
        </w:rPr>
        <w:t> </w:t>
      </w:r>
      <w:r>
        <w:rPr>
          <w:vertAlign w:val="baseline"/>
        </w:rPr>
        <w:t>It was clear from the antecedent negotiations that the </w:t>
      </w:r>
      <w:r>
        <w:rPr>
          <w:vertAlign w:val="baseline"/>
        </w:rPr>
        <w:t>grant of</w:t>
      </w:r>
      <w:r>
        <w:rPr>
          <w:spacing w:val="6"/>
          <w:vertAlign w:val="baseline"/>
        </w:rPr>
        <w:t> </w:t>
      </w:r>
      <w:r>
        <w:rPr>
          <w:vertAlign w:val="baseline"/>
        </w:rPr>
        <w:t>these</w:t>
      </w:r>
      <w:r>
        <w:rPr>
          <w:spacing w:val="6"/>
          <w:vertAlign w:val="baseline"/>
        </w:rPr>
        <w:t> </w:t>
      </w:r>
      <w:r>
        <w:rPr>
          <w:vertAlign w:val="baseline"/>
        </w:rPr>
        <w:t>warrants</w:t>
      </w:r>
      <w:r>
        <w:rPr>
          <w:spacing w:val="6"/>
          <w:vertAlign w:val="baseline"/>
        </w:rPr>
        <w:t> </w:t>
      </w:r>
      <w:r>
        <w:rPr>
          <w:vertAlign w:val="baseline"/>
        </w:rPr>
        <w:t>was</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the</w:t>
      </w:r>
      <w:r>
        <w:rPr>
          <w:spacing w:val="6"/>
          <w:vertAlign w:val="baseline"/>
        </w:rPr>
        <w:t> </w:t>
      </w:r>
      <w:r>
        <w:rPr>
          <w:vertAlign w:val="baseline"/>
        </w:rPr>
        <w:t>claimant’s</w:t>
      </w:r>
      <w:r>
        <w:rPr>
          <w:spacing w:val="6"/>
          <w:vertAlign w:val="baseline"/>
        </w:rPr>
        <w:t> </w:t>
      </w:r>
      <w:r>
        <w:rPr>
          <w:vertAlign w:val="baseline"/>
        </w:rPr>
        <w:t>principal</w:t>
      </w:r>
      <w:r>
        <w:rPr>
          <w:spacing w:val="7"/>
          <w:vertAlign w:val="baseline"/>
        </w:rPr>
        <w:t> </w:t>
      </w:r>
      <w:r>
        <w:rPr>
          <w:vertAlign w:val="baseline"/>
        </w:rPr>
        <w:t>remuneration</w:t>
      </w:r>
      <w:r>
        <w:rPr>
          <w:spacing w:val="5"/>
          <w:vertAlign w:val="baseline"/>
        </w:rPr>
        <w:t> </w:t>
      </w:r>
      <w:r>
        <w:rPr>
          <w:color w:val="005DA1"/>
          <w:u w:val="single" w:color="005DA1"/>
          <w:vertAlign w:val="superscript"/>
        </w:rPr>
        <w:t>309</w:t>
      </w:r>
      <w:r>
        <w:rPr>
          <w:color w:val="005DA1"/>
          <w:spacing w:val="36"/>
          <w:vertAlign w:val="baseline"/>
        </w:rPr>
        <w:t>  </w:t>
      </w:r>
      <w:r>
        <w:rPr>
          <w:color w:val="005DA1"/>
          <w:spacing w:val="21"/>
          <w:position w:val="-2"/>
          <w:vertAlign w:val="baseline"/>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8"/>
          <w:vertAlign w:val="baseline"/>
        </w:rPr>
        <w:t> </w:t>
      </w:r>
      <w:r>
        <w:rPr>
          <w:vertAlign w:val="baseline"/>
        </w:rPr>
        <w:t>and</w:t>
      </w:r>
      <w:r>
        <w:rPr>
          <w:spacing w:val="6"/>
          <w:vertAlign w:val="baseline"/>
        </w:rPr>
        <w:t> </w:t>
      </w:r>
      <w:r>
        <w:rPr>
          <w:vertAlign w:val="baseline"/>
        </w:rPr>
        <w:t>that</w:t>
      </w:r>
      <w:r>
        <w:rPr>
          <w:spacing w:val="6"/>
          <w:vertAlign w:val="baseline"/>
        </w:rPr>
        <w:t> </w:t>
      </w:r>
      <w:r>
        <w:rPr>
          <w:vertAlign w:val="baseline"/>
        </w:rPr>
        <w:t>“it</w:t>
      </w:r>
      <w:r>
        <w:rPr>
          <w:spacing w:val="6"/>
          <w:vertAlign w:val="baseline"/>
        </w:rPr>
        <w:t> </w:t>
      </w:r>
      <w:r>
        <w:rPr>
          <w:vertAlign w:val="baseline"/>
        </w:rPr>
        <w:t>was</w:t>
      </w:r>
      <w:r>
        <w:rPr>
          <w:spacing w:val="5"/>
          <w:vertAlign w:val="baseline"/>
        </w:rPr>
        <w:t> </w:t>
      </w:r>
      <w:r>
        <w:rPr>
          <w:rFonts w:ascii="Arial" w:hAnsi="Arial"/>
          <w:i/>
          <w:vertAlign w:val="baseline"/>
        </w:rPr>
        <w:t>he</w:t>
      </w:r>
      <w:r>
        <w:rPr>
          <w:rFonts w:ascii="Arial" w:hAnsi="Arial"/>
          <w:i/>
          <w:spacing w:val="6"/>
          <w:vertAlign w:val="baseline"/>
        </w:rPr>
        <w:t> </w:t>
      </w:r>
      <w:r>
        <w:rPr>
          <w:vertAlign w:val="baseline"/>
        </w:rPr>
        <w:t>who</w:t>
      </w:r>
      <w:r>
        <w:rPr>
          <w:spacing w:val="7"/>
          <w:vertAlign w:val="baseline"/>
        </w:rPr>
        <w:t> </w:t>
      </w:r>
      <w:r>
        <w:rPr>
          <w:spacing w:val="-5"/>
          <w:vertAlign w:val="baseline"/>
        </w:rPr>
        <w:t>was</w:t>
      </w:r>
    </w:p>
    <w:p>
      <w:pPr>
        <w:pStyle w:val="BodyText"/>
        <w:spacing w:after="0" w:line="360" w:lineRule="auto"/>
        <w:jc w:val="both"/>
        <w:sectPr>
          <w:headerReference w:type="default" r:id="rId16"/>
          <w:pgSz w:w="11900" w:h="16840"/>
          <w:pgMar w:header="971" w:footer="0" w:top="1160" w:bottom="280" w:left="1275" w:right="1275"/>
          <w:pgNumType w:start="2"/>
        </w:sectPr>
      </w:pPr>
    </w:p>
    <w:p>
      <w:pPr>
        <w:pStyle w:val="BodyText"/>
        <w:spacing w:before="201"/>
      </w:pPr>
    </w:p>
    <w:p>
      <w:pPr>
        <w:pStyle w:val="BodyText"/>
        <w:ind w:left="165"/>
        <w:jc w:val="both"/>
        <w:rPr>
          <w:position w:val="-2"/>
        </w:rPr>
      </w:pPr>
      <w:bookmarkStart w:name="_bookmark567" w:id="569"/>
      <w:bookmarkEnd w:id="569"/>
      <w:r>
        <w:rPr/>
      </w:r>
      <w:bookmarkStart w:name="_bookmark568" w:id="570"/>
      <w:bookmarkEnd w:id="570"/>
      <w:r>
        <w:rPr/>
      </w:r>
      <w:r>
        <w:rPr/>
        <w:t>to</w:t>
      </w:r>
      <w:r>
        <w:rPr>
          <w:spacing w:val="10"/>
        </w:rPr>
        <w:t> </w:t>
      </w:r>
      <w:r>
        <w:rPr/>
        <w:t>benefit</w:t>
      </w:r>
      <w:r>
        <w:rPr>
          <w:spacing w:val="10"/>
        </w:rPr>
        <w:t> </w:t>
      </w:r>
      <w:r>
        <w:rPr/>
        <w:t>in</w:t>
      </w:r>
      <w:r>
        <w:rPr>
          <w:spacing w:val="10"/>
        </w:rPr>
        <w:t> </w:t>
      </w:r>
      <w:r>
        <w:rPr/>
        <w:t>reality</w:t>
      </w:r>
      <w:r>
        <w:rPr>
          <w:spacing w:val="10"/>
        </w:rPr>
        <w:t> </w:t>
      </w:r>
      <w:r>
        <w:rPr/>
        <w:t>and</w:t>
      </w:r>
      <w:r>
        <w:rPr>
          <w:spacing w:val="10"/>
        </w:rPr>
        <w:t> </w:t>
      </w:r>
      <w:r>
        <w:rPr/>
        <w:t>the</w:t>
      </w:r>
      <w:r>
        <w:rPr>
          <w:spacing w:val="10"/>
        </w:rPr>
        <w:t> </w:t>
      </w:r>
      <w:r>
        <w:rPr/>
        <w:t>idea</w:t>
      </w:r>
      <w:r>
        <w:rPr>
          <w:spacing w:val="10"/>
        </w:rPr>
        <w:t> </w:t>
      </w:r>
      <w:r>
        <w:rPr/>
        <w:t>of</w:t>
      </w:r>
      <w:r>
        <w:rPr>
          <w:spacing w:val="10"/>
        </w:rPr>
        <w:t> </w:t>
      </w:r>
      <w:r>
        <w:rPr/>
        <w:t>a</w:t>
      </w:r>
      <w:r>
        <w:rPr>
          <w:spacing w:val="10"/>
        </w:rPr>
        <w:t> </w:t>
      </w:r>
      <w:r>
        <w:rPr/>
        <w:t>nominated</w:t>
      </w:r>
      <w:r>
        <w:rPr>
          <w:spacing w:val="10"/>
        </w:rPr>
        <w:t> </w:t>
      </w:r>
      <w:r>
        <w:rPr/>
        <w:t>company</w:t>
      </w:r>
      <w:r>
        <w:rPr>
          <w:spacing w:val="10"/>
        </w:rPr>
        <w:t> </w:t>
      </w:r>
      <w:r>
        <w:rPr/>
        <w:t>was</w:t>
      </w:r>
      <w:r>
        <w:rPr>
          <w:spacing w:val="10"/>
        </w:rPr>
        <w:t> </w:t>
      </w:r>
      <w:r>
        <w:rPr/>
        <w:t>just</w:t>
      </w:r>
      <w:r>
        <w:rPr>
          <w:spacing w:val="10"/>
        </w:rPr>
        <w:t> </w:t>
      </w:r>
      <w:r>
        <w:rPr/>
        <w:t>the</w:t>
      </w:r>
      <w:r>
        <w:rPr>
          <w:spacing w:val="10"/>
        </w:rPr>
        <w:t> </w:t>
      </w:r>
      <w:r>
        <w:rPr/>
        <w:t>way</w:t>
      </w:r>
      <w:r>
        <w:rPr>
          <w:spacing w:val="9"/>
        </w:rPr>
        <w:t> </w:t>
      </w:r>
      <w:r>
        <w:rPr>
          <w:rFonts w:ascii="Arial" w:hAnsi="Arial"/>
          <w:i/>
        </w:rPr>
        <w:t>he</w:t>
      </w:r>
      <w:r>
        <w:rPr>
          <w:rFonts w:ascii="Arial" w:hAnsi="Arial"/>
          <w:i/>
          <w:spacing w:val="10"/>
        </w:rPr>
        <w:t> </w:t>
      </w:r>
      <w:r>
        <w:rPr/>
        <w:t>was</w:t>
      </w:r>
      <w:r>
        <w:rPr>
          <w:spacing w:val="10"/>
        </w:rPr>
        <w:t> </w:t>
      </w:r>
      <w:r>
        <w:rPr/>
        <w:t>to</w:t>
      </w:r>
      <w:r>
        <w:rPr>
          <w:spacing w:val="10"/>
        </w:rPr>
        <w:t> </w:t>
      </w:r>
      <w:r>
        <w:rPr/>
        <w:t>be</w:t>
      </w:r>
      <w:r>
        <w:rPr>
          <w:spacing w:val="10"/>
        </w:rPr>
        <w:t> </w:t>
      </w:r>
      <w:r>
        <w:rPr/>
        <w:t>paid.”</w:t>
      </w:r>
      <w:r>
        <w:rPr>
          <w:spacing w:val="10"/>
        </w:rPr>
        <w:t> </w:t>
      </w:r>
      <w:r>
        <w:rPr>
          <w:color w:val="005DA1"/>
          <w:u w:val="single" w:color="005DA1"/>
          <w:vertAlign w:val="superscript"/>
        </w:rPr>
        <w:t>310</w:t>
      </w:r>
      <w:r>
        <w:rPr>
          <w:color w:val="005DA1"/>
          <w:spacing w:val="40"/>
          <w:vertAlign w:val="baseline"/>
        </w:rPr>
        <w:t>  </w:t>
      </w:r>
      <w:r>
        <w:rPr>
          <w:color w:val="005DA1"/>
          <w:spacing w:val="16"/>
          <w:position w:val="-2"/>
          <w:vertAlign w:val="baseline"/>
        </w:rPr>
        <w:drawing>
          <wp:inline distT="0" distB="0" distL="0" distR="0">
            <wp:extent cx="107988" cy="10798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p>
    <w:p>
      <w:pPr>
        <w:pStyle w:val="BodyText"/>
        <w:spacing w:before="115"/>
        <w:ind w:left="165"/>
        <w:jc w:val="both"/>
      </w:pPr>
      <w:bookmarkStart w:name="_bookmark569" w:id="571"/>
      <w:bookmarkEnd w:id="571"/>
      <w:r>
        <w:rPr/>
      </w:r>
      <w:r>
        <w:rPr/>
        <w:t>Judge</w:t>
      </w:r>
      <w:r>
        <w:rPr>
          <w:spacing w:val="5"/>
        </w:rPr>
        <w:t> </w:t>
      </w:r>
      <w:r>
        <w:rPr/>
        <w:t>Bruce</w:t>
      </w:r>
      <w:r>
        <w:rPr>
          <w:spacing w:val="5"/>
        </w:rPr>
        <w:t> </w:t>
      </w:r>
      <w:r>
        <w:rPr/>
        <w:t>Coles</w:t>
      </w:r>
      <w:r>
        <w:rPr>
          <w:spacing w:val="5"/>
        </w:rPr>
        <w:t> </w:t>
      </w:r>
      <w:r>
        <w:rPr/>
        <w:t>Q.C.,</w:t>
      </w:r>
      <w:r>
        <w:rPr>
          <w:spacing w:val="5"/>
        </w:rPr>
        <w:t> </w:t>
      </w:r>
      <w:r>
        <w:rPr/>
        <w:t>after</w:t>
      </w:r>
      <w:r>
        <w:rPr>
          <w:spacing w:val="5"/>
        </w:rPr>
        <w:t> </w:t>
      </w:r>
      <w:r>
        <w:rPr/>
        <w:t>referring</w:t>
      </w:r>
      <w:r>
        <w:rPr>
          <w:spacing w:val="4"/>
        </w:rPr>
        <w:t> </w:t>
      </w:r>
      <w:r>
        <w:rPr>
          <w:color w:val="005DA1"/>
          <w:u w:val="single" w:color="005DA1"/>
          <w:vertAlign w:val="superscript"/>
        </w:rPr>
        <w:t>311</w:t>
      </w:r>
      <w:r>
        <w:rPr>
          <w:color w:val="005DA1"/>
          <w:spacing w:val="35"/>
          <w:vertAlign w:val="baseline"/>
        </w:rPr>
        <w:t>  </w:t>
      </w:r>
      <w:r>
        <w:rPr>
          <w:color w:val="005DA1"/>
          <w:spacing w:val="18"/>
          <w:position w:val="-2"/>
          <w:vertAlign w:val="baseline"/>
        </w:rPr>
        <w:drawing>
          <wp:inline distT="0" distB="0" distL="0" distR="0">
            <wp:extent cx="107988" cy="107988"/>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7"/>
          <w:vertAlign w:val="baseline"/>
        </w:rPr>
        <w:t> </w:t>
      </w:r>
      <w:r>
        <w:rPr>
          <w:vertAlign w:val="baseline"/>
        </w:rPr>
        <w:t>to</w:t>
      </w:r>
      <w:r>
        <w:rPr>
          <w:spacing w:val="5"/>
          <w:vertAlign w:val="baseline"/>
        </w:rPr>
        <w:t> </w:t>
      </w:r>
      <w:r>
        <w:rPr>
          <w:vertAlign w:val="baseline"/>
        </w:rPr>
        <w:t>part</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discussion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promisee’s</w:t>
      </w:r>
      <w:r>
        <w:rPr>
          <w:spacing w:val="6"/>
          <w:vertAlign w:val="baseline"/>
        </w:rPr>
        <w:t> </w:t>
      </w:r>
      <w:r>
        <w:rPr>
          <w:vertAlign w:val="baseline"/>
        </w:rPr>
        <w:t>remedies</w:t>
      </w:r>
      <w:r>
        <w:rPr>
          <w:spacing w:val="5"/>
          <w:vertAlign w:val="baseline"/>
        </w:rPr>
        <w:t> </w:t>
      </w:r>
      <w:r>
        <w:rPr>
          <w:spacing w:val="-5"/>
          <w:vertAlign w:val="baseline"/>
        </w:rPr>
        <w:t>in</w:t>
      </w:r>
    </w:p>
    <w:p>
      <w:pPr>
        <w:pStyle w:val="BodyText"/>
        <w:spacing w:line="235" w:lineRule="auto" w:before="119"/>
        <w:ind w:left="165" w:right="167"/>
        <w:jc w:val="both"/>
      </w:pPr>
      <w:r>
        <w:rPr/>
        <w:t>a previous edition of this book, </w:t>
      </w:r>
      <w:r>
        <w:rPr>
          <w:color w:val="005DA1"/>
          <w:u w:val="single" w:color="005DA1"/>
          <w:vertAlign w:val="superscript"/>
        </w:rPr>
        <w:t>312</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7"/>
          <w:vertAlign w:val="baseline"/>
        </w:rPr>
        <w:t> </w:t>
      </w:r>
      <w:r>
        <w:rPr>
          <w:vertAlign w:val="baseline"/>
        </w:rPr>
        <w:t>held that the loss resulting from the defendant’s failure to issue the warrants to the nominated company had been suffered by the claimant himself and that damages in respect of it were therefore recoverable under the principle stated in paragraph 18-049 above.</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Damages in respect of third party’s loss: general </w:t>
      </w:r>
      <w:r>
        <w:rPr>
          <w:rFonts w:ascii="Arial" w:hAnsi="Arial"/>
          <w:b/>
          <w:spacing w:val="-4"/>
          <w:sz w:val="18"/>
        </w:rPr>
        <w:t>rule</w:t>
      </w:r>
    </w:p>
    <w:p>
      <w:pPr>
        <w:pStyle w:val="BodyText"/>
        <w:spacing w:before="41"/>
        <w:rPr>
          <w:rFonts w:ascii="Arial"/>
          <w:b/>
          <w:sz w:val="18"/>
        </w:rPr>
      </w:pPr>
    </w:p>
    <w:p>
      <w:pPr>
        <w:pStyle w:val="Heading2"/>
        <w:spacing w:before="1"/>
      </w:pPr>
      <w:r>
        <w:rPr/>
        <w:t>18-</w:t>
      </w:r>
      <w:r>
        <w:rPr>
          <w:spacing w:val="-5"/>
        </w:rPr>
        <w:t>051</w:t>
      </w:r>
    </w:p>
    <w:p>
      <w:pPr>
        <w:pStyle w:val="BodyText"/>
        <w:spacing w:line="235" w:lineRule="auto" w:before="202"/>
        <w:ind w:left="165" w:right="167"/>
        <w:jc w:val="both"/>
      </w:pPr>
      <w:r>
        <w:rPr/>
        <w:t>The starting point of the discussion in paragraphs 18-051 to 18-069 below is the general rule that, </w:t>
      </w:r>
      <w:r>
        <w:rPr/>
        <w:t>in </w:t>
      </w:r>
      <w:bookmarkStart w:name="_bookmark570" w:id="572"/>
      <w:bookmarkEnd w:id="572"/>
      <w:r>
        <w:rPr/>
        <w:t>an</w:t>
      </w:r>
      <w:r>
        <w:rPr/>
        <w:t> action for damages, the claimant cannot recover more than the amount required to compensate </w:t>
      </w:r>
      <w:bookmarkStart w:name="_bookmark571" w:id="573"/>
      <w:bookmarkEnd w:id="573"/>
      <w:r>
        <w:rPr/>
        <w:t>him</w:t>
      </w:r>
      <w:r>
        <w:rPr/>
        <w:t> for his loss, </w:t>
      </w:r>
      <w:r>
        <w:rPr>
          <w:color w:val="005DA1"/>
          <w:u w:val="single" w:color="005DA1"/>
          <w:vertAlign w:val="superscript"/>
        </w:rPr>
        <w:t>313</w:t>
      </w:r>
      <w:r>
        <w:rPr>
          <w:color w:val="005DA1"/>
          <w:vertAlign w:val="baseline"/>
        </w:rPr>
        <w:t> </w:t>
      </w:r>
      <w:r>
        <w:rPr>
          <w:vertAlign w:val="baseline"/>
        </w:rPr>
        <w:t>so that the a promisee cannot, in general, recover damages for breach of a </w:t>
      </w:r>
      <w:bookmarkStart w:name="_bookmark572" w:id="574"/>
      <w:bookmarkEnd w:id="574"/>
      <w:r>
        <w:rPr>
          <w:vertAlign w:val="baseline"/>
        </w:rPr>
        <w:t>contract</w:t>
      </w:r>
      <w:r>
        <w:rPr>
          <w:vertAlign w:val="baseline"/>
        </w:rPr>
        <w:t> made for the benefit of a third party </w:t>
      </w:r>
      <w:r>
        <w:rPr>
          <w:color w:val="005DA1"/>
          <w:u w:val="single" w:color="005DA1"/>
          <w:vertAlign w:val="superscript"/>
        </w:rPr>
        <w:t>314</w:t>
      </w:r>
      <w:r>
        <w:rPr>
          <w:color w:val="005DA1"/>
          <w:vertAlign w:val="baseline"/>
        </w:rPr>
        <w:t> </w:t>
      </w:r>
      <w:r>
        <w:rPr>
          <w:vertAlign w:val="baseline"/>
        </w:rPr>
        <w:t>in respect of loss suffered, not by the promisee </w:t>
      </w:r>
      <w:bookmarkStart w:name="_bookmark573" w:id="575"/>
      <w:bookmarkEnd w:id="575"/>
      <w:r>
        <w:rPr>
          <w:vertAlign w:val="baseline"/>
        </w:rPr>
        <w:t>himself,</w:t>
      </w:r>
      <w:r>
        <w:rPr>
          <w:vertAlign w:val="baseline"/>
        </w:rPr>
        <w:t> but by that third party. </w:t>
      </w:r>
      <w:r>
        <w:rPr>
          <w:color w:val="005DA1"/>
          <w:u w:val="single" w:color="005DA1"/>
          <w:vertAlign w:val="superscript"/>
        </w:rPr>
        <w:t>315</w:t>
      </w:r>
      <w:r>
        <w:rPr>
          <w:color w:val="005DA1"/>
          <w:vertAlign w:val="baseline"/>
        </w:rPr>
        <w:t> </w:t>
      </w:r>
      <w:r>
        <w:rPr>
          <w:vertAlign w:val="baseline"/>
        </w:rPr>
        <w:t>This general rule, was, indeed, denied by Lord Denning M.R. in </w:t>
      </w:r>
      <w:r>
        <w:rPr>
          <w:rFonts w:ascii="Arial" w:hAnsi="Arial"/>
          <w:i/>
          <w:vertAlign w:val="baseline"/>
        </w:rPr>
        <w:t>Jackson v Horizon Holidays Ltd</w:t>
      </w:r>
      <w:r>
        <w:rPr>
          <w:vertAlign w:val="baseline"/>
        </w:rPr>
        <w:t>, </w:t>
      </w:r>
      <w:r>
        <w:rPr>
          <w:color w:val="005DA1"/>
          <w:u w:val="single" w:color="005DA1"/>
          <w:vertAlign w:val="superscript"/>
        </w:rPr>
        <w:t>316</w:t>
      </w:r>
      <w:r>
        <w:rPr>
          <w:color w:val="005DA1"/>
          <w:vertAlign w:val="baseline"/>
        </w:rPr>
        <w:t> </w:t>
      </w:r>
      <w:r>
        <w:rPr>
          <w:vertAlign w:val="baseline"/>
        </w:rPr>
        <w:t>where the defendants had contracted with the claimant to provide </w:t>
      </w:r>
      <w:bookmarkStart w:name="_bookmark574" w:id="576"/>
      <w:bookmarkEnd w:id="576"/>
      <w:r>
        <w:rPr>
          <w:vertAlign w:val="baseline"/>
        </w:rPr>
        <w:t>holiday</w:t>
      </w:r>
      <w:r>
        <w:rPr>
          <w:vertAlign w:val="baseline"/>
        </w:rPr>
        <w:t> accommodation for the claimant, his wife and their two three-year-old children; and it was assumed that the wife and children were not parties to the contract. </w:t>
      </w:r>
      <w:r>
        <w:rPr>
          <w:color w:val="005DA1"/>
          <w:u w:val="single" w:color="005DA1"/>
          <w:vertAlign w:val="superscript"/>
        </w:rPr>
        <w:t>317</w:t>
      </w:r>
      <w:r>
        <w:rPr>
          <w:color w:val="005DA1"/>
          <w:vertAlign w:val="baseline"/>
        </w:rPr>
        <w:t> </w:t>
      </w:r>
      <w:r>
        <w:rPr>
          <w:vertAlign w:val="baseline"/>
        </w:rPr>
        <w:t>The accommodation fell </w:t>
      </w:r>
      <w:bookmarkStart w:name="_bookmark575" w:id="577"/>
      <w:bookmarkEnd w:id="577"/>
      <w:r>
        <w:rPr>
          <w:vertAlign w:val="baseline"/>
        </w:rPr>
        <w:t>seriously</w:t>
      </w:r>
      <w:r>
        <w:rPr>
          <w:vertAlign w:val="baseline"/>
        </w:rPr>
        <w:t> short of the standard required by the contract, and the claimant recovered damages </w:t>
      </w:r>
      <w:bookmarkStart w:name="_bookmark576" w:id="578"/>
      <w:bookmarkEnd w:id="578"/>
      <w:r>
        <w:rPr>
          <w:vertAlign w:val="baseline"/>
        </w:rPr>
        <w:t>including</w:t>
      </w:r>
      <w:r>
        <w:rPr>
          <w:vertAlign w:val="baseline"/>
        </w:rPr>
        <w:t> £500 for “mental distress.” </w:t>
      </w:r>
      <w:r>
        <w:rPr>
          <w:color w:val="005DA1"/>
          <w:u w:val="single" w:color="005DA1"/>
          <w:vertAlign w:val="superscript"/>
        </w:rPr>
        <w:t>318</w:t>
      </w:r>
      <w:r>
        <w:rPr>
          <w:color w:val="005DA1"/>
          <w:vertAlign w:val="baseline"/>
        </w:rPr>
        <w:t> </w:t>
      </w:r>
      <w:r>
        <w:rPr>
          <w:vertAlign w:val="baseline"/>
        </w:rPr>
        <w:t>Lord Denning said that this sum would have been excessive </w:t>
      </w:r>
      <w:bookmarkStart w:name="_bookmark577" w:id="579"/>
      <w:bookmarkEnd w:id="579"/>
      <w:r>
        <w:rPr>
          <w:vertAlign w:val="baseline"/>
        </w:rPr>
        <w:t>compensation</w:t>
      </w:r>
      <w:r>
        <w:rPr>
          <w:vertAlign w:val="baseline"/>
        </w:rPr>
        <w:t> for the claimant’s own distress. </w:t>
      </w:r>
      <w:r>
        <w:rPr>
          <w:color w:val="005DA1"/>
          <w:u w:val="single" w:color="005DA1"/>
          <w:vertAlign w:val="superscript"/>
        </w:rPr>
        <w:t>319</w:t>
      </w:r>
      <w:r>
        <w:rPr>
          <w:color w:val="005DA1"/>
          <w:vertAlign w:val="baseline"/>
        </w:rPr>
        <w:t> </w:t>
      </w:r>
      <w:r>
        <w:rPr>
          <w:vertAlign w:val="baseline"/>
        </w:rPr>
        <w:t>He nevertheless upheld the award on the ground that the claimant had made a contract for the benefit both of himself and of his wife and children </w:t>
      </w:r>
      <w:r>
        <w:rPr>
          <w:color w:val="005DA1"/>
          <w:u w:val="single" w:color="005DA1"/>
          <w:vertAlign w:val="superscript"/>
        </w:rPr>
        <w:t>320</w:t>
      </w:r>
      <w:r>
        <w:rPr>
          <w:vertAlign w:val="baseline"/>
        </w:rPr>
        <w:t>; </w:t>
      </w:r>
      <w:bookmarkStart w:name="_bookmark578" w:id="580"/>
      <w:bookmarkEnd w:id="580"/>
      <w:r>
        <w:rPr>
          <w:vertAlign w:val="baseline"/>
        </w:rPr>
        <w:t>and</w:t>
      </w:r>
      <w:r>
        <w:rPr>
          <w:vertAlign w:val="baseline"/>
        </w:rPr>
        <w:t> that he could recover damages in respect of their loss as well as in respect of his own. But the </w:t>
      </w:r>
      <w:bookmarkStart w:name="_bookmark579" w:id="581"/>
      <w:bookmarkEnd w:id="581"/>
      <w:r>
        <w:rPr>
          <w:vertAlign w:val="baseline"/>
        </w:rPr>
        <w:t>authorities</w:t>
      </w:r>
      <w:r>
        <w:rPr>
          <w:spacing w:val="-3"/>
          <w:vertAlign w:val="baseline"/>
        </w:rPr>
        <w:t> </w:t>
      </w:r>
      <w:r>
        <w:rPr>
          <w:vertAlign w:val="baseline"/>
        </w:rPr>
        <w:t>cited</w:t>
      </w:r>
      <w:r>
        <w:rPr>
          <w:spacing w:val="-3"/>
          <w:vertAlign w:val="baseline"/>
        </w:rPr>
        <w:t> </w:t>
      </w:r>
      <w:r>
        <w:rPr>
          <w:vertAlign w:val="baseline"/>
        </w:rPr>
        <w:t>in</w:t>
      </w:r>
      <w:r>
        <w:rPr>
          <w:spacing w:val="-3"/>
          <w:vertAlign w:val="baseline"/>
        </w:rPr>
        <w:t> </w:t>
      </w:r>
      <w:r>
        <w:rPr>
          <w:vertAlign w:val="baseline"/>
        </w:rPr>
        <w:t>support</w:t>
      </w:r>
      <w:r>
        <w:rPr>
          <w:spacing w:val="-3"/>
          <w:vertAlign w:val="baseline"/>
        </w:rPr>
        <w:t> </w:t>
      </w:r>
      <w:r>
        <w:rPr>
          <w:vertAlign w:val="baseline"/>
        </w:rPr>
        <w:t>of</w:t>
      </w:r>
      <w:r>
        <w:rPr>
          <w:spacing w:val="-3"/>
          <w:vertAlign w:val="baseline"/>
        </w:rPr>
        <w:t> </w:t>
      </w:r>
      <w:r>
        <w:rPr>
          <w:vertAlign w:val="baseline"/>
        </w:rPr>
        <w:t>this</w:t>
      </w:r>
      <w:r>
        <w:rPr>
          <w:spacing w:val="-3"/>
          <w:vertAlign w:val="baseline"/>
        </w:rPr>
        <w:t> </w:t>
      </w:r>
      <w:r>
        <w:rPr>
          <w:vertAlign w:val="baseline"/>
        </w:rPr>
        <w:t>conclusion</w:t>
      </w:r>
      <w:r>
        <w:rPr>
          <w:spacing w:val="-3"/>
          <w:vertAlign w:val="baseline"/>
        </w:rPr>
        <w:t> </w:t>
      </w:r>
      <w:r>
        <w:rPr>
          <w:vertAlign w:val="baseline"/>
        </w:rPr>
        <w:t>seem</w:t>
      </w:r>
      <w:r>
        <w:rPr>
          <w:spacing w:val="-3"/>
          <w:vertAlign w:val="baseline"/>
        </w:rPr>
        <w:t> </w:t>
      </w:r>
      <w:r>
        <w:rPr>
          <w:vertAlign w:val="baseline"/>
        </w:rPr>
        <w:t>to</w:t>
      </w:r>
      <w:r>
        <w:rPr>
          <w:spacing w:val="-3"/>
          <w:vertAlign w:val="baseline"/>
        </w:rPr>
        <w:t> </w:t>
      </w:r>
      <w:r>
        <w:rPr>
          <w:vertAlign w:val="baseline"/>
        </w:rPr>
        <w:t>contradict,</w:t>
      </w:r>
      <w:r>
        <w:rPr>
          <w:spacing w:val="-3"/>
          <w:vertAlign w:val="baseline"/>
        </w:rPr>
        <w:t> </w:t>
      </w:r>
      <w:r>
        <w:rPr>
          <w:vertAlign w:val="baseline"/>
        </w:rPr>
        <w:t>rather</w:t>
      </w:r>
      <w:r>
        <w:rPr>
          <w:spacing w:val="-3"/>
          <w:vertAlign w:val="baseline"/>
        </w:rPr>
        <w:t> </w:t>
      </w:r>
      <w:r>
        <w:rPr>
          <w:vertAlign w:val="baseline"/>
        </w:rPr>
        <w:t>than</w:t>
      </w:r>
      <w:r>
        <w:rPr>
          <w:spacing w:val="-3"/>
          <w:vertAlign w:val="baseline"/>
        </w:rPr>
        <w:t> </w:t>
      </w:r>
      <w:r>
        <w:rPr>
          <w:vertAlign w:val="baseline"/>
        </w:rPr>
        <w:t>to</w:t>
      </w:r>
      <w:r>
        <w:rPr>
          <w:spacing w:val="-3"/>
          <w:vertAlign w:val="baseline"/>
        </w:rPr>
        <w:t> </w:t>
      </w:r>
      <w:r>
        <w:rPr>
          <w:vertAlign w:val="baseline"/>
        </w:rPr>
        <w:t>favour,</w:t>
      </w:r>
      <w:r>
        <w:rPr>
          <w:spacing w:val="-3"/>
          <w:vertAlign w:val="baseline"/>
        </w:rPr>
        <w:t> </w:t>
      </w:r>
      <w:r>
        <w:rPr>
          <w:vertAlign w:val="baseline"/>
        </w:rPr>
        <w:t>it.</w:t>
      </w:r>
      <w:r>
        <w:rPr>
          <w:spacing w:val="-4"/>
          <w:vertAlign w:val="baseline"/>
        </w:rPr>
        <w:t> </w:t>
      </w:r>
      <w:r>
        <w:rPr>
          <w:color w:val="005DA1"/>
          <w:u w:val="single" w:color="005DA1"/>
          <w:vertAlign w:val="superscript"/>
        </w:rPr>
        <w:t>321</w:t>
      </w:r>
      <w:r>
        <w:rPr>
          <w:color w:val="005DA1"/>
          <w:spacing w:val="-3"/>
          <w:vertAlign w:val="baseline"/>
        </w:rPr>
        <w:t> </w:t>
      </w:r>
      <w:r>
        <w:rPr>
          <w:vertAlign w:val="baseline"/>
        </w:rPr>
        <w:t>Moreover, </w:t>
      </w:r>
      <w:bookmarkStart w:name="_bookmark580" w:id="582"/>
      <w:bookmarkEnd w:id="582"/>
      <w:r>
        <w:rPr>
          <w:vertAlign w:val="baseline"/>
        </w:rPr>
        <w:t>in</w:t>
      </w:r>
      <w:r>
        <w:rPr>
          <w:vertAlign w:val="baseline"/>
        </w:rPr>
        <w:t> </w:t>
      </w:r>
      <w:r>
        <w:rPr>
          <w:rFonts w:ascii="Arial" w:hAnsi="Arial"/>
          <w:i/>
          <w:vertAlign w:val="baseline"/>
        </w:rPr>
        <w:t>Beswick v Beswick </w:t>
      </w:r>
      <w:r>
        <w:rPr>
          <w:color w:val="005DA1"/>
          <w:u w:val="single" w:color="005DA1"/>
          <w:vertAlign w:val="superscript"/>
        </w:rPr>
        <w:t>322</w:t>
      </w:r>
      <w:r>
        <w:rPr>
          <w:color w:val="005DA1"/>
          <w:vertAlign w:val="baseline"/>
        </w:rPr>
        <w:t> </w:t>
      </w:r>
      <w:r>
        <w:rPr>
          <w:vertAlign w:val="baseline"/>
        </w:rPr>
        <w:t>a majority of the House of Lords said that the promisee’s estate could have recovered no more than nominal damages as it had suffered no loss. </w:t>
      </w:r>
      <w:r>
        <w:rPr>
          <w:color w:val="005DA1"/>
          <w:u w:val="single" w:color="005DA1"/>
          <w:vertAlign w:val="superscript"/>
        </w:rPr>
        <w:t>323</w:t>
      </w:r>
      <w:r>
        <w:rPr>
          <w:color w:val="005DA1"/>
          <w:vertAlign w:val="baseline"/>
        </w:rPr>
        <w:t> </w:t>
      </w:r>
      <w:r>
        <w:rPr>
          <w:vertAlign w:val="baseline"/>
        </w:rPr>
        <w:t>This is scarcely consistent with the view that the promisee under a contract for the benefit of a third party is, as a general rule, </w:t>
      </w:r>
      <w:bookmarkStart w:name="_bookmark581" w:id="583"/>
      <w:bookmarkEnd w:id="583"/>
      <w:r>
        <w:rPr>
          <w:vertAlign w:val="baseline"/>
        </w:rPr>
        <w:t>entitled</w:t>
      </w:r>
      <w:r>
        <w:rPr>
          <w:vertAlign w:val="baseline"/>
        </w:rPr>
        <w:t> to damages in respect of the third party’s loss. James L.J. in </w:t>
      </w:r>
      <w:r>
        <w:rPr>
          <w:rFonts w:ascii="Arial" w:hAnsi="Arial"/>
          <w:i/>
          <w:vertAlign w:val="baseline"/>
        </w:rPr>
        <w:t>Jackson</w:t>
      </w:r>
      <w:r>
        <w:rPr>
          <w:vertAlign w:val="baseline"/>
        </w:rPr>
        <w:t>’s case seems to have regarded the £500 as compensation for the claimant’s own distress. </w:t>
      </w:r>
      <w:r>
        <w:rPr>
          <w:color w:val="005DA1"/>
          <w:u w:val="single" w:color="005DA1"/>
          <w:vertAlign w:val="superscript"/>
        </w:rPr>
        <w:t>324</w:t>
      </w:r>
      <w:r>
        <w:rPr>
          <w:color w:val="005DA1"/>
          <w:vertAlign w:val="baseline"/>
        </w:rPr>
        <w:t> </w:t>
      </w:r>
      <w:r>
        <w:rPr>
          <w:vertAlign w:val="baseline"/>
        </w:rPr>
        <w:t>No doubt this was increased by his witnessing the distress suffered by his wife and children; and if the promisee himself suffers </w:t>
      </w:r>
      <w:bookmarkStart w:name="_bookmark582" w:id="584"/>
      <w:bookmarkEnd w:id="584"/>
      <w:r>
        <w:rPr>
          <w:vertAlign w:val="baseline"/>
        </w:rPr>
        <w:t>loss</w:t>
      </w:r>
      <w:r>
        <w:rPr>
          <w:vertAlign w:val="baseline"/>
        </w:rPr>
        <w:t> he should not be prevented from recovering for it in full merely because the contract was in part one for the benefit of third parties, who also suffered loss. </w:t>
      </w:r>
      <w:r>
        <w:rPr>
          <w:color w:val="005DA1"/>
          <w:u w:val="single" w:color="005DA1"/>
          <w:vertAlign w:val="superscript"/>
        </w:rPr>
        <w:t>325</w:t>
      </w:r>
    </w:p>
    <w:p>
      <w:pPr>
        <w:pStyle w:val="BodyText"/>
        <w:spacing w:before="73"/>
      </w:pPr>
    </w:p>
    <w:p>
      <w:pPr>
        <w:pStyle w:val="Heading2"/>
      </w:pPr>
      <w:r>
        <w:rPr/>
        <w:t>18-</w:t>
      </w:r>
      <w:r>
        <w:rPr>
          <w:spacing w:val="-5"/>
        </w:rPr>
        <w:t>052</w:t>
      </w:r>
    </w:p>
    <w:p>
      <w:pPr>
        <w:pStyle w:val="BodyText"/>
        <w:spacing w:line="235" w:lineRule="auto" w:before="203"/>
        <w:ind w:left="164" w:right="167"/>
        <w:jc w:val="both"/>
      </w:pPr>
      <w:bookmarkStart w:name="_bookmark583" w:id="585"/>
      <w:bookmarkEnd w:id="585"/>
      <w:r>
        <w:rPr/>
      </w:r>
      <w:r>
        <w:rPr/>
        <w:t>Lord Denning’s approach to the question of damages in </w:t>
      </w:r>
      <w:r>
        <w:rPr>
          <w:rFonts w:ascii="Arial" w:hAnsi="Arial"/>
          <w:i/>
        </w:rPr>
        <w:t>Jackson’s </w:t>
      </w:r>
      <w:r>
        <w:rPr/>
        <w:t>case was disapproved by the House</w:t>
      </w:r>
      <w:r>
        <w:rPr>
          <w:spacing w:val="-3"/>
        </w:rPr>
        <w:t> </w:t>
      </w:r>
      <w:r>
        <w:rPr/>
        <w:t>of</w:t>
      </w:r>
      <w:r>
        <w:rPr>
          <w:spacing w:val="-3"/>
        </w:rPr>
        <w:t> </w:t>
      </w:r>
      <w:r>
        <w:rPr/>
        <w:t>Lords</w:t>
      </w:r>
      <w:r>
        <w:rPr>
          <w:spacing w:val="-3"/>
        </w:rPr>
        <w:t> </w:t>
      </w:r>
      <w:r>
        <w:rPr/>
        <w:t>in</w:t>
      </w:r>
      <w:r>
        <w:rPr>
          <w:spacing w:val="-3"/>
        </w:rPr>
        <w:t> </w:t>
      </w:r>
      <w:r>
        <w:rPr>
          <w:rFonts w:ascii="Arial" w:hAnsi="Arial"/>
          <w:i/>
        </w:rPr>
        <w:t>Woodar</w:t>
      </w:r>
      <w:r>
        <w:rPr>
          <w:rFonts w:ascii="Arial" w:hAnsi="Arial"/>
          <w:i/>
          <w:spacing w:val="-3"/>
        </w:rPr>
        <w:t> </w:t>
      </w:r>
      <w:r>
        <w:rPr>
          <w:rFonts w:ascii="Arial" w:hAnsi="Arial"/>
          <w:i/>
        </w:rPr>
        <w:t>Investment</w:t>
      </w:r>
      <w:r>
        <w:rPr>
          <w:rFonts w:ascii="Arial" w:hAnsi="Arial"/>
          <w:i/>
          <w:spacing w:val="-3"/>
        </w:rPr>
        <w:t> </w:t>
      </w:r>
      <w:r>
        <w:rPr>
          <w:rFonts w:ascii="Arial" w:hAnsi="Arial"/>
          <w:i/>
        </w:rPr>
        <w:t>Development</w:t>
      </w:r>
      <w:r>
        <w:rPr>
          <w:rFonts w:ascii="Arial" w:hAnsi="Arial"/>
          <w:i/>
          <w:spacing w:val="-3"/>
        </w:rPr>
        <w:t> </w:t>
      </w:r>
      <w:r>
        <w:rPr>
          <w:rFonts w:ascii="Arial" w:hAnsi="Arial"/>
          <w:i/>
        </w:rPr>
        <w:t>Ltd</w:t>
      </w:r>
      <w:r>
        <w:rPr>
          <w:rFonts w:ascii="Arial" w:hAnsi="Arial"/>
          <w:i/>
          <w:spacing w:val="-3"/>
        </w:rPr>
        <w:t> </w:t>
      </w:r>
      <w:r>
        <w:rPr>
          <w:rFonts w:ascii="Arial" w:hAnsi="Arial"/>
          <w:i/>
        </w:rPr>
        <w:t>v</w:t>
      </w:r>
      <w:r>
        <w:rPr>
          <w:rFonts w:ascii="Arial" w:hAnsi="Arial"/>
          <w:i/>
          <w:spacing w:val="-3"/>
        </w:rPr>
        <w:t> </w:t>
      </w:r>
      <w:r>
        <w:rPr>
          <w:rFonts w:ascii="Arial" w:hAnsi="Arial"/>
          <w:i/>
        </w:rPr>
        <w:t>Wimpey</w:t>
      </w:r>
      <w:r>
        <w:rPr>
          <w:rFonts w:ascii="Arial" w:hAnsi="Arial"/>
          <w:i/>
          <w:spacing w:val="-3"/>
        </w:rPr>
        <w:t> </w:t>
      </w:r>
      <w:r>
        <w:rPr>
          <w:rFonts w:ascii="Arial" w:hAnsi="Arial"/>
          <w:i/>
        </w:rPr>
        <w:t>Construction</w:t>
      </w:r>
      <w:r>
        <w:rPr>
          <w:rFonts w:ascii="Arial" w:hAnsi="Arial"/>
          <w:i/>
          <w:spacing w:val="-3"/>
        </w:rPr>
        <w:t> </w:t>
      </w:r>
      <w:r>
        <w:rPr>
          <w:rFonts w:ascii="Arial" w:hAnsi="Arial"/>
          <w:i/>
        </w:rPr>
        <w:t>Co</w:t>
      </w:r>
      <w:r>
        <w:rPr>
          <w:rFonts w:ascii="Arial" w:hAnsi="Arial"/>
          <w:i/>
          <w:spacing w:val="-3"/>
        </w:rPr>
        <w:t> </w:t>
      </w:r>
      <w:r>
        <w:rPr>
          <w:rFonts w:ascii="Arial" w:hAnsi="Arial"/>
          <w:i/>
        </w:rPr>
        <w:t>Ltd</w:t>
      </w:r>
      <w:r>
        <w:rPr>
          <w:rFonts w:ascii="Arial" w:hAnsi="Arial"/>
          <w:i/>
          <w:spacing w:val="-3"/>
        </w:rPr>
        <w:t> </w:t>
      </w:r>
      <w:r>
        <w:rPr>
          <w:color w:val="005DA1"/>
          <w:u w:val="single" w:color="005DA1"/>
          <w:vertAlign w:val="superscript"/>
        </w:rPr>
        <w:t>326</w:t>
      </w:r>
      <w:r>
        <w:rPr>
          <w:vertAlign w:val="baseline"/>
        </w:rPr>
        <w:t>;</w:t>
      </w:r>
      <w:r>
        <w:rPr>
          <w:spacing w:val="-3"/>
          <w:vertAlign w:val="baseline"/>
        </w:rPr>
        <w:t> </w:t>
      </w:r>
      <w:r>
        <w:rPr>
          <w:vertAlign w:val="baseline"/>
        </w:rPr>
        <w:t>though</w:t>
      </w:r>
      <w:r>
        <w:rPr>
          <w:spacing w:val="-3"/>
          <w:vertAlign w:val="baseline"/>
        </w:rPr>
        <w:t> </w:t>
      </w:r>
      <w:r>
        <w:rPr>
          <w:vertAlign w:val="baseline"/>
        </w:rPr>
        <w:t>the </w:t>
      </w:r>
      <w:bookmarkStart w:name="_bookmark584" w:id="586"/>
      <w:bookmarkEnd w:id="586"/>
      <w:r>
        <w:rPr>
          <w:vertAlign w:val="baseline"/>
        </w:rPr>
        <w:t>actual</w:t>
      </w:r>
      <w:r>
        <w:rPr>
          <w:vertAlign w:val="baseline"/>
        </w:rPr>
        <w:t> decision in </w:t>
      </w:r>
      <w:r>
        <w:rPr>
          <w:rFonts w:ascii="Arial" w:hAnsi="Arial"/>
          <w:i/>
          <w:vertAlign w:val="baseline"/>
        </w:rPr>
        <w:t>Jackson’s </w:t>
      </w:r>
      <w:r>
        <w:rPr>
          <w:vertAlign w:val="baseline"/>
        </w:rPr>
        <w:t>case was supported on the ground that the damages there </w:t>
      </w:r>
      <w:r>
        <w:rPr>
          <w:vertAlign w:val="baseline"/>
        </w:rPr>
        <w:t>were</w:t>
      </w:r>
      <w:r>
        <w:rPr>
          <w:spacing w:val="80"/>
          <w:vertAlign w:val="baseline"/>
        </w:rPr>
        <w:t> </w:t>
      </w:r>
      <w:bookmarkStart w:name="_bookmark585" w:id="587"/>
      <w:bookmarkEnd w:id="587"/>
      <w:r>
        <w:rPr>
          <w:vertAlign w:val="baseline"/>
        </w:rPr>
        <w:t>awarded</w:t>
      </w:r>
      <w:r>
        <w:rPr>
          <w:vertAlign w:val="baseline"/>
        </w:rPr>
        <w:t> in respect of the claimant’s own loss </w:t>
      </w:r>
      <w:r>
        <w:rPr>
          <w:color w:val="005DA1"/>
          <w:u w:val="single" w:color="005DA1"/>
          <w:vertAlign w:val="superscript"/>
        </w:rPr>
        <w:t>327</w:t>
      </w:r>
      <w:r>
        <w:rPr>
          <w:vertAlign w:val="baseline"/>
        </w:rPr>
        <w:t>; or alternatively on the ground that cases such as</w:t>
      </w:r>
      <w:r>
        <w:rPr>
          <w:spacing w:val="40"/>
          <w:vertAlign w:val="baseline"/>
        </w:rPr>
        <w:t> </w:t>
      </w:r>
      <w:r>
        <w:rPr>
          <w:vertAlign w:val="baseline"/>
        </w:rPr>
        <w:t>the</w:t>
      </w:r>
      <w:r>
        <w:rPr>
          <w:spacing w:val="-2"/>
          <w:vertAlign w:val="baseline"/>
        </w:rPr>
        <w:t> </w:t>
      </w:r>
      <w:r>
        <w:rPr>
          <w:vertAlign w:val="baseline"/>
        </w:rPr>
        <w:t>booking</w:t>
      </w:r>
      <w:r>
        <w:rPr>
          <w:spacing w:val="-2"/>
          <w:vertAlign w:val="baseline"/>
        </w:rPr>
        <w:t> </w:t>
      </w:r>
      <w:r>
        <w:rPr>
          <w:vertAlign w:val="baseline"/>
        </w:rPr>
        <w:t>of</w:t>
      </w:r>
      <w:r>
        <w:rPr>
          <w:spacing w:val="-2"/>
          <w:vertAlign w:val="baseline"/>
        </w:rPr>
        <w:t> </w:t>
      </w:r>
      <w:r>
        <w:rPr>
          <w:vertAlign w:val="baseline"/>
        </w:rPr>
        <w:t>family</w:t>
      </w:r>
      <w:r>
        <w:rPr>
          <w:spacing w:val="-2"/>
          <w:vertAlign w:val="baseline"/>
        </w:rPr>
        <w:t> </w:t>
      </w:r>
      <w:r>
        <w:rPr>
          <w:vertAlign w:val="baseline"/>
        </w:rPr>
        <w:t>holidays</w:t>
      </w:r>
      <w:r>
        <w:rPr>
          <w:spacing w:val="-2"/>
          <w:vertAlign w:val="baseline"/>
        </w:rPr>
        <w:t> </w:t>
      </w:r>
      <w:r>
        <w:rPr>
          <w:vertAlign w:val="baseline"/>
        </w:rPr>
        <w:t>or</w:t>
      </w:r>
      <w:r>
        <w:rPr>
          <w:spacing w:val="-2"/>
          <w:vertAlign w:val="baseline"/>
        </w:rPr>
        <w:t> </w:t>
      </w:r>
      <w:r>
        <w:rPr>
          <w:vertAlign w:val="baseline"/>
        </w:rPr>
        <w:t>ordering</w:t>
      </w:r>
      <w:r>
        <w:rPr>
          <w:spacing w:val="-2"/>
          <w:vertAlign w:val="baseline"/>
        </w:rPr>
        <w:t> </w:t>
      </w:r>
      <w:r>
        <w:rPr>
          <w:vertAlign w:val="baseline"/>
        </w:rPr>
        <w:t>meals</w:t>
      </w:r>
      <w:r>
        <w:rPr>
          <w:spacing w:val="-2"/>
          <w:vertAlign w:val="baseline"/>
        </w:rPr>
        <w:t> </w:t>
      </w:r>
      <w:r>
        <w:rPr>
          <w:vertAlign w:val="baseline"/>
        </w:rPr>
        <w:t>in</w:t>
      </w:r>
      <w:r>
        <w:rPr>
          <w:spacing w:val="-2"/>
          <w:vertAlign w:val="baseline"/>
        </w:rPr>
        <w:t> </w:t>
      </w:r>
      <w:r>
        <w:rPr>
          <w:vertAlign w:val="baseline"/>
        </w:rPr>
        <w:t>restaurants</w:t>
      </w:r>
      <w:r>
        <w:rPr>
          <w:spacing w:val="-3"/>
          <w:vertAlign w:val="baseline"/>
        </w:rPr>
        <w:t> </w:t>
      </w:r>
      <w:r>
        <w:rPr>
          <w:color w:val="005DA1"/>
          <w:u w:val="single" w:color="005DA1"/>
          <w:vertAlign w:val="superscript"/>
        </w:rPr>
        <w:t>328</w:t>
      </w:r>
      <w:r>
        <w:rPr>
          <w:color w:val="005DA1"/>
          <w:spacing w:val="-2"/>
          <w:vertAlign w:val="baseline"/>
        </w:rPr>
        <w:t> </w:t>
      </w:r>
      <w:r>
        <w:rPr>
          <w:vertAlign w:val="baseline"/>
        </w:rPr>
        <w:t>might</w:t>
      </w:r>
      <w:r>
        <w:rPr>
          <w:spacing w:val="-2"/>
          <w:vertAlign w:val="baseline"/>
        </w:rPr>
        <w:t> </w:t>
      </w:r>
      <w:r>
        <w:rPr>
          <w:vertAlign w:val="baseline"/>
        </w:rPr>
        <w:t>“call</w:t>
      </w:r>
      <w:r>
        <w:rPr>
          <w:spacing w:val="-2"/>
          <w:vertAlign w:val="baseline"/>
        </w:rPr>
        <w:t> </w:t>
      </w:r>
      <w:r>
        <w:rPr>
          <w:vertAlign w:val="baseline"/>
        </w:rPr>
        <w:t>for</w:t>
      </w:r>
      <w:r>
        <w:rPr>
          <w:spacing w:val="-2"/>
          <w:vertAlign w:val="baseline"/>
        </w:rPr>
        <w:t> </w:t>
      </w:r>
      <w:r>
        <w:rPr>
          <w:vertAlign w:val="baseline"/>
        </w:rPr>
        <w:t>special</w:t>
      </w:r>
      <w:r>
        <w:rPr>
          <w:spacing w:val="-2"/>
          <w:vertAlign w:val="baseline"/>
        </w:rPr>
        <w:t> </w:t>
      </w:r>
      <w:r>
        <w:rPr>
          <w:vertAlign w:val="baseline"/>
        </w:rPr>
        <w:t>treatment.”</w:t>
      </w:r>
      <w:r>
        <w:rPr>
          <w:spacing w:val="-2"/>
          <w:vertAlign w:val="baseline"/>
        </w:rPr>
        <w:t> </w:t>
      </w:r>
      <w:r>
        <w:rPr>
          <w:color w:val="005DA1"/>
          <w:u w:val="single" w:color="005DA1"/>
          <w:vertAlign w:val="superscript"/>
        </w:rPr>
        <w:t>329</w:t>
      </w:r>
      <w:r>
        <w:rPr>
          <w:color w:val="005DA1"/>
          <w:vertAlign w:val="baseline"/>
        </w:rPr>
        <w:t> </w:t>
      </w:r>
      <w:r>
        <w:rPr>
          <w:vertAlign w:val="baseline"/>
        </w:rPr>
        <w:t>In the </w:t>
      </w:r>
      <w:r>
        <w:rPr>
          <w:rFonts w:ascii="Arial" w:hAnsi="Arial"/>
          <w:i/>
          <w:vertAlign w:val="baseline"/>
        </w:rPr>
        <w:t>Woodar </w:t>
      </w:r>
      <w:r>
        <w:rPr>
          <w:vertAlign w:val="baseline"/>
        </w:rPr>
        <w:t>case itself, a contract for the sale of land provided that on completion the purchaser should pay £850,000 to the vendor and also £150,000 to a third party. The vendor claimed damages </w:t>
      </w:r>
      <w:bookmarkStart w:name="_bookmark586" w:id="588"/>
      <w:bookmarkEnd w:id="588"/>
      <w:r>
        <w:rPr>
          <w:vertAlign w:val="baseline"/>
        </w:rPr>
        <w:t>on</w:t>
      </w:r>
      <w:r>
        <w:rPr>
          <w:vertAlign w:val="baseline"/>
        </w:rPr>
        <w:t> the footing that the purchaser had wrongfully repudiated the contract and the actual decision was that there had been no such repudiation, </w:t>
      </w:r>
      <w:r>
        <w:rPr>
          <w:color w:val="005DA1"/>
          <w:u w:val="single" w:color="005DA1"/>
          <w:vertAlign w:val="superscript"/>
        </w:rPr>
        <w:t>330</w:t>
      </w:r>
      <w:r>
        <w:rPr>
          <w:color w:val="005DA1"/>
          <w:vertAlign w:val="baseline"/>
        </w:rPr>
        <w:t> </w:t>
      </w:r>
      <w:r>
        <w:rPr>
          <w:vertAlign w:val="baseline"/>
        </w:rPr>
        <w:t>so that the issue of damages did not arise. But the </w:t>
      </w:r>
      <w:bookmarkStart w:name="_bookmark587" w:id="589"/>
      <w:bookmarkEnd w:id="589"/>
      <w:r>
        <w:rPr>
          <w:vertAlign w:val="baseline"/>
        </w:rPr>
        <w:t>question,</w:t>
      </w:r>
      <w:r>
        <w:rPr>
          <w:vertAlign w:val="baseline"/>
        </w:rPr>
        <w:t> what damages would have been recoverable in the </w:t>
      </w:r>
      <w:r>
        <w:rPr>
          <w:rFonts w:ascii="Arial" w:hAnsi="Arial"/>
          <w:i/>
          <w:vertAlign w:val="baseline"/>
        </w:rPr>
        <w:t>Woodar </w:t>
      </w:r>
      <w:r>
        <w:rPr>
          <w:vertAlign w:val="baseline"/>
        </w:rPr>
        <w:t>case if there had been a wrongful</w:t>
      </w:r>
      <w:r>
        <w:rPr>
          <w:spacing w:val="-1"/>
          <w:vertAlign w:val="baseline"/>
        </w:rPr>
        <w:t> </w:t>
      </w:r>
      <w:r>
        <w:rPr>
          <w:vertAlign w:val="baseline"/>
        </w:rPr>
        <w:t>repudiation,</w:t>
      </w:r>
      <w:r>
        <w:rPr>
          <w:spacing w:val="-1"/>
          <w:vertAlign w:val="baseline"/>
        </w:rPr>
        <w:t> </w:t>
      </w:r>
      <w:r>
        <w:rPr>
          <w:vertAlign w:val="baseline"/>
        </w:rPr>
        <w:t>was</w:t>
      </w:r>
      <w:r>
        <w:rPr>
          <w:spacing w:val="-1"/>
          <w:vertAlign w:val="baseline"/>
        </w:rPr>
        <w:t> </w:t>
      </w:r>
      <w:r>
        <w:rPr>
          <w:vertAlign w:val="baseline"/>
        </w:rPr>
        <w:t>described</w:t>
      </w:r>
      <w:r>
        <w:rPr>
          <w:spacing w:val="-1"/>
          <w:vertAlign w:val="baseline"/>
        </w:rPr>
        <w:t> </w:t>
      </w:r>
      <w:r>
        <w:rPr>
          <w:vertAlign w:val="baseline"/>
        </w:rPr>
        <w:t>as</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great</w:t>
      </w:r>
      <w:r>
        <w:rPr>
          <w:spacing w:val="-1"/>
          <w:vertAlign w:val="baseline"/>
        </w:rPr>
        <w:t> </w:t>
      </w:r>
      <w:r>
        <w:rPr>
          <w:vertAlign w:val="baseline"/>
        </w:rPr>
        <w:t>doubt</w:t>
      </w:r>
      <w:r>
        <w:rPr>
          <w:spacing w:val="-1"/>
          <w:vertAlign w:val="baseline"/>
        </w:rPr>
        <w:t> </w:t>
      </w:r>
      <w:r>
        <w:rPr>
          <w:vertAlign w:val="baseline"/>
        </w:rPr>
        <w:t>and</w:t>
      </w:r>
      <w:r>
        <w:rPr>
          <w:spacing w:val="-1"/>
          <w:vertAlign w:val="baseline"/>
        </w:rPr>
        <w:t> </w:t>
      </w:r>
      <w:r>
        <w:rPr>
          <w:vertAlign w:val="baseline"/>
        </w:rPr>
        <w:t>difficulty”</w:t>
      </w:r>
      <w:r>
        <w:rPr>
          <w:spacing w:val="-2"/>
          <w:vertAlign w:val="baseline"/>
        </w:rPr>
        <w:t> </w:t>
      </w:r>
      <w:r>
        <w:rPr>
          <w:color w:val="005DA1"/>
          <w:u w:val="single" w:color="005DA1"/>
          <w:vertAlign w:val="superscript"/>
        </w:rPr>
        <w:t>331</w:t>
      </w:r>
      <w:r>
        <w:rPr>
          <w:vertAlign w:val="baseline"/>
        </w:rPr>
        <w:t>;</w:t>
      </w:r>
      <w:r>
        <w:rPr>
          <w:spacing w:val="-1"/>
          <w:vertAlign w:val="baseline"/>
        </w:rPr>
        <w:t> </w:t>
      </w:r>
      <w:r>
        <w:rPr>
          <w:vertAlign w:val="baseline"/>
        </w:rPr>
        <w:t>presumably</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turn on such factors as whether the vendor was under a legal obligation to ensure that the third party received the payment, or whether, on the purchaser’s failure to make the payment, the vendor had actually made it, or procured it to be made, from other resources available to him.</w:t>
      </w:r>
    </w:p>
    <w:p>
      <w:pPr>
        <w:pStyle w:val="BodyText"/>
      </w:pPr>
    </w:p>
    <w:p>
      <w:pPr>
        <w:pStyle w:val="BodyText"/>
        <w:spacing w:before="33"/>
      </w:pPr>
    </w:p>
    <w:p>
      <w:pPr>
        <w:spacing w:before="0"/>
        <w:ind w:left="165" w:right="0" w:firstLine="0"/>
        <w:jc w:val="left"/>
        <w:rPr>
          <w:rFonts w:ascii="Arial"/>
          <w:b/>
          <w:sz w:val="18"/>
        </w:rPr>
      </w:pPr>
      <w:r>
        <w:rPr>
          <w:rFonts w:ascii="Arial"/>
          <w:b/>
          <w:sz w:val="18"/>
        </w:rPr>
        <w:t>Criticism of the general </w:t>
      </w:r>
      <w:r>
        <w:rPr>
          <w:rFonts w:ascii="Arial"/>
          <w:b/>
          <w:spacing w:val="-4"/>
          <w:sz w:val="18"/>
        </w:rPr>
        <w:t>rule</w:t>
      </w:r>
    </w:p>
    <w:p>
      <w:pPr>
        <w:pStyle w:val="BodyText"/>
        <w:spacing w:before="41"/>
        <w:rPr>
          <w:rFonts w:ascii="Arial"/>
          <w:b/>
          <w:sz w:val="18"/>
        </w:rPr>
      </w:pPr>
    </w:p>
    <w:p>
      <w:pPr>
        <w:pStyle w:val="Heading2"/>
        <w:spacing w:before="1"/>
      </w:pPr>
      <w:r>
        <w:rPr/>
        <w:t>18-</w:t>
      </w:r>
      <w:r>
        <w:rPr>
          <w:spacing w:val="-5"/>
        </w:rPr>
        <w:t>053</w:t>
      </w:r>
    </w:p>
    <w:p>
      <w:pPr>
        <w:spacing w:line="227" w:lineRule="exact" w:before="198"/>
        <w:ind w:left="165" w:right="0" w:firstLine="0"/>
        <w:jc w:val="left"/>
        <w:rPr>
          <w:sz w:val="20"/>
        </w:rPr>
      </w:pPr>
      <w:bookmarkStart w:name="_bookmark588" w:id="590"/>
      <w:bookmarkEnd w:id="590"/>
      <w:r>
        <w:rPr/>
      </w:r>
      <w:r>
        <w:rPr>
          <w:sz w:val="20"/>
        </w:rPr>
        <w:t>The</w:t>
      </w:r>
      <w:r>
        <w:rPr>
          <w:spacing w:val="18"/>
          <w:sz w:val="20"/>
        </w:rPr>
        <w:t> </w:t>
      </w:r>
      <w:r>
        <w:rPr>
          <w:sz w:val="20"/>
        </w:rPr>
        <w:t>assumption</w:t>
      </w:r>
      <w:r>
        <w:rPr>
          <w:spacing w:val="18"/>
          <w:sz w:val="20"/>
        </w:rPr>
        <w:t> </w:t>
      </w:r>
      <w:r>
        <w:rPr>
          <w:sz w:val="20"/>
        </w:rPr>
        <w:t>underlying</w:t>
      </w:r>
      <w:r>
        <w:rPr>
          <w:spacing w:val="18"/>
          <w:sz w:val="20"/>
        </w:rPr>
        <w:t> </w:t>
      </w:r>
      <w:r>
        <w:rPr>
          <w:rFonts w:ascii="Arial"/>
          <w:i/>
          <w:sz w:val="20"/>
        </w:rPr>
        <w:t>Woodar</w:t>
      </w:r>
      <w:r>
        <w:rPr>
          <w:rFonts w:ascii="Arial"/>
          <w:i/>
          <w:spacing w:val="18"/>
          <w:sz w:val="20"/>
        </w:rPr>
        <w:t> </w:t>
      </w:r>
      <w:r>
        <w:rPr>
          <w:rFonts w:ascii="Arial"/>
          <w:i/>
          <w:sz w:val="20"/>
        </w:rPr>
        <w:t>Investment</w:t>
      </w:r>
      <w:r>
        <w:rPr>
          <w:rFonts w:ascii="Arial"/>
          <w:i/>
          <w:spacing w:val="18"/>
          <w:sz w:val="20"/>
        </w:rPr>
        <w:t> </w:t>
      </w:r>
      <w:r>
        <w:rPr>
          <w:rFonts w:ascii="Arial"/>
          <w:i/>
          <w:sz w:val="20"/>
        </w:rPr>
        <w:t>Development</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Wimpey</w:t>
      </w:r>
      <w:r>
        <w:rPr>
          <w:rFonts w:ascii="Arial"/>
          <w:i/>
          <w:spacing w:val="18"/>
          <w:sz w:val="20"/>
        </w:rPr>
        <w:t> </w:t>
      </w:r>
      <w:r>
        <w:rPr>
          <w:rFonts w:ascii="Arial"/>
          <w:i/>
          <w:sz w:val="20"/>
        </w:rPr>
        <w:t>Construction</w:t>
      </w:r>
      <w:r>
        <w:rPr>
          <w:rFonts w:ascii="Arial"/>
          <w:i/>
          <w:spacing w:val="18"/>
          <w:sz w:val="20"/>
        </w:rPr>
        <w:t> </w:t>
      </w:r>
      <w:r>
        <w:rPr>
          <w:rFonts w:ascii="Arial"/>
          <w:i/>
          <w:sz w:val="20"/>
        </w:rPr>
        <w:t>UK</w:t>
      </w:r>
      <w:r>
        <w:rPr>
          <w:rFonts w:ascii="Arial"/>
          <w:i/>
          <w:spacing w:val="18"/>
          <w:sz w:val="20"/>
        </w:rPr>
        <w:t> </w:t>
      </w:r>
      <w:r>
        <w:rPr>
          <w:rFonts w:ascii="Arial"/>
          <w:i/>
          <w:sz w:val="20"/>
        </w:rPr>
        <w:t>Ltd</w:t>
      </w:r>
      <w:r>
        <w:rPr>
          <w:rFonts w:ascii="Arial"/>
          <w:i/>
          <w:spacing w:val="17"/>
          <w:sz w:val="20"/>
        </w:rPr>
        <w:t> </w:t>
      </w:r>
      <w:r>
        <w:rPr>
          <w:color w:val="005DA1"/>
          <w:spacing w:val="-5"/>
          <w:sz w:val="20"/>
          <w:u w:val="single" w:color="005DA1"/>
          <w:vertAlign w:val="superscript"/>
        </w:rPr>
        <w:t>332</w:t>
      </w:r>
    </w:p>
    <w:p>
      <w:pPr>
        <w:pStyle w:val="BodyText"/>
        <w:spacing w:line="227" w:lineRule="exact"/>
        <w:ind w:left="165"/>
        <w:jc w:val="both"/>
      </w:pPr>
      <w:r>
        <w:rPr/>
        <w:t>thus</w:t>
      </w:r>
      <w:r>
        <w:rPr>
          <w:spacing w:val="17"/>
        </w:rPr>
        <w:t> </w:t>
      </w:r>
      <w:r>
        <w:rPr/>
        <w:t>seems</w:t>
      </w:r>
      <w:r>
        <w:rPr>
          <w:spacing w:val="17"/>
        </w:rPr>
        <w:t> </w:t>
      </w:r>
      <w:r>
        <w:rPr/>
        <w:t>to</w:t>
      </w:r>
      <w:r>
        <w:rPr>
          <w:spacing w:val="17"/>
        </w:rPr>
        <w:t> </w:t>
      </w:r>
      <w:r>
        <w:rPr/>
        <w:t>be</w:t>
      </w:r>
      <w:r>
        <w:rPr>
          <w:spacing w:val="17"/>
        </w:rPr>
        <w:t> </w:t>
      </w:r>
      <w:r>
        <w:rPr/>
        <w:t>that</w:t>
      </w:r>
      <w:r>
        <w:rPr>
          <w:spacing w:val="17"/>
        </w:rPr>
        <w:t> </w:t>
      </w:r>
      <w:r>
        <w:rPr/>
        <w:t>damages</w:t>
      </w:r>
      <w:r>
        <w:rPr>
          <w:spacing w:val="17"/>
        </w:rPr>
        <w:t> </w:t>
      </w:r>
      <w:r>
        <w:rPr/>
        <w:t>for</w:t>
      </w:r>
      <w:r>
        <w:rPr>
          <w:spacing w:val="17"/>
        </w:rPr>
        <w:t> </w:t>
      </w:r>
      <w:r>
        <w:rPr/>
        <w:t>breach</w:t>
      </w:r>
      <w:r>
        <w:rPr>
          <w:spacing w:val="17"/>
        </w:rPr>
        <w:t> </w:t>
      </w:r>
      <w:r>
        <w:rPr/>
        <w:t>of</w:t>
      </w:r>
      <w:r>
        <w:rPr>
          <w:spacing w:val="17"/>
        </w:rPr>
        <w:t> </w:t>
      </w:r>
      <w:r>
        <w:rPr/>
        <w:t>a</w:t>
      </w:r>
      <w:r>
        <w:rPr>
          <w:spacing w:val="17"/>
        </w:rPr>
        <w:t> </w:t>
      </w:r>
      <w:r>
        <w:rPr/>
        <w:t>contract</w:t>
      </w:r>
      <w:r>
        <w:rPr>
          <w:spacing w:val="17"/>
        </w:rPr>
        <w:t> </w:t>
      </w:r>
      <w:r>
        <w:rPr/>
        <w:t>for</w:t>
      </w:r>
      <w:r>
        <w:rPr>
          <w:spacing w:val="17"/>
        </w:rPr>
        <w:t> </w:t>
      </w:r>
      <w:r>
        <w:rPr/>
        <w:t>the</w:t>
      </w:r>
      <w:r>
        <w:rPr>
          <w:spacing w:val="17"/>
        </w:rPr>
        <w:t> </w:t>
      </w:r>
      <w:r>
        <w:rPr/>
        <w:t>benefit</w:t>
      </w:r>
      <w:r>
        <w:rPr>
          <w:spacing w:val="17"/>
        </w:rPr>
        <w:t> </w:t>
      </w:r>
      <w:r>
        <w:rPr/>
        <w:t>of</w:t>
      </w:r>
      <w:r>
        <w:rPr>
          <w:spacing w:val="17"/>
        </w:rPr>
        <w:t> </w:t>
      </w:r>
      <w:r>
        <w:rPr/>
        <w:t>a</w:t>
      </w:r>
      <w:r>
        <w:rPr>
          <w:spacing w:val="17"/>
        </w:rPr>
        <w:t> </w:t>
      </w:r>
      <w:r>
        <w:rPr/>
        <w:t>third</w:t>
      </w:r>
      <w:r>
        <w:rPr>
          <w:spacing w:val="17"/>
        </w:rPr>
        <w:t> </w:t>
      </w:r>
      <w:r>
        <w:rPr/>
        <w:t>party</w:t>
      </w:r>
      <w:r>
        <w:rPr>
          <w:spacing w:val="17"/>
        </w:rPr>
        <w:t> </w:t>
      </w:r>
      <w:r>
        <w:rPr/>
        <w:t>cannot,</w:t>
      </w:r>
      <w:r>
        <w:rPr>
          <w:spacing w:val="17"/>
        </w:rPr>
        <w:t> </w:t>
      </w:r>
      <w:r>
        <w:rPr/>
        <w:t>as</w:t>
      </w:r>
      <w:r>
        <w:rPr>
          <w:spacing w:val="17"/>
        </w:rPr>
        <w:t> </w:t>
      </w:r>
      <w:r>
        <w:rPr>
          <w:spacing w:val="-10"/>
        </w:rPr>
        <w:t>a</w:t>
      </w:r>
    </w:p>
    <w:p>
      <w:pPr>
        <w:pStyle w:val="BodyText"/>
        <w:spacing w:after="0" w:line="227" w:lineRule="exact"/>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589" w:id="591"/>
      <w:bookmarkEnd w:id="591"/>
      <w:r>
        <w:rPr/>
      </w:r>
      <w:r>
        <w:rPr/>
        <w:t>general rule, be recovered by the promisee in respect of a loss suffered only by the third party. At </w:t>
      </w:r>
      <w:r>
        <w:rPr/>
        <w:t>the </w:t>
      </w:r>
      <w:bookmarkStart w:name="_bookmark590" w:id="592"/>
      <w:bookmarkEnd w:id="592"/>
      <w:r>
        <w:rPr/>
        <w:t>same</w:t>
      </w:r>
      <w:r>
        <w:rPr/>
        <w:t> time, this position was described as “most unsatisfactory” </w:t>
      </w:r>
      <w:r>
        <w:rPr>
          <w:color w:val="005DA1"/>
          <w:u w:val="single" w:color="005DA1"/>
          <w:vertAlign w:val="superscript"/>
        </w:rPr>
        <w:t>333</w:t>
      </w:r>
      <w:r>
        <w:rPr>
          <w:color w:val="005DA1"/>
          <w:vertAlign w:val="baseline"/>
        </w:rPr>
        <w:t> </w:t>
      </w:r>
      <w:r>
        <w:rPr>
          <w:vertAlign w:val="baseline"/>
        </w:rPr>
        <w:t>and said to be in need of </w:t>
      </w:r>
      <w:bookmarkStart w:name="_bookmark591" w:id="593"/>
      <w:bookmarkEnd w:id="593"/>
      <w:r>
        <w:rPr>
          <w:vertAlign w:val="baseline"/>
        </w:rPr>
        <w:t>reconsideration,</w:t>
      </w:r>
      <w:r>
        <w:rPr>
          <w:vertAlign w:val="baseline"/>
        </w:rPr>
        <w:t> either by the legislature or by the House of Lords in its judicial capacity. </w:t>
      </w:r>
      <w:r>
        <w:rPr>
          <w:color w:val="005DA1"/>
          <w:u w:val="single" w:color="005DA1"/>
          <w:vertAlign w:val="superscript"/>
        </w:rPr>
        <w:t>334</w:t>
      </w:r>
      <w:r>
        <w:rPr>
          <w:color w:val="005DA1"/>
          <w:vertAlign w:val="baseline"/>
        </w:rPr>
        <w:t> </w:t>
      </w:r>
      <w:r>
        <w:rPr>
          <w:vertAlign w:val="baseline"/>
        </w:rPr>
        <w:t>It is unsatisfactory because it can give rise to what has been called a “legal black hole” </w:t>
      </w:r>
      <w:r>
        <w:rPr>
          <w:color w:val="005DA1"/>
          <w:u w:val="single" w:color="005DA1"/>
          <w:vertAlign w:val="superscript"/>
        </w:rPr>
        <w:t>335</w:t>
      </w:r>
      <w:r>
        <w:rPr>
          <w:color w:val="005DA1"/>
          <w:vertAlign w:val="baseline"/>
        </w:rPr>
        <w:t> </w:t>
      </w:r>
      <w:r>
        <w:rPr>
          <w:vertAlign w:val="baseline"/>
        </w:rPr>
        <w:t>that is, to a </w:t>
      </w:r>
      <w:bookmarkStart w:name="_bookmark592" w:id="594"/>
      <w:bookmarkEnd w:id="594"/>
      <w:r>
        <w:rPr>
          <w:vertAlign w:val="baseline"/>
        </w:rPr>
        <w:t>situation</w:t>
      </w:r>
      <w:r>
        <w:rPr>
          <w:vertAlign w:val="baseline"/>
        </w:rPr>
        <w:t> in which the promisor has committed a plain breach which has caused loss to the third party </w:t>
      </w:r>
      <w:bookmarkStart w:name="_bookmark593" w:id="595"/>
      <w:bookmarkEnd w:id="595"/>
      <w:r>
        <w:rPr>
          <w:vertAlign w:val="baseline"/>
        </w:rPr>
        <w:t>whom</w:t>
      </w:r>
      <w:r>
        <w:rPr>
          <w:vertAlign w:val="baseline"/>
        </w:rPr>
        <w:t> the contracting parties intended to benefit </w:t>
      </w:r>
      <w:r>
        <w:rPr>
          <w:color w:val="005DA1"/>
          <w:u w:val="single" w:color="005DA1"/>
          <w:vertAlign w:val="superscript"/>
        </w:rPr>
        <w:t>336</w:t>
      </w:r>
      <w:r>
        <w:rPr>
          <w:color w:val="005DA1"/>
          <w:vertAlign w:val="baseline"/>
        </w:rPr>
        <w:t> </w:t>
      </w:r>
      <w:r>
        <w:rPr>
          <w:vertAlign w:val="baseline"/>
        </w:rPr>
        <w:t>but none to the promisee, and in which no other </w:t>
      </w:r>
      <w:bookmarkStart w:name="_bookmark594" w:id="596"/>
      <w:bookmarkEnd w:id="596"/>
      <w:r>
        <w:rPr>
          <w:vertAlign w:val="baseline"/>
        </w:rPr>
        <w:t>remedy</w:t>
      </w:r>
      <w:r>
        <w:rPr>
          <w:vertAlign w:val="baseline"/>
        </w:rPr>
        <w:t> </w:t>
      </w:r>
      <w:r>
        <w:rPr>
          <w:color w:val="005DA1"/>
          <w:u w:val="single" w:color="005DA1"/>
          <w:vertAlign w:val="superscript"/>
        </w:rPr>
        <w:t>337</w:t>
      </w:r>
      <w:r>
        <w:rPr>
          <w:color w:val="005DA1"/>
          <w:vertAlign w:val="baseline"/>
        </w:rPr>
        <w:t> </w:t>
      </w:r>
      <w:r>
        <w:rPr>
          <w:vertAlign w:val="baseline"/>
        </w:rPr>
        <w:t>(than damages in respect of the third party’s loss) is available against the promisor. The general rule was again criticised in </w:t>
      </w:r>
      <w:r>
        <w:rPr>
          <w:rFonts w:ascii="Arial" w:hAnsi="Arial"/>
          <w:i/>
          <w:vertAlign w:val="baseline"/>
        </w:rPr>
        <w:t>Forster v Silvermere Golf and Equestrian Centre</w:t>
      </w:r>
      <w:r>
        <w:rPr>
          <w:vertAlign w:val="baseline"/>
        </w:rPr>
        <w:t>, </w:t>
      </w:r>
      <w:r>
        <w:rPr>
          <w:color w:val="005DA1"/>
          <w:u w:val="single" w:color="005DA1"/>
          <w:vertAlign w:val="superscript"/>
        </w:rPr>
        <w:t>338</w:t>
      </w:r>
      <w:r>
        <w:rPr>
          <w:color w:val="005DA1"/>
          <w:vertAlign w:val="baseline"/>
        </w:rPr>
        <w:t> </w:t>
      </w:r>
      <w:r>
        <w:rPr>
          <w:vertAlign w:val="baseline"/>
        </w:rPr>
        <w:t>where the claimant transferred land to the defendant who undertook to build a house on it and to allow the claimant and her children to live in it rent free for life. It was held that the claimant could recover damages in respect (1) of her own loss but not (2) in respect of any rights of occupation which her </w:t>
      </w:r>
      <w:bookmarkStart w:name="_bookmark595" w:id="597"/>
      <w:bookmarkEnd w:id="597"/>
      <w:r>
        <w:rPr>
          <w:vertAlign w:val="baseline"/>
        </w:rPr>
        <w:t>children</w:t>
      </w:r>
      <w:r>
        <w:rPr>
          <w:spacing w:val="-2"/>
          <w:vertAlign w:val="baseline"/>
        </w:rPr>
        <w:t> </w:t>
      </w:r>
      <w:r>
        <w:rPr>
          <w:vertAlign w:val="baseline"/>
        </w:rPr>
        <w:t>might</w:t>
      </w:r>
      <w:r>
        <w:rPr>
          <w:spacing w:val="-2"/>
          <w:vertAlign w:val="baseline"/>
        </w:rPr>
        <w:t> </w:t>
      </w:r>
      <w:r>
        <w:rPr>
          <w:vertAlign w:val="baseline"/>
        </w:rPr>
        <w:t>have</w:t>
      </w:r>
      <w:r>
        <w:rPr>
          <w:spacing w:val="-2"/>
          <w:vertAlign w:val="baseline"/>
        </w:rPr>
        <w:t> </w:t>
      </w:r>
      <w:r>
        <w:rPr>
          <w:vertAlign w:val="baseline"/>
        </w:rPr>
        <w:t>enjoyed</w:t>
      </w:r>
      <w:r>
        <w:rPr>
          <w:spacing w:val="-2"/>
          <w:vertAlign w:val="baseline"/>
        </w:rPr>
        <w:t> </w:t>
      </w:r>
      <w:r>
        <w:rPr>
          <w:vertAlign w:val="baseline"/>
        </w:rPr>
        <w:t>after</w:t>
      </w:r>
      <w:r>
        <w:rPr>
          <w:spacing w:val="-2"/>
          <w:vertAlign w:val="baseline"/>
        </w:rPr>
        <w:t> </w:t>
      </w:r>
      <w:r>
        <w:rPr>
          <w:vertAlign w:val="baseline"/>
        </w:rPr>
        <w:t>her</w:t>
      </w:r>
      <w:r>
        <w:rPr>
          <w:spacing w:val="-2"/>
          <w:vertAlign w:val="baseline"/>
        </w:rPr>
        <w:t> </w:t>
      </w:r>
      <w:r>
        <w:rPr>
          <w:vertAlign w:val="baseline"/>
        </w:rPr>
        <w:t>death.</w:t>
      </w:r>
      <w:r>
        <w:rPr>
          <w:spacing w:val="-2"/>
          <w:vertAlign w:val="baseline"/>
        </w:rPr>
        <w:t> </w:t>
      </w:r>
      <w:r>
        <w:rPr>
          <w:vertAlign w:val="baseline"/>
        </w:rPr>
        <w:t>Dillon</w:t>
      </w:r>
      <w:r>
        <w:rPr>
          <w:spacing w:val="-2"/>
          <w:vertAlign w:val="baseline"/>
        </w:rPr>
        <w:t> </w:t>
      </w:r>
      <w:r>
        <w:rPr>
          <w:vertAlign w:val="baseline"/>
        </w:rPr>
        <w:t>J.</w:t>
      </w:r>
      <w:r>
        <w:rPr>
          <w:spacing w:val="-2"/>
          <w:vertAlign w:val="baseline"/>
        </w:rPr>
        <w:t> </w:t>
      </w:r>
      <w:r>
        <w:rPr>
          <w:vertAlign w:val="baseline"/>
        </w:rPr>
        <w:t>described</w:t>
      </w:r>
      <w:r>
        <w:rPr>
          <w:spacing w:val="-2"/>
          <w:vertAlign w:val="baseline"/>
        </w:rPr>
        <w:t> </w:t>
      </w:r>
      <w:r>
        <w:rPr>
          <w:vertAlign w:val="baseline"/>
        </w:rPr>
        <w:t>the</w:t>
      </w:r>
      <w:r>
        <w:rPr>
          <w:spacing w:val="-2"/>
          <w:vertAlign w:val="baseline"/>
        </w:rPr>
        <w:t> </w:t>
      </w:r>
      <w:r>
        <w:rPr>
          <w:vertAlign w:val="baseline"/>
        </w:rPr>
        <w:t>second</w:t>
      </w:r>
      <w:r>
        <w:rPr>
          <w:spacing w:val="-2"/>
          <w:vertAlign w:val="baseline"/>
        </w:rPr>
        <w:t> </w:t>
      </w:r>
      <w:r>
        <w:rPr>
          <w:vertAlign w:val="baseline"/>
        </w:rPr>
        <w:t>of</w:t>
      </w:r>
      <w:r>
        <w:rPr>
          <w:spacing w:val="-2"/>
          <w:vertAlign w:val="baseline"/>
        </w:rPr>
        <w:t> </w:t>
      </w:r>
      <w:r>
        <w:rPr>
          <w:vertAlign w:val="baseline"/>
        </w:rPr>
        <w:t>these</w:t>
      </w:r>
      <w:r>
        <w:rPr>
          <w:spacing w:val="-2"/>
          <w:vertAlign w:val="baseline"/>
        </w:rPr>
        <w:t> </w:t>
      </w:r>
      <w:r>
        <w:rPr>
          <w:vertAlign w:val="baseline"/>
        </w:rPr>
        <w:t>conclusions</w:t>
      </w:r>
      <w:r>
        <w:rPr>
          <w:spacing w:val="-2"/>
          <w:vertAlign w:val="baseline"/>
        </w:rPr>
        <w:t> </w:t>
      </w:r>
      <w:r>
        <w:rPr>
          <w:vertAlign w:val="baseline"/>
        </w:rPr>
        <w:t>as</w:t>
      </w:r>
      <w:r>
        <w:rPr>
          <w:spacing w:val="-2"/>
          <w:vertAlign w:val="baseline"/>
        </w:rPr>
        <w:t> </w:t>
      </w:r>
      <w:r>
        <w:rPr>
          <w:vertAlign w:val="baseline"/>
        </w:rPr>
        <w:t>“a </w:t>
      </w:r>
      <w:bookmarkStart w:name="_bookmark596" w:id="598"/>
      <w:bookmarkEnd w:id="598"/>
      <w:r>
        <w:rPr>
          <w:vertAlign w:val="baseline"/>
        </w:rPr>
        <w:t>blot</w:t>
      </w:r>
      <w:r>
        <w:rPr>
          <w:vertAlign w:val="baseline"/>
        </w:rPr>
        <w:t> on our law and most unjust.” It is submitted (on the basis of the explanation of</w:t>
      </w:r>
      <w:r>
        <w:rPr>
          <w:spacing w:val="-1"/>
          <w:vertAlign w:val="baseline"/>
        </w:rPr>
        <w:t> </w:t>
      </w:r>
      <w:r>
        <w:rPr>
          <w:rFonts w:ascii="Arial" w:hAnsi="Arial"/>
          <w:i/>
          <w:vertAlign w:val="baseline"/>
        </w:rPr>
        <w:t>Beswick v Beswick </w:t>
      </w:r>
      <w:r>
        <w:rPr>
          <w:color w:val="005DA1"/>
          <w:u w:val="single" w:color="005DA1"/>
          <w:vertAlign w:val="superscript"/>
        </w:rPr>
        <w:t>339</w:t>
      </w:r>
      <w:r>
        <w:rPr>
          <w:color w:val="005DA1"/>
          <w:vertAlign w:val="baseline"/>
        </w:rPr>
        <w:t> </w:t>
      </w:r>
      <w:r>
        <w:rPr>
          <w:vertAlign w:val="baseline"/>
        </w:rPr>
        <w:t>given above) </w:t>
      </w:r>
      <w:r>
        <w:rPr>
          <w:color w:val="005DA1"/>
          <w:u w:val="single" w:color="005DA1"/>
          <w:vertAlign w:val="superscript"/>
        </w:rPr>
        <w:t>340</w:t>
      </w:r>
      <w:r>
        <w:rPr>
          <w:color w:val="005DA1"/>
          <w:vertAlign w:val="baseline"/>
        </w:rPr>
        <w:t> </w:t>
      </w:r>
      <w:r>
        <w:rPr>
          <w:vertAlign w:val="baseline"/>
        </w:rPr>
        <w:t>that any expenses incurred by the claimant in making alternative provision for the </w:t>
      </w:r>
      <w:bookmarkStart w:name="_bookmark597" w:id="599"/>
      <w:bookmarkEnd w:id="599"/>
      <w:r>
        <w:rPr>
          <w:vertAlign w:val="baseline"/>
        </w:rPr>
        <w:t>accommodation</w:t>
      </w:r>
      <w:r>
        <w:rPr>
          <w:vertAlign w:val="baseline"/>
        </w:rPr>
        <w:t> of her children after her death could have been recovered as forming part of her own loss. </w:t>
      </w:r>
      <w:r>
        <w:rPr>
          <w:color w:val="005DA1"/>
          <w:u w:val="single" w:color="005DA1"/>
          <w:vertAlign w:val="superscript"/>
        </w:rPr>
        <w:t>341</w:t>
      </w:r>
      <w:r>
        <w:rPr>
          <w:color w:val="005DA1"/>
          <w:vertAlign w:val="baseline"/>
        </w:rPr>
        <w:t> </w:t>
      </w:r>
      <w:r>
        <w:rPr>
          <w:vertAlign w:val="baseline"/>
        </w:rPr>
        <w:t>On the other hand, it is unlikely that the claimant could have secured the intended benefit for </w:t>
      </w:r>
      <w:bookmarkStart w:name="_bookmark598" w:id="600"/>
      <w:bookmarkEnd w:id="600"/>
      <w:r>
        <w:rPr>
          <w:vertAlign w:val="baseline"/>
        </w:rPr>
        <w:t>her</w:t>
      </w:r>
      <w:r>
        <w:rPr>
          <w:vertAlign w:val="baseline"/>
        </w:rPr>
        <w:t> children by seeking specific performance, for it does not seem that the defendant’s obligation to build was defined with sufficient precision to enable the court to enforce it specifically. </w:t>
      </w:r>
      <w:r>
        <w:rPr>
          <w:color w:val="005DA1"/>
          <w:u w:val="single" w:color="005DA1"/>
          <w:vertAlign w:val="superscript"/>
        </w:rPr>
        <w:t>342</w:t>
      </w:r>
    </w:p>
    <w:p>
      <w:pPr>
        <w:pStyle w:val="BodyText"/>
      </w:pPr>
    </w:p>
    <w:p>
      <w:pPr>
        <w:pStyle w:val="BodyText"/>
        <w:spacing w:before="31"/>
      </w:pPr>
    </w:p>
    <w:p>
      <w:pPr>
        <w:spacing w:before="1"/>
        <w:ind w:left="165" w:right="0" w:firstLine="0"/>
        <w:jc w:val="both"/>
        <w:rPr>
          <w:rFonts w:ascii="Arial" w:hAnsi="Arial"/>
          <w:b/>
          <w:sz w:val="18"/>
        </w:rPr>
      </w:pPr>
      <w:r>
        <w:rPr>
          <w:rFonts w:ascii="Arial" w:hAnsi="Arial"/>
          <w:b/>
          <w:sz w:val="18"/>
        </w:rPr>
        <w:t>Damages in respect of third party’s loss: exceptions in </w:t>
      </w:r>
      <w:r>
        <w:rPr>
          <w:rFonts w:ascii="Arial" w:hAnsi="Arial"/>
          <w:b/>
          <w:spacing w:val="-2"/>
          <w:sz w:val="18"/>
        </w:rPr>
        <w:t>general</w:t>
      </w:r>
    </w:p>
    <w:p>
      <w:pPr>
        <w:pStyle w:val="BodyText"/>
        <w:spacing w:before="41"/>
        <w:rPr>
          <w:rFonts w:ascii="Arial"/>
          <w:b/>
          <w:sz w:val="18"/>
        </w:rPr>
      </w:pPr>
    </w:p>
    <w:p>
      <w:pPr>
        <w:pStyle w:val="Heading2"/>
      </w:pPr>
      <w:r>
        <w:rPr/>
        <w:t>18-</w:t>
      </w:r>
      <w:r>
        <w:rPr>
          <w:spacing w:val="-5"/>
        </w:rPr>
        <w:t>054</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599" w:id="601"/>
      <w:bookmarkEnd w:id="601"/>
      <w:r>
        <w:rPr>
          <w:rFonts w:ascii="Times New Roman"/>
          <w:spacing w:val="-9"/>
        </w:rPr>
      </w:r>
      <w:r>
        <w:rPr/>
        <w:t>Judicial awareness of the unsatisfactory results which can flow from the general rule stated in para.18-051 above and reaffirmed in the </w:t>
      </w:r>
      <w:r>
        <w:rPr>
          <w:rFonts w:ascii="Arial"/>
          <w:i/>
        </w:rPr>
        <w:t>Woodar </w:t>
      </w:r>
      <w:r>
        <w:rPr/>
        <w:t>case </w:t>
      </w:r>
      <w:r>
        <w:rPr>
          <w:color w:val="005DA1"/>
          <w:u w:val="single" w:color="005DA1"/>
          <w:vertAlign w:val="superscript"/>
        </w:rPr>
        <w:t>343</w:t>
      </w:r>
      <w:r>
        <w:rPr>
          <w:color w:val="005DA1"/>
          <w:vertAlign w:val="baseline"/>
        </w:rPr>
        <w:t> </w:t>
      </w:r>
      <w:r>
        <w:rPr>
          <w:vertAlign w:val="baseline"/>
        </w:rPr>
        <w:t>has led the courts to create a number of </w:t>
      </w:r>
      <w:bookmarkStart w:name="_bookmark600" w:id="602"/>
      <w:bookmarkEnd w:id="602"/>
      <w:r>
        <w:rPr>
          <w:vertAlign w:val="baseline"/>
        </w:rPr>
        <w:t>exceptions</w:t>
      </w:r>
      <w:r>
        <w:rPr>
          <w:vertAlign w:val="baseline"/>
        </w:rPr>
        <w:t> to that rule. For example substantial damages for breach of contract can be recovered by</w:t>
      </w:r>
      <w:r>
        <w:rPr>
          <w:spacing w:val="40"/>
          <w:vertAlign w:val="baseline"/>
        </w:rPr>
        <w:t> </w:t>
      </w:r>
      <w:bookmarkStart w:name="_bookmark601" w:id="603"/>
      <w:bookmarkEnd w:id="603"/>
      <w:r>
        <w:rPr>
          <w:vertAlign w:val="baseline"/>
        </w:rPr>
        <w:t>a</w:t>
      </w:r>
      <w:r>
        <w:rPr>
          <w:vertAlign w:val="baseline"/>
        </w:rPr>
        <w:t> trustee even though the loss is suffered by his cestui que trust </w:t>
      </w:r>
      <w:r>
        <w:rPr>
          <w:color w:val="005DA1"/>
          <w:u w:val="single" w:color="005DA1"/>
          <w:vertAlign w:val="superscript"/>
        </w:rPr>
        <w:t>344</w:t>
      </w:r>
      <w:r>
        <w:rPr>
          <w:vertAlign w:val="baseline"/>
        </w:rPr>
        <w:t>; by an agent even though the loss </w:t>
      </w:r>
      <w:bookmarkStart w:name="_bookmark602" w:id="604"/>
      <w:bookmarkEnd w:id="604"/>
      <w:r>
        <w:rPr>
          <w:vertAlign w:val="baseline"/>
        </w:rPr>
        <w:t>is</w:t>
      </w:r>
      <w:r>
        <w:rPr>
          <w:vertAlign w:val="baseline"/>
        </w:rPr>
        <w:t> suffered by his undisclosed principal </w:t>
      </w:r>
      <w:r>
        <w:rPr>
          <w:color w:val="005DA1"/>
          <w:u w:val="single" w:color="005DA1"/>
          <w:vertAlign w:val="superscript"/>
        </w:rPr>
        <w:t>345</w:t>
      </w:r>
      <w:r>
        <w:rPr>
          <w:vertAlign w:val="baseline"/>
        </w:rPr>
        <w:t>; by a local authority even though the loss is suffered by </w:t>
      </w:r>
      <w:r>
        <w:rPr>
          <w:vertAlign w:val="baseline"/>
        </w:rPr>
        <w:t>its inhabitants </w:t>
      </w:r>
      <w:r>
        <w:rPr>
          <w:color w:val="005DA1"/>
          <w:u w:val="single" w:color="005DA1"/>
          <w:vertAlign w:val="superscript"/>
        </w:rPr>
        <w:t>346</w:t>
      </w:r>
      <w:r>
        <w:rPr>
          <w:vertAlign w:val="baseline"/>
        </w:rPr>
        <w:t>; and by a shipper of goods for breach of his contract of carriage with the shipowner in respect of the loss of the goods, even though that loss is suffered by a person to whom the shipper </w:t>
      </w:r>
      <w:bookmarkStart w:name="_bookmark603" w:id="605"/>
      <w:bookmarkEnd w:id="605"/>
      <w:r>
        <w:rPr>
          <w:vertAlign w:val="baseline"/>
        </w:rPr>
        <w:t>has</w:t>
      </w:r>
      <w:r>
        <w:rPr>
          <w:spacing w:val="14"/>
          <w:vertAlign w:val="baseline"/>
        </w:rPr>
        <w:t> </w:t>
      </w:r>
      <w:r>
        <w:rPr>
          <w:vertAlign w:val="baseline"/>
        </w:rPr>
        <w:t>sold</w:t>
      </w:r>
      <w:r>
        <w:rPr>
          <w:spacing w:val="16"/>
          <w:vertAlign w:val="baseline"/>
        </w:rPr>
        <w:t> </w:t>
      </w:r>
      <w:r>
        <w:rPr>
          <w:vertAlign w:val="baseline"/>
        </w:rPr>
        <w:t>the</w:t>
      </w:r>
      <w:r>
        <w:rPr>
          <w:spacing w:val="16"/>
          <w:vertAlign w:val="baseline"/>
        </w:rPr>
        <w:t> </w:t>
      </w:r>
      <w:r>
        <w:rPr>
          <w:vertAlign w:val="baseline"/>
        </w:rPr>
        <w:t>goods</w:t>
      </w:r>
      <w:r>
        <w:rPr>
          <w:spacing w:val="16"/>
          <w:vertAlign w:val="baseline"/>
        </w:rPr>
        <w:t> </w:t>
      </w:r>
      <w:r>
        <w:rPr>
          <w:vertAlign w:val="baseline"/>
        </w:rPr>
        <w:t>and</w:t>
      </w:r>
      <w:r>
        <w:rPr>
          <w:spacing w:val="16"/>
          <w:vertAlign w:val="baseline"/>
        </w:rPr>
        <w:t> </w:t>
      </w:r>
      <w:r>
        <w:rPr>
          <w:vertAlign w:val="baseline"/>
        </w:rPr>
        <w:t>to</w:t>
      </w:r>
      <w:r>
        <w:rPr>
          <w:spacing w:val="16"/>
          <w:vertAlign w:val="baseline"/>
        </w:rPr>
        <w:t> </w:t>
      </w:r>
      <w:r>
        <w:rPr>
          <w:vertAlign w:val="baseline"/>
        </w:rPr>
        <w:t>whom</w:t>
      </w:r>
      <w:r>
        <w:rPr>
          <w:spacing w:val="16"/>
          <w:vertAlign w:val="baseline"/>
        </w:rPr>
        <w:t> </w:t>
      </w:r>
      <w:r>
        <w:rPr>
          <w:vertAlign w:val="baseline"/>
        </w:rPr>
        <w:t>the</w:t>
      </w:r>
      <w:r>
        <w:rPr>
          <w:spacing w:val="16"/>
          <w:vertAlign w:val="baseline"/>
        </w:rPr>
        <w:t> </w:t>
      </w:r>
      <w:r>
        <w:rPr>
          <w:vertAlign w:val="baseline"/>
        </w:rPr>
        <w:t>risk</w:t>
      </w:r>
      <w:r>
        <w:rPr>
          <w:spacing w:val="16"/>
          <w:vertAlign w:val="baseline"/>
        </w:rPr>
        <w:t> </w:t>
      </w:r>
      <w:r>
        <w:rPr>
          <w:vertAlign w:val="baseline"/>
        </w:rPr>
        <w:t>and</w:t>
      </w:r>
      <w:r>
        <w:rPr>
          <w:spacing w:val="16"/>
          <w:vertAlign w:val="baseline"/>
        </w:rPr>
        <w:t> </w:t>
      </w:r>
      <w:r>
        <w:rPr>
          <w:vertAlign w:val="baseline"/>
        </w:rPr>
        <w:t>property</w:t>
      </w:r>
      <w:r>
        <w:rPr>
          <w:spacing w:val="16"/>
          <w:vertAlign w:val="baseline"/>
        </w:rPr>
        <w:t> </w:t>
      </w:r>
      <w:r>
        <w:rPr>
          <w:vertAlign w:val="baseline"/>
        </w:rPr>
        <w:t>in</w:t>
      </w:r>
      <w:r>
        <w:rPr>
          <w:spacing w:val="16"/>
          <w:vertAlign w:val="baseline"/>
        </w:rPr>
        <w:t> </w:t>
      </w:r>
      <w:r>
        <w:rPr>
          <w:vertAlign w:val="baseline"/>
        </w:rPr>
        <w:t>them</w:t>
      </w:r>
      <w:r>
        <w:rPr>
          <w:spacing w:val="16"/>
          <w:vertAlign w:val="baseline"/>
        </w:rPr>
        <w:t> </w:t>
      </w:r>
      <w:r>
        <w:rPr>
          <w:vertAlign w:val="baseline"/>
        </w:rPr>
        <w:t>has</w:t>
      </w:r>
      <w:r>
        <w:rPr>
          <w:spacing w:val="16"/>
          <w:vertAlign w:val="baseline"/>
        </w:rPr>
        <w:t> </w:t>
      </w:r>
      <w:r>
        <w:rPr>
          <w:vertAlign w:val="baseline"/>
        </w:rPr>
        <w:t>passed</w:t>
      </w:r>
      <w:r>
        <w:rPr>
          <w:spacing w:val="16"/>
          <w:vertAlign w:val="baseline"/>
        </w:rPr>
        <w:t> </w:t>
      </w:r>
      <w:r>
        <w:rPr>
          <w:vertAlign w:val="baseline"/>
        </w:rPr>
        <w:t>but</w:t>
      </w:r>
      <w:r>
        <w:rPr>
          <w:spacing w:val="16"/>
          <w:vertAlign w:val="baseline"/>
        </w:rPr>
        <w:t> </w:t>
      </w:r>
      <w:r>
        <w:rPr>
          <w:vertAlign w:val="baseline"/>
        </w:rPr>
        <w:t>who</w:t>
      </w:r>
      <w:r>
        <w:rPr>
          <w:spacing w:val="16"/>
          <w:vertAlign w:val="baseline"/>
        </w:rPr>
        <w:t> </w:t>
      </w:r>
      <w:r>
        <w:rPr>
          <w:vertAlign w:val="baseline"/>
        </w:rPr>
        <w:t>has</w:t>
      </w:r>
      <w:r>
        <w:rPr>
          <w:spacing w:val="16"/>
          <w:vertAlign w:val="baseline"/>
        </w:rPr>
        <w:t> </w:t>
      </w:r>
      <w:r>
        <w:rPr>
          <w:vertAlign w:val="baseline"/>
        </w:rPr>
        <w:t>not</w:t>
      </w:r>
      <w:r>
        <w:rPr>
          <w:spacing w:val="16"/>
          <w:vertAlign w:val="baseline"/>
        </w:rPr>
        <w:t> </w:t>
      </w:r>
      <w:r>
        <w:rPr>
          <w:spacing w:val="-2"/>
          <w:vertAlign w:val="baseline"/>
        </w:rPr>
        <w:t>himself</w:t>
      </w:r>
    </w:p>
    <w:p>
      <w:pPr>
        <w:pStyle w:val="BodyText"/>
        <w:spacing w:line="235" w:lineRule="auto" w:before="117"/>
        <w:ind w:left="165" w:right="167"/>
        <w:jc w:val="both"/>
      </w:pPr>
      <w:r>
        <w:rPr/>
        <w:t>acquired any rights under the contract of carriage against the ship-owner </w:t>
      </w:r>
      <w:r>
        <w:rPr>
          <w:color w:val="005DA1"/>
          <w:u w:val="single" w:color="005DA1"/>
          <w:vertAlign w:val="superscript"/>
        </w:rPr>
        <w:t>347</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vertAlign w:val="baseline"/>
        </w:rPr>
        <w:t>: it will be convenient </w:t>
      </w:r>
      <w:bookmarkStart w:name="_bookmark604" w:id="606"/>
      <w:bookmarkEnd w:id="606"/>
      <w:r>
        <w:rPr>
          <w:vertAlign w:val="baseline"/>
        </w:rPr>
        <w:t>to</w:t>
      </w:r>
      <w:r>
        <w:rPr>
          <w:vertAlign w:val="baseline"/>
        </w:rPr>
        <w:t> refer to this last rule as “the </w:t>
      </w:r>
      <w:r>
        <w:rPr>
          <w:rFonts w:ascii="Arial" w:hAnsi="Arial"/>
          <w:i/>
          <w:vertAlign w:val="baseline"/>
        </w:rPr>
        <w:t>Albazero </w:t>
      </w:r>
      <w:r>
        <w:rPr>
          <w:vertAlign w:val="baseline"/>
        </w:rPr>
        <w:t>exception”, after the leading modern case in which it is </w:t>
      </w:r>
      <w:bookmarkStart w:name="_bookmark605" w:id="607"/>
      <w:bookmarkEnd w:id="607"/>
      <w:r>
        <w:rPr>
          <w:vertAlign w:val="baseline"/>
        </w:rPr>
        <w:t>recognised.</w:t>
      </w:r>
      <w:r>
        <w:rPr>
          <w:spacing w:val="17"/>
          <w:vertAlign w:val="baseline"/>
        </w:rPr>
        <w:t> </w:t>
      </w:r>
      <w:r>
        <w:rPr>
          <w:color w:val="005DA1"/>
          <w:u w:val="single" w:color="005DA1"/>
          <w:vertAlign w:val="superscript"/>
        </w:rPr>
        <w:t>348</w:t>
      </w:r>
      <w:r>
        <w:rPr>
          <w:color w:val="005DA1"/>
          <w:spacing w:val="18"/>
          <w:vertAlign w:val="baseline"/>
        </w:rPr>
        <w:t> </w:t>
      </w:r>
      <w:r>
        <w:rPr>
          <w:vertAlign w:val="baseline"/>
        </w:rPr>
        <w:t>In</w:t>
      </w:r>
      <w:r>
        <w:rPr>
          <w:spacing w:val="18"/>
          <w:vertAlign w:val="baseline"/>
        </w:rPr>
        <w:t> </w:t>
      </w:r>
      <w:r>
        <w:rPr>
          <w:vertAlign w:val="baseline"/>
        </w:rPr>
        <w:t>all</w:t>
      </w:r>
      <w:r>
        <w:rPr>
          <w:spacing w:val="18"/>
          <w:vertAlign w:val="baseline"/>
        </w:rPr>
        <w:t> </w:t>
      </w:r>
      <w:r>
        <w:rPr>
          <w:vertAlign w:val="baseline"/>
        </w:rPr>
        <w:t>these</w:t>
      </w:r>
      <w:r>
        <w:rPr>
          <w:spacing w:val="17"/>
          <w:vertAlign w:val="baseline"/>
        </w:rPr>
        <w:t> </w:t>
      </w:r>
      <w:r>
        <w:rPr>
          <w:vertAlign w:val="baseline"/>
        </w:rPr>
        <w:t>exceptional</w:t>
      </w:r>
      <w:r>
        <w:rPr>
          <w:spacing w:val="18"/>
          <w:vertAlign w:val="baseline"/>
        </w:rPr>
        <w:t> </w:t>
      </w:r>
      <w:r>
        <w:rPr>
          <w:vertAlign w:val="baseline"/>
        </w:rPr>
        <w:t>cases,</w:t>
      </w:r>
      <w:r>
        <w:rPr>
          <w:spacing w:val="18"/>
          <w:vertAlign w:val="baseline"/>
        </w:rPr>
        <w:t> </w:t>
      </w:r>
      <w:r>
        <w:rPr>
          <w:vertAlign w:val="baseline"/>
        </w:rPr>
        <w:t>a</w:t>
      </w:r>
      <w:r>
        <w:rPr>
          <w:spacing w:val="18"/>
          <w:vertAlign w:val="baseline"/>
        </w:rPr>
        <w:t> </w:t>
      </w:r>
      <w:r>
        <w:rPr>
          <w:vertAlign w:val="baseline"/>
        </w:rPr>
        <w:t>person</w:t>
      </w:r>
      <w:r>
        <w:rPr>
          <w:spacing w:val="17"/>
          <w:vertAlign w:val="baseline"/>
        </w:rPr>
        <w:t> </w:t>
      </w:r>
      <w:r>
        <w:rPr>
          <w:vertAlign w:val="baseline"/>
        </w:rPr>
        <w:t>recovers</w:t>
      </w:r>
      <w:r>
        <w:rPr>
          <w:spacing w:val="18"/>
          <w:vertAlign w:val="baseline"/>
        </w:rPr>
        <w:t> </w:t>
      </w:r>
      <w:r>
        <w:rPr>
          <w:vertAlign w:val="baseline"/>
        </w:rPr>
        <w:t>substantial</w:t>
      </w:r>
      <w:r>
        <w:rPr>
          <w:spacing w:val="18"/>
          <w:vertAlign w:val="baseline"/>
        </w:rPr>
        <w:t> </w:t>
      </w:r>
      <w:r>
        <w:rPr>
          <w:vertAlign w:val="baseline"/>
        </w:rPr>
        <w:t>damages</w:t>
      </w:r>
      <w:r>
        <w:rPr>
          <w:spacing w:val="18"/>
          <w:vertAlign w:val="baseline"/>
        </w:rPr>
        <w:t> </w:t>
      </w:r>
      <w:r>
        <w:rPr>
          <w:vertAlign w:val="baseline"/>
        </w:rPr>
        <w:t>for</w:t>
      </w:r>
      <w:r>
        <w:rPr>
          <w:spacing w:val="17"/>
          <w:vertAlign w:val="baseline"/>
        </w:rPr>
        <w:t> </w:t>
      </w:r>
      <w:r>
        <w:rPr>
          <w:vertAlign w:val="baseline"/>
        </w:rPr>
        <w:t>breach</w:t>
      </w:r>
      <w:r>
        <w:rPr>
          <w:spacing w:val="18"/>
          <w:vertAlign w:val="baseline"/>
        </w:rPr>
        <w:t> </w:t>
      </w:r>
      <w:r>
        <w:rPr>
          <w:spacing w:val="-5"/>
          <w:vertAlign w:val="baseline"/>
        </w:rPr>
        <w:t>of</w:t>
      </w:r>
    </w:p>
    <w:p>
      <w:pPr>
        <w:pStyle w:val="BodyText"/>
        <w:spacing w:line="235" w:lineRule="auto" w:before="119"/>
        <w:ind w:left="165" w:right="167"/>
        <w:jc w:val="both"/>
      </w:pPr>
      <w:r>
        <w:rPr/>
        <w:t>contract, even though the breach caused loss, not to him, but only to a third party. </w:t>
      </w:r>
      <w:r>
        <w:rPr>
          <w:color w:val="005DA1"/>
          <w:u w:val="single" w:color="005DA1"/>
          <w:vertAlign w:val="superscript"/>
        </w:rPr>
        <w:t>349</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spacing w:val="-3"/>
          <w:vertAlign w:val="baseline"/>
        </w:rPr>
        <w:t> </w:t>
      </w:r>
      <w:r>
        <w:rPr>
          <w:vertAlign w:val="baseline"/>
        </w:rPr>
        <w:t>A similar </w:t>
      </w:r>
      <w:bookmarkStart w:name="_bookmark606" w:id="608"/>
      <w:bookmarkEnd w:id="608"/>
      <w:r>
        <w:rPr>
          <w:vertAlign w:val="baseline"/>
        </w:rPr>
        <w:t>possibility</w:t>
      </w:r>
      <w:r>
        <w:rPr>
          <w:vertAlign w:val="baseline"/>
        </w:rPr>
        <w:t> is recognised in the law of tort which, like the law of contract, starts with the principle </w:t>
      </w:r>
      <w:r>
        <w:rPr>
          <w:vertAlign w:val="baseline"/>
        </w:rPr>
        <w:t>that the</w:t>
      </w:r>
      <w:r>
        <w:rPr>
          <w:spacing w:val="-2"/>
          <w:vertAlign w:val="baseline"/>
        </w:rPr>
        <w:t> </w:t>
      </w:r>
      <w:r>
        <w:rPr>
          <w:vertAlign w:val="baseline"/>
        </w:rPr>
        <w:t>claimant</w:t>
      </w:r>
      <w:r>
        <w:rPr>
          <w:spacing w:val="-2"/>
          <w:vertAlign w:val="baseline"/>
        </w:rPr>
        <w:t> </w:t>
      </w:r>
      <w:r>
        <w:rPr>
          <w:vertAlign w:val="baseline"/>
        </w:rPr>
        <w:t>can</w:t>
      </w:r>
      <w:r>
        <w:rPr>
          <w:spacing w:val="-2"/>
          <w:vertAlign w:val="baseline"/>
        </w:rPr>
        <w:t> </w:t>
      </w:r>
      <w:r>
        <w:rPr>
          <w:vertAlign w:val="baseline"/>
        </w:rPr>
        <w:t>recover</w:t>
      </w:r>
      <w:r>
        <w:rPr>
          <w:spacing w:val="-2"/>
          <w:vertAlign w:val="baseline"/>
        </w:rPr>
        <w:t> </w:t>
      </w:r>
      <w:r>
        <w:rPr>
          <w:vertAlign w:val="baseline"/>
        </w:rPr>
        <w:t>“no</w:t>
      </w:r>
      <w:r>
        <w:rPr>
          <w:spacing w:val="-2"/>
          <w:vertAlign w:val="baseline"/>
        </w:rPr>
        <w:t> </w:t>
      </w:r>
      <w:r>
        <w:rPr>
          <w:vertAlign w:val="baseline"/>
        </w:rPr>
        <w:t>more</w:t>
      </w:r>
      <w:r>
        <w:rPr>
          <w:spacing w:val="-2"/>
          <w:vertAlign w:val="baseline"/>
        </w:rPr>
        <w:t> </w:t>
      </w:r>
      <w:r>
        <w:rPr>
          <w:vertAlign w:val="baseline"/>
        </w:rPr>
        <w:t>and</w:t>
      </w:r>
      <w:r>
        <w:rPr>
          <w:spacing w:val="-2"/>
          <w:vertAlign w:val="baseline"/>
        </w:rPr>
        <w:t> </w:t>
      </w:r>
      <w:r>
        <w:rPr>
          <w:vertAlign w:val="baseline"/>
        </w:rPr>
        <w:t>no</w:t>
      </w:r>
      <w:r>
        <w:rPr>
          <w:spacing w:val="-2"/>
          <w:vertAlign w:val="baseline"/>
        </w:rPr>
        <w:t> </w:t>
      </w:r>
      <w:r>
        <w:rPr>
          <w:vertAlign w:val="baseline"/>
        </w:rPr>
        <w:t>less</w:t>
      </w:r>
      <w:r>
        <w:rPr>
          <w:spacing w:val="-2"/>
          <w:vertAlign w:val="baseline"/>
        </w:rPr>
        <w:t> </w:t>
      </w:r>
      <w:r>
        <w:rPr>
          <w:vertAlign w:val="baseline"/>
        </w:rPr>
        <w:t>than</w:t>
      </w:r>
      <w:r>
        <w:rPr>
          <w:spacing w:val="-2"/>
          <w:vertAlign w:val="baseline"/>
        </w:rPr>
        <w:t> </w:t>
      </w:r>
      <w:r>
        <w:rPr>
          <w:vertAlign w:val="baseline"/>
        </w:rPr>
        <w:t>he</w:t>
      </w:r>
      <w:r>
        <w:rPr>
          <w:spacing w:val="-2"/>
          <w:vertAlign w:val="baseline"/>
        </w:rPr>
        <w:t> </w:t>
      </w:r>
      <w:r>
        <w:rPr>
          <w:vertAlign w:val="baseline"/>
        </w:rPr>
        <w:t>has</w:t>
      </w:r>
      <w:r>
        <w:rPr>
          <w:spacing w:val="-2"/>
          <w:vertAlign w:val="baseline"/>
        </w:rPr>
        <w:t> </w:t>
      </w:r>
      <w:r>
        <w:rPr>
          <w:vertAlign w:val="baseline"/>
        </w:rPr>
        <w:t>lost.”</w:t>
      </w:r>
      <w:r>
        <w:rPr>
          <w:spacing w:val="-3"/>
          <w:vertAlign w:val="baseline"/>
        </w:rPr>
        <w:t> </w:t>
      </w:r>
      <w:r>
        <w:rPr>
          <w:color w:val="005DA1"/>
          <w:u w:val="single" w:color="005DA1"/>
          <w:vertAlign w:val="superscript"/>
        </w:rPr>
        <w:t>350</w:t>
      </w:r>
      <w:r>
        <w:rPr>
          <w:color w:val="005DA1"/>
          <w:spacing w:val="-2"/>
          <w:vertAlign w:val="baseline"/>
        </w:rPr>
        <w:t> </w:t>
      </w:r>
      <w:r>
        <w:rPr>
          <w:vertAlign w:val="baseline"/>
        </w:rPr>
        <w:t>But</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voluntarily renders services in caring for a claimant who has suffered personal injury as a result of a tort, the </w:t>
      </w:r>
      <w:bookmarkStart w:name="_bookmark607" w:id="609"/>
      <w:bookmarkEnd w:id="609"/>
      <w:r>
        <w:rPr>
          <w:vertAlign w:val="baseline"/>
        </w:rPr>
        <w:t>claimant</w:t>
      </w:r>
      <w:r>
        <w:rPr>
          <w:vertAlign w:val="baseline"/>
        </w:rPr>
        <w:t> can recover damages from the wrongdoer in respect of the value of those services; and the </w:t>
      </w:r>
      <w:bookmarkStart w:name="_bookmark608" w:id="610"/>
      <w:bookmarkEnd w:id="610"/>
      <w:r>
        <w:rPr>
          <w:vertAlign w:val="baseline"/>
        </w:rPr>
        <w:t>“central</w:t>
      </w:r>
      <w:r>
        <w:rPr>
          <w:spacing w:val="-1"/>
          <w:vertAlign w:val="baseline"/>
        </w:rPr>
        <w:t> </w:t>
      </w:r>
      <w:r>
        <w:rPr>
          <w:vertAlign w:val="baseline"/>
        </w:rPr>
        <w:t>objective”</w:t>
      </w:r>
      <w:r>
        <w:rPr>
          <w:spacing w:val="-1"/>
          <w:vertAlign w:val="baseline"/>
        </w:rPr>
        <w:t> </w:t>
      </w:r>
      <w:r>
        <w:rPr>
          <w:vertAlign w:val="baseline"/>
        </w:rPr>
        <w:t>of</w:t>
      </w:r>
      <w:r>
        <w:rPr>
          <w:spacing w:val="-1"/>
          <w:vertAlign w:val="baseline"/>
        </w:rPr>
        <w:t> </w:t>
      </w:r>
      <w:r>
        <w:rPr>
          <w:vertAlign w:val="baseline"/>
        </w:rPr>
        <w:t>such</w:t>
      </w:r>
      <w:r>
        <w:rPr>
          <w:spacing w:val="-1"/>
          <w:vertAlign w:val="baseline"/>
        </w:rPr>
        <w:t> </w:t>
      </w:r>
      <w:r>
        <w:rPr>
          <w:vertAlign w:val="baseline"/>
        </w:rPr>
        <w:t>an</w:t>
      </w:r>
      <w:r>
        <w:rPr>
          <w:spacing w:val="-1"/>
          <w:vertAlign w:val="baseline"/>
        </w:rPr>
        <w:t> </w:t>
      </w:r>
      <w:r>
        <w:rPr>
          <w:vertAlign w:val="baseline"/>
        </w:rPr>
        <w:t>award</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described</w:t>
      </w:r>
      <w:r>
        <w:rPr>
          <w:spacing w:val="-1"/>
          <w:vertAlign w:val="baseline"/>
        </w:rPr>
        <w:t> </w:t>
      </w:r>
      <w:r>
        <w:rPr>
          <w:vertAlign w:val="baseline"/>
        </w:rPr>
        <w:t>as</w:t>
      </w:r>
      <w:r>
        <w:rPr>
          <w:spacing w:val="-1"/>
          <w:vertAlign w:val="baseline"/>
        </w:rPr>
        <w:t> </w:t>
      </w:r>
      <w:r>
        <w:rPr>
          <w:vertAlign w:val="baseline"/>
        </w:rPr>
        <w:t>“compensating</w:t>
      </w:r>
      <w:r>
        <w:rPr>
          <w:spacing w:val="-1"/>
          <w:vertAlign w:val="baseline"/>
        </w:rPr>
        <w:t> </w:t>
      </w:r>
      <w:r>
        <w:rPr>
          <w:vertAlign w:val="baseline"/>
        </w:rPr>
        <w:t>the</w:t>
      </w:r>
      <w:r>
        <w:rPr>
          <w:spacing w:val="-1"/>
          <w:vertAlign w:val="baseline"/>
        </w:rPr>
        <w:t> </w:t>
      </w:r>
      <w:r>
        <w:rPr>
          <w:vertAlign w:val="baseline"/>
        </w:rPr>
        <w:t>voluntary</w:t>
      </w:r>
      <w:r>
        <w:rPr>
          <w:spacing w:val="-1"/>
          <w:vertAlign w:val="baseline"/>
        </w:rPr>
        <w:t> </w:t>
      </w:r>
      <w:r>
        <w:rPr>
          <w:vertAlign w:val="baseline"/>
        </w:rPr>
        <w:t>carer,”</w:t>
      </w:r>
      <w:r>
        <w:rPr>
          <w:spacing w:val="-2"/>
          <w:vertAlign w:val="baseline"/>
        </w:rPr>
        <w:t> </w:t>
      </w:r>
      <w:r>
        <w:rPr>
          <w:color w:val="005DA1"/>
          <w:u w:val="single" w:color="005DA1"/>
          <w:vertAlign w:val="superscript"/>
        </w:rPr>
        <w:t>351</w:t>
      </w:r>
      <w:r>
        <w:rPr>
          <w:color w:val="005DA1"/>
          <w:spacing w:val="-1"/>
          <w:vertAlign w:val="baseline"/>
        </w:rPr>
        <w:t> </w:t>
      </w:r>
      <w:r>
        <w:rPr>
          <w:vertAlign w:val="baseline"/>
        </w:rPr>
        <w:t>for whom such damages must be held on trust by the claimant. </w:t>
      </w:r>
      <w:r>
        <w:rPr>
          <w:color w:val="005DA1"/>
          <w:u w:val="single" w:color="005DA1"/>
          <w:vertAlign w:val="superscript"/>
        </w:rPr>
        <w:t>352</w:t>
      </w:r>
      <w:r>
        <w:rPr>
          <w:color w:val="005DA1"/>
          <w:vertAlign w:val="baseline"/>
        </w:rPr>
        <w:t> </w:t>
      </w:r>
      <w:r>
        <w:rPr>
          <w:vertAlign w:val="baseline"/>
        </w:rPr>
        <w:t>In substance, though not in form, the claimant in such a case recovers damages in respect of the loss which has been suffered by the third party in (for example) giving up his or her job so as to look after the injured claimant.</w:t>
      </w:r>
    </w:p>
    <w:p>
      <w:pPr>
        <w:pStyle w:val="BodyText"/>
      </w:pPr>
    </w:p>
    <w:p>
      <w:pPr>
        <w:pStyle w:val="BodyText"/>
        <w:spacing w:before="35"/>
      </w:pPr>
    </w:p>
    <w:p>
      <w:pPr>
        <w:spacing w:before="1"/>
        <w:ind w:left="165" w:right="0" w:firstLine="0"/>
        <w:jc w:val="left"/>
        <w:rPr>
          <w:rFonts w:ascii="Arial"/>
          <w:b/>
          <w:sz w:val="18"/>
        </w:rPr>
      </w:pPr>
      <w:bookmarkStart w:name="_bookmark609" w:id="611"/>
      <w:bookmarkEnd w:id="611"/>
      <w:r>
        <w:rPr/>
      </w:r>
      <w:r>
        <w:rPr>
          <w:rFonts w:ascii="Arial"/>
          <w:b/>
          <w:sz w:val="18"/>
        </w:rPr>
        <w:t>Further exceptions: building contracts </w:t>
      </w:r>
      <w:r>
        <w:rPr>
          <w:rFonts w:ascii="Arial"/>
          <w:b/>
          <w:color w:val="005DA1"/>
          <w:spacing w:val="-5"/>
          <w:sz w:val="18"/>
          <w:u w:val="single" w:color="005DA1"/>
          <w:vertAlign w:val="superscript"/>
        </w:rPr>
        <w:t>353</w:t>
      </w:r>
    </w:p>
    <w:p>
      <w:pPr>
        <w:pStyle w:val="BodyText"/>
        <w:spacing w:before="41"/>
        <w:rPr>
          <w:rFonts w:ascii="Arial"/>
          <w:b/>
          <w:sz w:val="18"/>
        </w:rPr>
      </w:pPr>
    </w:p>
    <w:p>
      <w:pPr>
        <w:pStyle w:val="Heading2"/>
      </w:pPr>
      <w:r>
        <w:rPr/>
        <w:t>18-</w:t>
      </w:r>
      <w:r>
        <w:rPr>
          <w:spacing w:val="-5"/>
        </w:rPr>
        <w:t>055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list of exceptions stated in para.18-054 above should not be regarded as closed and the </w:t>
      </w:r>
      <w:bookmarkStart w:name="_bookmark610" w:id="612"/>
      <w:bookmarkEnd w:id="612"/>
      <w:r>
        <w:rPr/>
        <w:t>possibility</w:t>
      </w:r>
      <w:r>
        <w:rPr>
          <w:spacing w:val="49"/>
        </w:rPr>
        <w:t> </w:t>
      </w:r>
      <w:r>
        <w:rPr/>
        <w:t>of</w:t>
      </w:r>
      <w:r>
        <w:rPr>
          <w:spacing w:val="49"/>
        </w:rPr>
        <w:t> </w:t>
      </w:r>
      <w:r>
        <w:rPr/>
        <w:t>extending</w:t>
      </w:r>
      <w:r>
        <w:rPr>
          <w:spacing w:val="49"/>
        </w:rPr>
        <w:t> </w:t>
      </w:r>
      <w:r>
        <w:rPr/>
        <w:t>them</w:t>
      </w:r>
      <w:r>
        <w:rPr>
          <w:spacing w:val="49"/>
        </w:rPr>
        <w:t> </w:t>
      </w:r>
      <w:r>
        <w:rPr/>
        <w:t>or</w:t>
      </w:r>
      <w:r>
        <w:rPr>
          <w:spacing w:val="49"/>
        </w:rPr>
        <w:t> </w:t>
      </w:r>
      <w:r>
        <w:rPr/>
        <w:t>of</w:t>
      </w:r>
      <w:r>
        <w:rPr>
          <w:spacing w:val="49"/>
        </w:rPr>
        <w:t> </w:t>
      </w:r>
      <w:r>
        <w:rPr/>
        <w:t>creating</w:t>
      </w:r>
      <w:r>
        <w:rPr>
          <w:spacing w:val="49"/>
        </w:rPr>
        <w:t> </w:t>
      </w:r>
      <w:r>
        <w:rPr/>
        <w:t>further</w:t>
      </w:r>
      <w:r>
        <w:rPr>
          <w:spacing w:val="49"/>
        </w:rPr>
        <w:t> </w:t>
      </w:r>
      <w:r>
        <w:rPr/>
        <w:t>exceptions</w:t>
      </w:r>
      <w:r>
        <w:rPr>
          <w:spacing w:val="49"/>
        </w:rPr>
        <w:t> </w:t>
      </w:r>
      <w:r>
        <w:rPr/>
        <w:t>is</w:t>
      </w:r>
      <w:r>
        <w:rPr>
          <w:spacing w:val="49"/>
        </w:rPr>
        <w:t> </w:t>
      </w:r>
      <w:r>
        <w:rPr/>
        <w:t>illustrated</w:t>
      </w:r>
      <w:r>
        <w:rPr>
          <w:spacing w:val="49"/>
        </w:rPr>
        <w:t> </w:t>
      </w:r>
      <w:r>
        <w:rPr/>
        <w:t>by</w:t>
      </w:r>
      <w:r>
        <w:rPr>
          <w:spacing w:val="49"/>
        </w:rPr>
        <w:t> </w:t>
      </w:r>
      <w:r>
        <w:rPr/>
        <w:t>a</w:t>
      </w:r>
      <w:r>
        <w:rPr>
          <w:spacing w:val="49"/>
        </w:rPr>
        <w:t> </w:t>
      </w:r>
      <w:r>
        <w:rPr/>
        <w:t>line</w:t>
      </w:r>
      <w:r>
        <w:rPr>
          <w:spacing w:val="49"/>
        </w:rPr>
        <w:t> </w:t>
      </w:r>
      <w:r>
        <w:rPr/>
        <w:t>of</w:t>
      </w:r>
      <w:r>
        <w:rPr>
          <w:spacing w:val="49"/>
        </w:rPr>
        <w:t> </w:t>
      </w:r>
      <w:r>
        <w:rPr>
          <w:spacing w:val="-2"/>
        </w:rPr>
        <w:t>building</w:t>
      </w:r>
    </w:p>
    <w:p>
      <w:pPr>
        <w:pStyle w:val="BodyText"/>
        <w:spacing w:line="235" w:lineRule="auto" w:before="120"/>
        <w:ind w:left="165" w:right="167"/>
        <w:jc w:val="both"/>
      </w:pPr>
      <w:bookmarkStart w:name="_bookmark611" w:id="613"/>
      <w:bookmarkEnd w:id="613"/>
      <w:r>
        <w:rPr/>
      </w:r>
      <w:r>
        <w:rPr/>
        <w:t>contract cases beginning with </w:t>
      </w:r>
      <w:r>
        <w:rPr>
          <w:rFonts w:ascii="Arial" w:hAnsi="Arial"/>
          <w:i/>
        </w:rPr>
        <w:t>Linden Gardens Trust v Lenesta Sludge Disposals Ltd</w:t>
      </w:r>
      <w:r>
        <w:rPr/>
        <w:t>. </w:t>
      </w:r>
      <w:r>
        <w:rPr>
          <w:color w:val="005DA1"/>
          <w:u w:val="single" w:color="005DA1"/>
          <w:vertAlign w:val="superscript"/>
        </w:rPr>
        <w:t>354</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40"/>
          <w:vertAlign w:val="baseline"/>
        </w:rPr>
        <w:t> </w:t>
      </w:r>
      <w:r>
        <w:rPr>
          <w:vertAlign w:val="baseline"/>
        </w:rPr>
        <w:t>The speeches in that case raise the further question (also discussed in a number of later cases </w:t>
      </w:r>
      <w:r>
        <w:rPr>
          <w:color w:val="005DA1"/>
          <w:u w:val="single" w:color="005DA1"/>
          <w:vertAlign w:val="superscript"/>
        </w:rPr>
        <w:t>355</w:t>
      </w:r>
      <w:r>
        <w:rPr>
          <w:vertAlign w:val="baseline"/>
        </w:rPr>
        <w:t>) how</w:t>
      </w:r>
      <w:r>
        <w:rPr>
          <w:spacing w:val="40"/>
          <w:vertAlign w:val="baseline"/>
        </w:rPr>
        <w:t> </w:t>
      </w:r>
      <w:r>
        <w:rPr>
          <w:vertAlign w:val="baseline"/>
        </w:rPr>
        <w:t>far the process of extending the development there initiated can be taken in the direction of allowing the promisee to recover damages in respect of the third party’s loss merely because the contract which</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broken</w:t>
      </w:r>
      <w:r>
        <w:rPr>
          <w:spacing w:val="-2"/>
          <w:vertAlign w:val="baseline"/>
        </w:rPr>
        <w:t> </w:t>
      </w:r>
      <w:r>
        <w:rPr>
          <w:vertAlign w:val="baseline"/>
        </w:rPr>
        <w:t>was</w:t>
      </w:r>
      <w:r>
        <w:rPr>
          <w:spacing w:val="-2"/>
          <w:vertAlign w:val="baseline"/>
        </w:rPr>
        <w:t> </w:t>
      </w:r>
      <w:r>
        <w:rPr>
          <w:vertAlign w:val="baseline"/>
        </w:rPr>
        <w:t>one</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benefit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In</w:t>
      </w:r>
      <w:r>
        <w:rPr>
          <w:spacing w:val="-2"/>
          <w:vertAlign w:val="baseline"/>
        </w:rPr>
        <w:t> </w:t>
      </w:r>
      <w:r>
        <w:rPr>
          <w:vertAlign w:val="baseline"/>
        </w:rPr>
        <w:t>the</w:t>
      </w:r>
      <w:r>
        <w:rPr>
          <w:spacing w:val="-3"/>
          <w:vertAlign w:val="baseline"/>
        </w:rPr>
        <w:t> </w:t>
      </w:r>
      <w:r>
        <w:rPr>
          <w:rFonts w:ascii="Arial" w:hAnsi="Arial"/>
          <w:i/>
          <w:vertAlign w:val="baseline"/>
        </w:rPr>
        <w:t>Linden</w:t>
      </w:r>
      <w:r>
        <w:rPr>
          <w:rFonts w:ascii="Arial" w:hAnsi="Arial"/>
          <w:i/>
          <w:spacing w:val="-2"/>
          <w:vertAlign w:val="baseline"/>
        </w:rPr>
        <w:t> </w:t>
      </w:r>
      <w:r>
        <w:rPr>
          <w:rFonts w:ascii="Arial" w:hAnsi="Arial"/>
          <w:i/>
          <w:vertAlign w:val="baseline"/>
        </w:rPr>
        <w:t>Gardens</w:t>
      </w:r>
      <w:r>
        <w:rPr>
          <w:rFonts w:ascii="Arial" w:hAnsi="Arial"/>
          <w:i/>
          <w:spacing w:val="-2"/>
          <w:vertAlign w:val="baseline"/>
        </w:rPr>
        <w:t> </w:t>
      </w:r>
      <w:r>
        <w:rPr>
          <w:vertAlign w:val="baseline"/>
        </w:rPr>
        <w:t>case,</w:t>
      </w:r>
      <w:r>
        <w:rPr>
          <w:spacing w:val="-2"/>
          <w:vertAlign w:val="baseline"/>
        </w:rPr>
        <w:t> </w:t>
      </w:r>
      <w:r>
        <w:rPr>
          <w:vertAlign w:val="baseline"/>
        </w:rPr>
        <w:t>a</w:t>
      </w:r>
      <w:r>
        <w:rPr>
          <w:spacing w:val="-2"/>
          <w:vertAlign w:val="baseline"/>
        </w:rPr>
        <w:t> </w:t>
      </w:r>
      <w:r>
        <w:rPr>
          <w:vertAlign w:val="baseline"/>
        </w:rPr>
        <w:t>building contract</w:t>
      </w:r>
      <w:r>
        <w:rPr>
          <w:spacing w:val="13"/>
          <w:vertAlign w:val="baseline"/>
        </w:rPr>
        <w:t> </w:t>
      </w:r>
      <w:r>
        <w:rPr>
          <w:vertAlign w:val="baseline"/>
        </w:rPr>
        <w:t>between</w:t>
      </w:r>
      <w:r>
        <w:rPr>
          <w:spacing w:val="13"/>
          <w:vertAlign w:val="baseline"/>
        </w:rPr>
        <w:t> </w:t>
      </w:r>
      <w:r>
        <w:rPr>
          <w:vertAlign w:val="baseline"/>
        </w:rPr>
        <w:t>parties</w:t>
      </w:r>
      <w:r>
        <w:rPr>
          <w:spacing w:val="13"/>
          <w:vertAlign w:val="baseline"/>
        </w:rPr>
        <w:t> </w:t>
      </w:r>
      <w:r>
        <w:rPr>
          <w:vertAlign w:val="baseline"/>
        </w:rPr>
        <w:t>described</w:t>
      </w:r>
      <w:r>
        <w:rPr>
          <w:spacing w:val="13"/>
          <w:vertAlign w:val="baseline"/>
        </w:rPr>
        <w:t> </w:t>
      </w:r>
      <w:r>
        <w:rPr>
          <w:vertAlign w:val="baseline"/>
        </w:rPr>
        <w:t>in</w:t>
      </w:r>
      <w:r>
        <w:rPr>
          <w:spacing w:val="13"/>
          <w:vertAlign w:val="baseline"/>
        </w:rPr>
        <w:t> </w:t>
      </w:r>
      <w:r>
        <w:rPr>
          <w:vertAlign w:val="baseline"/>
        </w:rPr>
        <w:t>it</w:t>
      </w:r>
      <w:r>
        <w:rPr>
          <w:spacing w:val="13"/>
          <w:vertAlign w:val="baseline"/>
        </w:rPr>
        <w:t> </w:t>
      </w:r>
      <w:r>
        <w:rPr>
          <w:vertAlign w:val="baseline"/>
        </w:rPr>
        <w:t>as</w:t>
      </w:r>
      <w:r>
        <w:rPr>
          <w:spacing w:val="13"/>
          <w:vertAlign w:val="baseline"/>
        </w:rPr>
        <w:t> </w:t>
      </w:r>
      <w:r>
        <w:rPr>
          <w:vertAlign w:val="baseline"/>
        </w:rPr>
        <w:t>employer</w:t>
      </w:r>
      <w:r>
        <w:rPr>
          <w:spacing w:val="13"/>
          <w:vertAlign w:val="baseline"/>
        </w:rPr>
        <w:t> </w:t>
      </w:r>
      <w:r>
        <w:rPr>
          <w:vertAlign w:val="baseline"/>
        </w:rPr>
        <w:t>and</w:t>
      </w:r>
      <w:r>
        <w:rPr>
          <w:spacing w:val="13"/>
          <w:vertAlign w:val="baseline"/>
        </w:rPr>
        <w:t> </w:t>
      </w:r>
      <w:r>
        <w:rPr>
          <w:vertAlign w:val="baseline"/>
        </w:rPr>
        <w:t>contractor</w:t>
      </w:r>
      <w:r>
        <w:rPr>
          <w:spacing w:val="13"/>
          <w:vertAlign w:val="baseline"/>
        </w:rPr>
        <w:t> </w:t>
      </w:r>
      <w:r>
        <w:rPr>
          <w:vertAlign w:val="baseline"/>
        </w:rPr>
        <w:t>provided</w:t>
      </w:r>
      <w:r>
        <w:rPr>
          <w:spacing w:val="13"/>
          <w:vertAlign w:val="baseline"/>
        </w:rPr>
        <w:t> </w:t>
      </w:r>
      <w:r>
        <w:rPr>
          <w:vertAlign w:val="baseline"/>
        </w:rPr>
        <w:t>for</w:t>
      </w:r>
      <w:r>
        <w:rPr>
          <w:spacing w:val="13"/>
          <w:vertAlign w:val="baseline"/>
        </w:rPr>
        <w:t> </w:t>
      </w:r>
      <w:r>
        <w:rPr>
          <w:vertAlign w:val="baseline"/>
        </w:rPr>
        <w:t>work</w:t>
      </w:r>
      <w:r>
        <w:rPr>
          <w:spacing w:val="13"/>
          <w:vertAlign w:val="baseline"/>
        </w:rPr>
        <w:t> </w:t>
      </w:r>
      <w:r>
        <w:rPr>
          <w:vertAlign w:val="baseline"/>
        </w:rPr>
        <w:t>to</w:t>
      </w:r>
      <w:r>
        <w:rPr>
          <w:spacing w:val="13"/>
          <w:vertAlign w:val="baseline"/>
        </w:rPr>
        <w:t> </w:t>
      </w:r>
      <w:r>
        <w:rPr>
          <w:vertAlign w:val="baseline"/>
        </w:rPr>
        <w:t>be</w:t>
      </w:r>
      <w:r>
        <w:rPr>
          <w:spacing w:val="13"/>
          <w:vertAlign w:val="baseline"/>
        </w:rPr>
        <w:t> </w:t>
      </w:r>
      <w:r>
        <w:rPr>
          <w:vertAlign w:val="baseline"/>
        </w:rPr>
        <w:t>done</w:t>
      </w:r>
      <w:r>
        <w:rPr>
          <w:spacing w:val="13"/>
          <w:vertAlign w:val="baseline"/>
        </w:rPr>
        <w:t> </w:t>
      </w:r>
      <w:r>
        <w:rPr>
          <w:spacing w:val="-5"/>
          <w:vertAlign w:val="baseline"/>
        </w:rPr>
        <w:t>by</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the</w:t>
      </w:r>
      <w:r>
        <w:rPr>
          <w:spacing w:val="-1"/>
        </w:rPr>
        <w:t> </w:t>
      </w:r>
      <w:r>
        <w:rPr/>
        <w:t>contractor</w:t>
      </w:r>
      <w:r>
        <w:rPr>
          <w:spacing w:val="-1"/>
        </w:rPr>
        <w:t> </w:t>
      </w:r>
      <w:r>
        <w:rPr/>
        <w:t>by</w:t>
      </w:r>
      <w:r>
        <w:rPr>
          <w:spacing w:val="-1"/>
        </w:rPr>
        <w:t> </w:t>
      </w:r>
      <w:r>
        <w:rPr/>
        <w:t>way</w:t>
      </w:r>
      <w:r>
        <w:rPr>
          <w:spacing w:val="-1"/>
        </w:rPr>
        <w:t> </w:t>
      </w:r>
      <w:r>
        <w:rPr/>
        <w:t>of</w:t>
      </w:r>
      <w:r>
        <w:rPr>
          <w:spacing w:val="-1"/>
        </w:rPr>
        <w:t> </w:t>
      </w:r>
      <w:r>
        <w:rPr/>
        <w:t>developing</w:t>
      </w:r>
      <w:r>
        <w:rPr>
          <w:spacing w:val="-1"/>
        </w:rPr>
        <w:t> </w:t>
      </w:r>
      <w:r>
        <w:rPr/>
        <w:t>a</w:t>
      </w:r>
      <w:r>
        <w:rPr>
          <w:spacing w:val="-1"/>
        </w:rPr>
        <w:t> </w:t>
      </w:r>
      <w:r>
        <w:rPr/>
        <w:t>site</w:t>
      </w:r>
      <w:r>
        <w:rPr>
          <w:spacing w:val="-1"/>
        </w:rPr>
        <w:t> </w:t>
      </w:r>
      <w:r>
        <w:rPr/>
        <w:t>owned</w:t>
      </w:r>
      <w:r>
        <w:rPr>
          <w:spacing w:val="-1"/>
        </w:rPr>
        <w:t> </w:t>
      </w:r>
      <w:r>
        <w:rPr/>
        <w:t>by</w:t>
      </w:r>
      <w:r>
        <w:rPr>
          <w:spacing w:val="-1"/>
        </w:rPr>
        <w:t> </w:t>
      </w:r>
      <w:r>
        <w:rPr/>
        <w:t>the</w:t>
      </w:r>
      <w:r>
        <w:rPr>
          <w:spacing w:val="-1"/>
        </w:rPr>
        <w:t> </w:t>
      </w:r>
      <w:r>
        <w:rPr/>
        <w:t>employer</w:t>
      </w:r>
      <w:r>
        <w:rPr>
          <w:spacing w:val="-1"/>
        </w:rPr>
        <w:t> </w:t>
      </w:r>
      <w:r>
        <w:rPr/>
        <w:t>as</w:t>
      </w:r>
      <w:r>
        <w:rPr>
          <w:spacing w:val="-1"/>
        </w:rPr>
        <w:t> </w:t>
      </w:r>
      <w:r>
        <w:rPr/>
        <w:t>shops,</w:t>
      </w:r>
      <w:r>
        <w:rPr>
          <w:spacing w:val="-1"/>
        </w:rPr>
        <w:t> </w:t>
      </w:r>
      <w:r>
        <w:rPr/>
        <w:t>offices</w:t>
      </w:r>
      <w:r>
        <w:rPr>
          <w:spacing w:val="-1"/>
        </w:rPr>
        <w:t> </w:t>
      </w:r>
      <w:r>
        <w:rPr/>
        <w:t>and</w:t>
      </w:r>
      <w:r>
        <w:rPr>
          <w:spacing w:val="-1"/>
        </w:rPr>
        <w:t> </w:t>
      </w:r>
      <w:r>
        <w:rPr/>
        <w:t>flats.</w:t>
      </w:r>
      <w:r>
        <w:rPr>
          <w:spacing w:val="-1"/>
        </w:rPr>
        <w:t> </w:t>
      </w:r>
      <w:r>
        <w:rPr/>
        <w:t>The</w:t>
      </w:r>
      <w:r>
        <w:rPr>
          <w:spacing w:val="-1"/>
        </w:rPr>
        <w:t> </w:t>
      </w:r>
      <w:r>
        <w:rPr/>
        <w:t>site </w:t>
      </w:r>
      <w:bookmarkStart w:name="_bookmark612" w:id="614"/>
      <w:bookmarkEnd w:id="614"/>
      <w:r>
        <w:rPr/>
        <w:t>(but</w:t>
      </w:r>
      <w:r>
        <w:rPr/>
        <w:t> not the benefit of the contract) was later transferred by the employer to a third party, and it was assumed </w:t>
      </w:r>
      <w:r>
        <w:rPr>
          <w:color w:val="005DA1"/>
          <w:u w:val="single" w:color="005DA1"/>
          <w:vertAlign w:val="superscript"/>
        </w:rPr>
        <w:t>356</w:t>
      </w:r>
      <w:r>
        <w:rPr>
          <w:color w:val="005DA1"/>
          <w:vertAlign w:val="baseline"/>
        </w:rPr>
        <w:t> </w:t>
      </w:r>
      <w:r>
        <w:rPr>
          <w:vertAlign w:val="baseline"/>
        </w:rPr>
        <w:t>for the purpose of the proceedings that the third party had suffered financial loss as </w:t>
      </w:r>
      <w:r>
        <w:rPr>
          <w:vertAlign w:val="baseline"/>
        </w:rPr>
        <w:t>a result of having to remedy breaches of the building contract committed after the transfer. In an action for breach of the building contract brought by the employer, the contractor argued that no loss had been suffered by the employer as he was no longer owner of the land when the alleged breaches </w:t>
      </w:r>
      <w:bookmarkStart w:name="_bookmark613" w:id="615"/>
      <w:bookmarkEnd w:id="615"/>
      <w:r>
        <w:rPr>
          <w:vertAlign w:val="baseline"/>
        </w:rPr>
        <w:t>occurred,</w:t>
      </w:r>
      <w:r>
        <w:rPr>
          <w:vertAlign w:val="baseline"/>
        </w:rPr>
        <w:t> and that the employer was therefore entitled to no more than nominal damages. In the House of Lords, this argument was rejected, and the employer’s claim upheld, </w:t>
      </w:r>
      <w:r>
        <w:rPr>
          <w:color w:val="005DA1"/>
          <w:u w:val="single" w:color="005DA1"/>
          <w:vertAlign w:val="superscript"/>
        </w:rPr>
        <w:t>357</w:t>
      </w:r>
      <w:r>
        <w:rPr>
          <w:color w:val="005DA1"/>
          <w:vertAlign w:val="baseline"/>
        </w:rPr>
        <w:t> </w:t>
      </w:r>
      <w:r>
        <w:rPr>
          <w:vertAlign w:val="baseline"/>
        </w:rPr>
        <w:t>on two distinct grounds, discussed in paras 18-056 and 18-057 below.</w:t>
      </w:r>
    </w:p>
    <w:p>
      <w:pPr>
        <w:pStyle w:val="BodyText"/>
      </w:pPr>
    </w:p>
    <w:p>
      <w:pPr>
        <w:pStyle w:val="BodyText"/>
        <w:spacing w:before="35"/>
      </w:pPr>
    </w:p>
    <w:p>
      <w:pPr>
        <w:spacing w:before="0"/>
        <w:ind w:left="165" w:right="0" w:firstLine="0"/>
        <w:jc w:val="left"/>
        <w:rPr>
          <w:rFonts w:ascii="Arial" w:hAnsi="Arial"/>
          <w:b/>
          <w:sz w:val="18"/>
        </w:rPr>
      </w:pPr>
      <w:bookmarkStart w:name="_bookmark614" w:id="616"/>
      <w:bookmarkEnd w:id="616"/>
      <w:r>
        <w:rPr/>
      </w:r>
      <w:r>
        <w:rPr>
          <w:rFonts w:ascii="Arial" w:hAnsi="Arial"/>
          <w:b/>
          <w:sz w:val="18"/>
        </w:rPr>
        <w:t>The “broader ground”: promisee’s expense of curing the breach </w:t>
      </w:r>
      <w:r>
        <w:rPr>
          <w:rFonts w:ascii="Arial" w:hAnsi="Arial"/>
          <w:b/>
          <w:color w:val="005DA1"/>
          <w:spacing w:val="-5"/>
          <w:sz w:val="18"/>
          <w:u w:val="single" w:color="005DA1"/>
          <w:vertAlign w:val="superscript"/>
        </w:rPr>
        <w:t>358</w:t>
      </w:r>
    </w:p>
    <w:p>
      <w:pPr>
        <w:pStyle w:val="BodyText"/>
        <w:spacing w:before="41"/>
        <w:rPr>
          <w:rFonts w:ascii="Arial"/>
          <w:b/>
          <w:sz w:val="18"/>
        </w:rPr>
      </w:pPr>
    </w:p>
    <w:p>
      <w:pPr>
        <w:pStyle w:val="Heading2"/>
      </w:pPr>
      <w:r>
        <w:rPr/>
        <w:t>18-</w:t>
      </w:r>
      <w:r>
        <w:rPr>
          <w:spacing w:val="-5"/>
        </w:rPr>
        <w:t>056</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15" w:id="617"/>
      <w:bookmarkEnd w:id="617"/>
      <w:r>
        <w:rPr>
          <w:rFonts w:ascii="Times New Roman" w:hAnsi="Times New Roman"/>
          <w:spacing w:val="15"/>
        </w:rPr>
      </w:r>
      <w:r>
        <w:rPr/>
        <w:t>Lord Griffiths upheld the employer’s claim on what has become known as the “broader ground” </w:t>
      </w:r>
      <w:r>
        <w:rPr>
          <w:color w:val="005DA1"/>
          <w:u w:val="single" w:color="005DA1"/>
          <w:vertAlign w:val="superscript"/>
        </w:rPr>
        <w:t>359</w:t>
      </w:r>
      <w:r>
        <w:rPr>
          <w:color w:val="005DA1"/>
          <w:vertAlign w:val="baseline"/>
        </w:rPr>
        <w:t> </w:t>
      </w:r>
      <w:bookmarkStart w:name="_bookmark616" w:id="618"/>
      <w:bookmarkEnd w:id="618"/>
      <w:r>
        <w:rPr>
          <w:color w:val="005DA1"/>
          <w:w w:val="92"/>
          <w:vertAlign w:val="baseline"/>
        </w:rPr>
      </w:r>
      <w:r>
        <w:rPr>
          <w:vertAlign w:val="baseline"/>
        </w:rPr>
        <w:t>that the employer “ha[d] suffered financial loss because he ha[d] to spend money to give him the </w:t>
      </w:r>
      <w:bookmarkStart w:name="_bookmark617" w:id="619"/>
      <w:bookmarkEnd w:id="619"/>
      <w:r>
        <w:rPr>
          <w:vertAlign w:val="baseline"/>
        </w:rPr>
        <w:t>benefit</w:t>
      </w:r>
      <w:r>
        <w:rPr>
          <w:vertAlign w:val="baseline"/>
        </w:rPr>
        <w:t> of the bargain which the defendant had promised but failed to deliver.” </w:t>
      </w:r>
      <w:r>
        <w:rPr>
          <w:color w:val="005DA1"/>
          <w:u w:val="single" w:color="005DA1"/>
          <w:vertAlign w:val="superscript"/>
        </w:rPr>
        <w:t>360</w:t>
      </w:r>
      <w:r>
        <w:rPr>
          <w:color w:val="005DA1"/>
          <w:vertAlign w:val="baseline"/>
        </w:rPr>
        <w:t> </w:t>
      </w:r>
      <w:r>
        <w:rPr>
          <w:vertAlign w:val="baseline"/>
        </w:rPr>
        <w:t>He added that “the </w:t>
      </w:r>
      <w:bookmarkStart w:name="_bookmark618" w:id="620"/>
      <w:bookmarkEnd w:id="620"/>
      <w:r>
        <w:rPr>
          <w:vertAlign w:val="baseline"/>
        </w:rPr>
        <w:t>court</w:t>
      </w:r>
      <w:r>
        <w:rPr>
          <w:vertAlign w:val="baseline"/>
        </w:rPr>
        <w:t> will of course wish to be satisfied that the repairs have been or are likely to be carried out.” </w:t>
      </w:r>
      <w:r>
        <w:rPr>
          <w:color w:val="005DA1"/>
          <w:u w:val="single" w:color="005DA1"/>
          <w:vertAlign w:val="superscript"/>
        </w:rPr>
        <w:t>361</w:t>
      </w:r>
      <w:r>
        <w:rPr>
          <w:color w:val="005DA1"/>
          <w:vertAlign w:val="baseline"/>
        </w:rPr>
        <w:t> </w:t>
      </w:r>
      <w:r>
        <w:rPr>
          <w:vertAlign w:val="baseline"/>
        </w:rPr>
        <w:t>This approach is, it is submitted, consistent with the explanation given in </w:t>
      </w:r>
      <w:r>
        <w:rPr>
          <w:rFonts w:ascii="Arial" w:hAnsi="Arial"/>
          <w:i/>
          <w:vertAlign w:val="baseline"/>
        </w:rPr>
        <w:t>Beswick v Beswick </w:t>
      </w:r>
      <w:r>
        <w:rPr>
          <w:color w:val="005DA1"/>
          <w:u w:val="single" w:color="005DA1"/>
          <w:vertAlign w:val="superscript"/>
        </w:rPr>
        <w:t>362</w:t>
      </w:r>
      <w:r>
        <w:rPr>
          <w:color w:val="005DA1"/>
          <w:vertAlign w:val="baseline"/>
        </w:rPr>
        <w:t> </w:t>
      </w:r>
      <w:r>
        <w:rPr>
          <w:vertAlign w:val="baseline"/>
        </w:rPr>
        <w:t>of the fact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damages</w:t>
      </w:r>
      <w:r>
        <w:rPr>
          <w:spacing w:val="-2"/>
          <w:vertAlign w:val="baseline"/>
        </w:rPr>
        <w:t> </w:t>
      </w:r>
      <w:r>
        <w:rPr>
          <w:vertAlign w:val="baseline"/>
        </w:rPr>
        <w:t>there</w:t>
      </w:r>
      <w:r>
        <w:rPr>
          <w:spacing w:val="-2"/>
          <w:vertAlign w:val="baseline"/>
        </w:rPr>
        <w:t> </w:t>
      </w:r>
      <w:r>
        <w:rPr>
          <w:vertAlign w:val="baseline"/>
        </w:rPr>
        <w:t>recoverable</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promisee</w:t>
      </w:r>
      <w:r>
        <w:rPr>
          <w:spacing w:val="-2"/>
          <w:vertAlign w:val="baseline"/>
        </w:rPr>
        <w:t> </w:t>
      </w:r>
      <w:r>
        <w:rPr>
          <w:vertAlign w:val="baseline"/>
        </w:rPr>
        <w:t>were</w:t>
      </w:r>
      <w:r>
        <w:rPr>
          <w:spacing w:val="-2"/>
          <w:vertAlign w:val="baseline"/>
        </w:rPr>
        <w:t> </w:t>
      </w:r>
      <w:r>
        <w:rPr>
          <w:vertAlign w:val="baseline"/>
        </w:rPr>
        <w:t>regarded</w:t>
      </w:r>
      <w:r>
        <w:rPr>
          <w:spacing w:val="-2"/>
          <w:vertAlign w:val="baseline"/>
        </w:rPr>
        <w:t> </w:t>
      </w:r>
      <w:r>
        <w:rPr>
          <w:vertAlign w:val="baseline"/>
        </w:rPr>
        <w:t>as</w:t>
      </w:r>
      <w:r>
        <w:rPr>
          <w:spacing w:val="-2"/>
          <w:vertAlign w:val="baseline"/>
        </w:rPr>
        <w:t> </w:t>
      </w:r>
      <w:r>
        <w:rPr>
          <w:vertAlign w:val="baseline"/>
        </w:rPr>
        <w:t>no</w:t>
      </w:r>
      <w:r>
        <w:rPr>
          <w:spacing w:val="-2"/>
          <w:vertAlign w:val="baseline"/>
        </w:rPr>
        <w:t> </w:t>
      </w:r>
      <w:r>
        <w:rPr>
          <w:vertAlign w:val="baseline"/>
        </w:rPr>
        <w:t>more</w:t>
      </w:r>
      <w:r>
        <w:rPr>
          <w:spacing w:val="-2"/>
          <w:vertAlign w:val="baseline"/>
        </w:rPr>
        <w:t> </w:t>
      </w:r>
      <w:r>
        <w:rPr>
          <w:vertAlign w:val="baseline"/>
        </w:rPr>
        <w:t>than</w:t>
      </w:r>
      <w:r>
        <w:rPr>
          <w:spacing w:val="-2"/>
          <w:vertAlign w:val="baseline"/>
        </w:rPr>
        <w:t> </w:t>
      </w:r>
      <w:r>
        <w:rPr>
          <w:vertAlign w:val="baseline"/>
        </w:rPr>
        <w:t>nominal:</w:t>
      </w:r>
      <w:r>
        <w:rPr>
          <w:spacing w:val="-2"/>
          <w:vertAlign w:val="baseline"/>
        </w:rPr>
        <w:t> </w:t>
      </w:r>
      <w:r>
        <w:rPr>
          <w:vertAlign w:val="baseline"/>
        </w:rPr>
        <w:t>the </w:t>
      </w:r>
      <w:bookmarkStart w:name="_bookmark619" w:id="621"/>
      <w:bookmarkEnd w:id="621"/>
      <w:r>
        <w:rPr>
          <w:vertAlign w:val="baseline"/>
        </w:rPr>
        <w:t>court</w:t>
      </w:r>
      <w:r>
        <w:rPr>
          <w:vertAlign w:val="baseline"/>
        </w:rPr>
        <w:t> there could not be satisfied that the substitute provision for the widow was likely to be made, precisely because the promisee lacked the means to make it. </w:t>
      </w:r>
      <w:r>
        <w:rPr>
          <w:color w:val="005DA1"/>
          <w:u w:val="single" w:color="005DA1"/>
          <w:vertAlign w:val="superscript"/>
        </w:rPr>
        <w:t>363</w:t>
      </w:r>
      <w:r>
        <w:rPr>
          <w:color w:val="005DA1"/>
          <w:vertAlign w:val="baseline"/>
        </w:rPr>
        <w:t> </w:t>
      </w:r>
      <w:r>
        <w:rPr>
          <w:vertAlign w:val="baseline"/>
        </w:rPr>
        <w:t>The essence of Lord Griffiths’ reasoning is that the promisee recovers damages in respect of the loss which he himself suffers in ensuring that the third party receives the intended benefit. The “broader ground” therefore cannot apply where there is no practical possibility of curing the breach and so of securing the intended benefit to the third party. This was the position in the “family holiday” cases discussed in para.18-052 </w:t>
      </w:r>
      <w:r>
        <w:rPr>
          <w:spacing w:val="-2"/>
          <w:vertAlign w:val="baseline"/>
        </w:rPr>
        <w:t>above.</w:t>
      </w:r>
    </w:p>
    <w:p>
      <w:pPr>
        <w:pStyle w:val="BodyText"/>
      </w:pPr>
    </w:p>
    <w:p>
      <w:pPr>
        <w:pStyle w:val="BodyText"/>
        <w:spacing w:before="33"/>
      </w:pPr>
    </w:p>
    <w:p>
      <w:pPr>
        <w:spacing w:before="1"/>
        <w:ind w:left="164" w:right="0" w:firstLine="0"/>
        <w:jc w:val="left"/>
        <w:rPr>
          <w:rFonts w:ascii="Arial" w:hAnsi="Arial"/>
          <w:b/>
          <w:sz w:val="18"/>
        </w:rPr>
      </w:pPr>
      <w:bookmarkStart w:name="_bookmark620" w:id="622"/>
      <w:bookmarkEnd w:id="622"/>
      <w:r>
        <w:rPr/>
      </w:r>
      <w:r>
        <w:rPr>
          <w:rFonts w:ascii="Arial" w:hAnsi="Arial"/>
          <w:b/>
          <w:sz w:val="18"/>
        </w:rPr>
        <w:t>The “narrower ground”: loss suffered by third party as transferee of the affected property</w:t>
      </w:r>
      <w:r>
        <w:rPr>
          <w:rFonts w:ascii="Arial" w:hAnsi="Arial"/>
          <w:b/>
          <w:spacing w:val="-1"/>
          <w:sz w:val="18"/>
        </w:rPr>
        <w:t> </w:t>
      </w:r>
      <w:r>
        <w:rPr>
          <w:rFonts w:ascii="Arial" w:hAnsi="Arial"/>
          <w:b/>
          <w:color w:val="005DA1"/>
          <w:spacing w:val="-5"/>
          <w:sz w:val="18"/>
          <w:u w:val="single" w:color="005DA1"/>
          <w:vertAlign w:val="superscript"/>
        </w:rPr>
        <w:t>364</w:t>
      </w:r>
    </w:p>
    <w:p>
      <w:pPr>
        <w:pStyle w:val="BodyText"/>
        <w:spacing w:before="41"/>
        <w:rPr>
          <w:rFonts w:ascii="Arial"/>
          <w:b/>
          <w:sz w:val="18"/>
        </w:rPr>
      </w:pPr>
    </w:p>
    <w:p>
      <w:pPr>
        <w:pStyle w:val="Heading2"/>
      </w:pPr>
      <w:r>
        <w:rPr/>
        <w:t>18-</w:t>
      </w:r>
      <w:r>
        <w:rPr>
          <w:spacing w:val="-5"/>
        </w:rPr>
        <w:t>057</w:t>
      </w:r>
    </w:p>
    <w:p>
      <w:pPr>
        <w:pStyle w:val="BodyText"/>
        <w:spacing w:before="21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21" w:id="623"/>
      <w:bookmarkEnd w:id="623"/>
      <w:r>
        <w:rPr>
          <w:rFonts w:ascii="Times New Roman" w:hAnsi="Times New Roman"/>
          <w:spacing w:val="6"/>
        </w:rPr>
      </w:r>
      <w:r>
        <w:rPr/>
        <w:t>Although</w:t>
      </w:r>
      <w:r>
        <w:rPr>
          <w:spacing w:val="-3"/>
        </w:rPr>
        <w:t> </w:t>
      </w:r>
      <w:r>
        <w:rPr/>
        <w:t>Lord</w:t>
      </w:r>
      <w:r>
        <w:rPr>
          <w:spacing w:val="-3"/>
        </w:rPr>
        <w:t> </w:t>
      </w:r>
      <w:r>
        <w:rPr/>
        <w:t>Keith</w:t>
      </w:r>
      <w:r>
        <w:rPr>
          <w:spacing w:val="-3"/>
        </w:rPr>
        <w:t> </w:t>
      </w:r>
      <w:r>
        <w:rPr/>
        <w:t>had</w:t>
      </w:r>
      <w:r>
        <w:rPr>
          <w:spacing w:val="-3"/>
        </w:rPr>
        <w:t> </w:t>
      </w:r>
      <w:r>
        <w:rPr/>
        <w:t>“much</w:t>
      </w:r>
      <w:r>
        <w:rPr>
          <w:spacing w:val="-3"/>
        </w:rPr>
        <w:t> </w:t>
      </w:r>
      <w:r>
        <w:rPr/>
        <w:t>sympathy”</w:t>
      </w:r>
      <w:r>
        <w:rPr>
          <w:spacing w:val="-3"/>
        </w:rPr>
        <w:t> </w:t>
      </w:r>
      <w:r>
        <w:rPr>
          <w:color w:val="005DA1"/>
          <w:u w:val="single" w:color="005DA1"/>
          <w:vertAlign w:val="superscript"/>
        </w:rPr>
        <w:t>365</w:t>
      </w:r>
      <w:r>
        <w:rPr>
          <w:color w:val="005DA1"/>
          <w:spacing w:val="-3"/>
          <w:vertAlign w:val="baseline"/>
        </w:rPr>
        <w:t> </w:t>
      </w:r>
      <w:r>
        <w:rPr>
          <w:vertAlign w:val="baseline"/>
        </w:rPr>
        <w:t>with,</w:t>
      </w:r>
      <w:r>
        <w:rPr>
          <w:spacing w:val="-3"/>
          <w:vertAlign w:val="baseline"/>
        </w:rPr>
        <w:t> </w:t>
      </w:r>
      <w:r>
        <w:rPr>
          <w:vertAlign w:val="baseline"/>
        </w:rPr>
        <w:t>and</w:t>
      </w:r>
      <w:r>
        <w:rPr>
          <w:spacing w:val="-3"/>
          <w:vertAlign w:val="baseline"/>
        </w:rPr>
        <w:t> </w:t>
      </w:r>
      <w:r>
        <w:rPr>
          <w:vertAlign w:val="baseline"/>
        </w:rPr>
        <w:t>Lord</w:t>
      </w:r>
      <w:r>
        <w:rPr>
          <w:spacing w:val="-3"/>
          <w:vertAlign w:val="baseline"/>
        </w:rPr>
        <w:t> </w:t>
      </w:r>
      <w:r>
        <w:rPr>
          <w:vertAlign w:val="baseline"/>
        </w:rPr>
        <w:t>Bridge</w:t>
      </w:r>
      <w:r>
        <w:rPr>
          <w:spacing w:val="-3"/>
          <w:vertAlign w:val="baseline"/>
        </w:rPr>
        <w:t> </w:t>
      </w:r>
      <w:r>
        <w:rPr>
          <w:vertAlign w:val="baseline"/>
        </w:rPr>
        <w:t>was</w:t>
      </w:r>
      <w:r>
        <w:rPr>
          <w:spacing w:val="-3"/>
          <w:vertAlign w:val="baseline"/>
        </w:rPr>
        <w:t> </w:t>
      </w:r>
      <w:r>
        <w:rPr>
          <w:vertAlign w:val="baseline"/>
        </w:rPr>
        <w:t>“much</w:t>
      </w:r>
      <w:r>
        <w:rPr>
          <w:spacing w:val="-3"/>
          <w:vertAlign w:val="baseline"/>
        </w:rPr>
        <w:t> </w:t>
      </w:r>
      <w:r>
        <w:rPr>
          <w:vertAlign w:val="baseline"/>
        </w:rPr>
        <w:t>attracted</w:t>
      </w:r>
      <w:r>
        <w:rPr>
          <w:spacing w:val="-3"/>
          <w:vertAlign w:val="baseline"/>
        </w:rPr>
        <w:t> </w:t>
      </w:r>
      <w:r>
        <w:rPr>
          <w:vertAlign w:val="baseline"/>
        </w:rPr>
        <w:t>by,”</w:t>
      </w:r>
      <w:r>
        <w:rPr>
          <w:spacing w:val="-3"/>
          <w:vertAlign w:val="baseline"/>
        </w:rPr>
        <w:t> </w:t>
      </w:r>
      <w:r>
        <w:rPr>
          <w:color w:val="005DA1"/>
          <w:u w:val="single" w:color="005DA1"/>
          <w:vertAlign w:val="superscript"/>
        </w:rPr>
        <w:t>366</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position w:val="-2"/>
          <w:vertAlign w:val="baseline"/>
        </w:rPr>
        <w:t> </w:t>
      </w:r>
      <w:bookmarkStart w:name="_bookmark622" w:id="624"/>
      <w:bookmarkEnd w:id="624"/>
      <w:r>
        <w:rPr>
          <w:rFonts w:ascii="Times New Roman" w:hAnsi="Times New Roman"/>
          <w:color w:val="005DA1"/>
          <w:spacing w:val="2"/>
          <w:position w:val="-2"/>
          <w:vertAlign w:val="baseline"/>
        </w:rPr>
      </w:r>
      <w:r>
        <w:rPr>
          <w:vertAlign w:val="baseline"/>
        </w:rPr>
        <w:t>Lord Griffiths’ reasoning, discussed in para.18-056 above, they (as well as Lord Ackner) preferred to base their decision on the “narrower ground”</w:t>
      </w:r>
      <w:r>
        <w:rPr>
          <w:spacing w:val="-1"/>
          <w:vertAlign w:val="baseline"/>
        </w:rPr>
        <w:t> </w:t>
      </w:r>
      <w:r>
        <w:rPr>
          <w:color w:val="005DA1"/>
          <w:u w:val="single" w:color="005DA1"/>
          <w:vertAlign w:val="superscript"/>
        </w:rPr>
        <w:t>367</w:t>
      </w:r>
      <w:r>
        <w:rPr>
          <w:color w:val="005DA1"/>
          <w:vertAlign w:val="baseline"/>
        </w:rPr>
        <w:t> </w:t>
      </w:r>
      <w:r>
        <w:rPr>
          <w:vertAlign w:val="baseline"/>
        </w:rPr>
        <w:t>stated by Lord Browne-Wilkinson. This treats the loss as having been suffered by the third party rather than by the employer, but concludes that </w:t>
      </w:r>
      <w:r>
        <w:rPr>
          <w:vertAlign w:val="baseline"/>
        </w:rPr>
        <w:t>the </w:t>
      </w:r>
      <w:bookmarkStart w:name="_bookmark623" w:id="625"/>
      <w:bookmarkEnd w:id="625"/>
      <w:r>
        <w:rPr>
          <w:vertAlign w:val="baseline"/>
        </w:rPr>
        <w:t>employer</w:t>
      </w:r>
      <w:r>
        <w:rPr>
          <w:spacing w:val="39"/>
          <w:vertAlign w:val="baseline"/>
        </w:rPr>
        <w:t> </w:t>
      </w:r>
      <w:r>
        <w:rPr>
          <w:vertAlign w:val="baseline"/>
        </w:rPr>
        <w:t>could</w:t>
      </w:r>
      <w:r>
        <w:rPr>
          <w:spacing w:val="39"/>
          <w:vertAlign w:val="baseline"/>
        </w:rPr>
        <w:t> </w:t>
      </w:r>
      <w:r>
        <w:rPr>
          <w:vertAlign w:val="baseline"/>
        </w:rPr>
        <w:t>nevertheless</w:t>
      </w:r>
      <w:r>
        <w:rPr>
          <w:spacing w:val="39"/>
          <w:vertAlign w:val="baseline"/>
        </w:rPr>
        <w:t> </w:t>
      </w:r>
      <w:r>
        <w:rPr>
          <w:vertAlign w:val="baseline"/>
        </w:rPr>
        <w:t>recover</w:t>
      </w:r>
      <w:r>
        <w:rPr>
          <w:spacing w:val="39"/>
          <w:vertAlign w:val="baseline"/>
        </w:rPr>
        <w:t> </w:t>
      </w:r>
      <w:r>
        <w:rPr>
          <w:vertAlign w:val="baseline"/>
        </w:rPr>
        <w:t>substantial</w:t>
      </w:r>
      <w:r>
        <w:rPr>
          <w:spacing w:val="39"/>
          <w:vertAlign w:val="baseline"/>
        </w:rPr>
        <w:t> </w:t>
      </w:r>
      <w:r>
        <w:rPr>
          <w:vertAlign w:val="baseline"/>
        </w:rPr>
        <w:t>damages</w:t>
      </w:r>
      <w:r>
        <w:rPr>
          <w:spacing w:val="39"/>
          <w:vertAlign w:val="baseline"/>
        </w:rPr>
        <w:t> </w:t>
      </w:r>
      <w:r>
        <w:rPr>
          <w:vertAlign w:val="baseline"/>
        </w:rPr>
        <w:t>as</w:t>
      </w:r>
      <w:r>
        <w:rPr>
          <w:spacing w:val="39"/>
          <w:vertAlign w:val="baseline"/>
        </w:rPr>
        <w:t> </w:t>
      </w:r>
      <w:r>
        <w:rPr>
          <w:vertAlign w:val="baseline"/>
        </w:rPr>
        <w:t>the</w:t>
      </w:r>
      <w:r>
        <w:rPr>
          <w:spacing w:val="39"/>
          <w:vertAlign w:val="baseline"/>
        </w:rPr>
        <w:t> </w:t>
      </w:r>
      <w:r>
        <w:rPr>
          <w:vertAlign w:val="baseline"/>
        </w:rPr>
        <w:t>case</w:t>
      </w:r>
      <w:r>
        <w:rPr>
          <w:spacing w:val="39"/>
          <w:vertAlign w:val="baseline"/>
        </w:rPr>
        <w:t> </w:t>
      </w:r>
      <w:r>
        <w:rPr>
          <w:vertAlign w:val="baseline"/>
        </w:rPr>
        <w:t>fell</w:t>
      </w:r>
      <w:r>
        <w:rPr>
          <w:spacing w:val="39"/>
          <w:vertAlign w:val="baseline"/>
        </w:rPr>
        <w:t> </w:t>
      </w:r>
      <w:r>
        <w:rPr>
          <w:vertAlign w:val="baseline"/>
        </w:rPr>
        <w:t>within</w:t>
      </w:r>
      <w:r>
        <w:rPr>
          <w:spacing w:val="39"/>
          <w:vertAlign w:val="baseline"/>
        </w:rPr>
        <w:t> </w:t>
      </w:r>
      <w:r>
        <w:rPr>
          <w:vertAlign w:val="baseline"/>
        </w:rPr>
        <w:t>the</w:t>
      </w:r>
      <w:r>
        <w:rPr>
          <w:spacing w:val="39"/>
          <w:vertAlign w:val="baseline"/>
        </w:rPr>
        <w:t> </w:t>
      </w:r>
      <w:r>
        <w:rPr>
          <w:vertAlign w:val="baseline"/>
        </w:rPr>
        <w:t>rationale</w:t>
      </w:r>
      <w:r>
        <w:rPr>
          <w:spacing w:val="39"/>
          <w:vertAlign w:val="baseline"/>
        </w:rPr>
        <w:t> </w:t>
      </w:r>
      <w:r>
        <w:rPr>
          <w:spacing w:val="-5"/>
          <w:vertAlign w:val="baseline"/>
        </w:rPr>
        <w:t>of</w:t>
      </w:r>
    </w:p>
    <w:p>
      <w:pPr>
        <w:pStyle w:val="BodyText"/>
        <w:spacing w:line="235" w:lineRule="auto" w:before="118"/>
        <w:ind w:left="164" w:right="167"/>
        <w:jc w:val="both"/>
      </w:pPr>
      <w:r>
        <w:rPr>
          <w:rFonts w:ascii="Arial" w:hAnsi="Arial"/>
          <w:i/>
        </w:rPr>
        <w:t>Albazero </w:t>
      </w:r>
      <w:r>
        <w:rPr/>
        <w:t>exception </w:t>
      </w:r>
      <w:r>
        <w:rPr>
          <w:color w:val="005DA1"/>
          <w:u w:val="single" w:color="005DA1"/>
          <w:vertAlign w:val="superscript"/>
        </w:rPr>
        <w:t>368</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9"/>
          <w:vertAlign w:val="baseline"/>
        </w:rPr>
        <w:t> </w:t>
      </w:r>
      <w:r>
        <w:rPr>
          <w:vertAlign w:val="baseline"/>
        </w:rPr>
        <w:t>to the general rule that a party can recover damages only in respect of his own loss. The rationale of this exception was that, in the carriage of goods cases to which it applies, the shipper and carrier must have contemplated that property in the goods might be transferred to third parties after the contract had been made, and that the shipper must therefore be treated in </w:t>
      </w:r>
      <w:r>
        <w:rPr>
          <w:vertAlign w:val="baseline"/>
        </w:rPr>
        <w:t>law </w:t>
      </w:r>
      <w:bookmarkStart w:name="_bookmark624" w:id="626"/>
      <w:bookmarkEnd w:id="626"/>
      <w:r>
        <w:rPr>
          <w:vertAlign w:val="baseline"/>
        </w:rPr>
        <w:t>as</w:t>
      </w:r>
      <w:r>
        <w:rPr>
          <w:vertAlign w:val="baseline"/>
        </w:rPr>
        <w:t> having made the contract of carriage for the benefit of all persons who might after the time of contracting acquire interests in the goods. </w:t>
      </w:r>
      <w:r>
        <w:rPr>
          <w:color w:val="005DA1"/>
          <w:u w:val="single" w:color="005DA1"/>
          <w:vertAlign w:val="superscript"/>
        </w:rPr>
        <w:t>369</w:t>
      </w:r>
      <w:r>
        <w:rPr>
          <w:color w:val="005DA1"/>
          <w:vertAlign w:val="baseline"/>
        </w:rPr>
        <w:t> </w:t>
      </w:r>
      <w:r>
        <w:rPr>
          <w:vertAlign w:val="baseline"/>
        </w:rPr>
        <w:t>This rationale applied equally to the facts of the </w:t>
      </w:r>
      <w:r>
        <w:rPr>
          <w:rFonts w:ascii="Arial" w:hAnsi="Arial"/>
          <w:i/>
          <w:vertAlign w:val="baseline"/>
        </w:rPr>
        <w:t>Linden Gardens </w:t>
      </w:r>
      <w:r>
        <w:rPr>
          <w:vertAlign w:val="baseline"/>
        </w:rPr>
        <w:t>case since the contractor could foresee that parts of the new development were going to be </w:t>
      </w:r>
      <w:bookmarkStart w:name="_bookmark625" w:id="627"/>
      <w:bookmarkEnd w:id="627"/>
      <w:r>
        <w:rPr>
          <w:vertAlign w:val="baseline"/>
        </w:rPr>
        <w:t>“occupied</w:t>
      </w:r>
      <w:r>
        <w:rPr>
          <w:vertAlign w:val="baseline"/>
        </w:rPr>
        <w:t> and possibly purchased by third parties” so that “it could be foreseen that damage caused by a breach would cause loss to a later owner.” </w:t>
      </w:r>
      <w:r>
        <w:rPr>
          <w:color w:val="005DA1"/>
          <w:u w:val="single" w:color="005DA1"/>
          <w:vertAlign w:val="superscript"/>
        </w:rPr>
        <w:t>370</w:t>
      </w:r>
      <w:r>
        <w:rPr>
          <w:color w:val="005DA1"/>
          <w:vertAlign w:val="baseline"/>
        </w:rPr>
        <w:t> </w:t>
      </w:r>
      <w:r>
        <w:rPr>
          <w:vertAlign w:val="baseline"/>
        </w:rPr>
        <w:t>The contractor could also foresee that a later owner would not have acquired rights under the building contract against the contractor since that contract expressly prohibited assignment by the employer without the contractor’s written consent, which had not been sought. The effect of the </w:t>
      </w:r>
      <w:r>
        <w:rPr>
          <w:rFonts w:ascii="Arial" w:hAnsi="Arial"/>
          <w:i/>
          <w:vertAlign w:val="baseline"/>
        </w:rPr>
        <w:t>Linden Gardens </w:t>
      </w:r>
      <w:r>
        <w:rPr>
          <w:vertAlign w:val="baseline"/>
        </w:rPr>
        <w:t>case was thus to extend the scope of the </w:t>
      </w:r>
      <w:r>
        <w:rPr>
          <w:rFonts w:ascii="Arial" w:hAnsi="Arial"/>
          <w:i/>
          <w:vertAlign w:val="baseline"/>
        </w:rPr>
        <w:t>Albazero </w:t>
      </w:r>
      <w:r>
        <w:rPr>
          <w:vertAlign w:val="baseline"/>
        </w:rPr>
        <w:t>exception from contracts for the carriage of goods by sea to contracts generally, but the </w:t>
      </w:r>
      <w:r>
        <w:rPr>
          <w:rFonts w:ascii="Arial" w:hAnsi="Arial"/>
          <w:i/>
          <w:vertAlign w:val="baseline"/>
        </w:rPr>
        <w:t>Linden Gardens </w:t>
      </w:r>
      <w:r>
        <w:rPr>
          <w:vertAlign w:val="baseline"/>
        </w:rPr>
        <w:t>case was consistent with two factors which had restricted the scope of that</w:t>
      </w:r>
      <w:r>
        <w:rPr>
          <w:spacing w:val="40"/>
          <w:vertAlign w:val="baseline"/>
        </w:rPr>
        <w:t> </w:t>
      </w:r>
      <w:r>
        <w:rPr>
          <w:vertAlign w:val="baseline"/>
        </w:rPr>
        <w:t>exception: namely that (a) the loss or damage was caused to property which had been transferred by </w:t>
      </w:r>
      <w:bookmarkStart w:name="_bookmark626" w:id="628"/>
      <w:bookmarkEnd w:id="628"/>
      <w:r>
        <w:rPr>
          <w:vertAlign w:val="baseline"/>
        </w:rPr>
        <w:t>one</w:t>
      </w:r>
      <w:r>
        <w:rPr>
          <w:vertAlign w:val="baseline"/>
        </w:rPr>
        <w:t> of the contracting parties to the third party; and (b) the third party had not acquired any rights under the building contract </w:t>
      </w:r>
      <w:r>
        <w:rPr>
          <w:color w:val="005DA1"/>
          <w:u w:val="single" w:color="005DA1"/>
          <w:vertAlign w:val="superscript"/>
        </w:rPr>
        <w:t>371</w:t>
      </w:r>
      <w:r>
        <w:rPr>
          <w:color w:val="005DA1"/>
          <w:vertAlign w:val="baseline"/>
        </w:rPr>
        <w:t> </w:t>
      </w:r>
      <w:r>
        <w:rPr>
          <w:vertAlign w:val="baseline"/>
        </w:rPr>
        <w:t>and it was foreseeable (by reason of the prohibition against </w:t>
      </w:r>
      <w:bookmarkStart w:name="_bookmark627" w:id="629"/>
      <w:bookmarkEnd w:id="629"/>
      <w:r>
        <w:rPr>
          <w:vertAlign w:val="baseline"/>
        </w:rPr>
        <w:t>assignment)</w:t>
      </w:r>
      <w:r>
        <w:rPr>
          <w:spacing w:val="23"/>
          <w:vertAlign w:val="baseline"/>
        </w:rPr>
        <w:t> </w:t>
      </w:r>
      <w:r>
        <w:rPr>
          <w:vertAlign w:val="baseline"/>
        </w:rPr>
        <w:t>that</w:t>
      </w:r>
      <w:r>
        <w:rPr>
          <w:spacing w:val="23"/>
          <w:vertAlign w:val="baseline"/>
        </w:rPr>
        <w:t> </w:t>
      </w:r>
      <w:r>
        <w:rPr>
          <w:vertAlign w:val="baseline"/>
        </w:rPr>
        <w:t>he</w:t>
      </w:r>
      <w:r>
        <w:rPr>
          <w:spacing w:val="23"/>
          <w:vertAlign w:val="baseline"/>
        </w:rPr>
        <w:t> </w:t>
      </w:r>
      <w:r>
        <w:rPr>
          <w:vertAlign w:val="baseline"/>
        </w:rPr>
        <w:t>would</w:t>
      </w:r>
      <w:r>
        <w:rPr>
          <w:spacing w:val="23"/>
          <w:vertAlign w:val="baseline"/>
        </w:rPr>
        <w:t> </w:t>
      </w:r>
      <w:r>
        <w:rPr>
          <w:vertAlign w:val="baseline"/>
        </w:rPr>
        <w:t>not</w:t>
      </w:r>
      <w:r>
        <w:rPr>
          <w:spacing w:val="23"/>
          <w:vertAlign w:val="baseline"/>
        </w:rPr>
        <w:t> </w:t>
      </w:r>
      <w:r>
        <w:rPr>
          <w:vertAlign w:val="baseline"/>
        </w:rPr>
        <w:t>do</w:t>
      </w:r>
      <w:r>
        <w:rPr>
          <w:spacing w:val="23"/>
          <w:vertAlign w:val="baseline"/>
        </w:rPr>
        <w:t> </w:t>
      </w:r>
      <w:r>
        <w:rPr>
          <w:vertAlign w:val="baseline"/>
        </w:rPr>
        <w:t>so.</w:t>
      </w:r>
      <w:r>
        <w:rPr>
          <w:spacing w:val="23"/>
          <w:vertAlign w:val="baseline"/>
        </w:rPr>
        <w:t> </w:t>
      </w:r>
      <w:r>
        <w:rPr>
          <w:vertAlign w:val="baseline"/>
        </w:rPr>
        <w:t>The</w:t>
      </w:r>
      <w:r>
        <w:rPr>
          <w:spacing w:val="23"/>
          <w:vertAlign w:val="baseline"/>
        </w:rPr>
        <w:t> </w:t>
      </w:r>
      <w:r>
        <w:rPr>
          <w:vertAlign w:val="baseline"/>
        </w:rPr>
        <w:t>significance</w:t>
      </w:r>
      <w:r>
        <w:rPr>
          <w:spacing w:val="23"/>
          <w:vertAlign w:val="baseline"/>
        </w:rPr>
        <w:t> </w:t>
      </w:r>
      <w:r>
        <w:rPr>
          <w:vertAlign w:val="baseline"/>
        </w:rPr>
        <w:t>of</w:t>
      </w:r>
      <w:r>
        <w:rPr>
          <w:spacing w:val="23"/>
          <w:vertAlign w:val="baseline"/>
        </w:rPr>
        <w:t> </w:t>
      </w:r>
      <w:r>
        <w:rPr>
          <w:vertAlign w:val="baseline"/>
        </w:rPr>
        <w:t>these</w:t>
      </w:r>
      <w:r>
        <w:rPr>
          <w:spacing w:val="23"/>
          <w:vertAlign w:val="baseline"/>
        </w:rPr>
        <w:t> </w:t>
      </w:r>
      <w:r>
        <w:rPr>
          <w:vertAlign w:val="baseline"/>
        </w:rPr>
        <w:t>factors</w:t>
      </w:r>
      <w:r>
        <w:rPr>
          <w:spacing w:val="23"/>
          <w:vertAlign w:val="baseline"/>
        </w:rPr>
        <w:t> </w:t>
      </w:r>
      <w:r>
        <w:rPr>
          <w:vertAlign w:val="baseline"/>
        </w:rPr>
        <w:t>is</w:t>
      </w:r>
      <w:r>
        <w:rPr>
          <w:spacing w:val="23"/>
          <w:vertAlign w:val="baseline"/>
        </w:rPr>
        <w:t> </w:t>
      </w:r>
      <w:r>
        <w:rPr>
          <w:vertAlign w:val="baseline"/>
        </w:rPr>
        <w:t>further</w:t>
      </w:r>
      <w:r>
        <w:rPr>
          <w:spacing w:val="23"/>
          <w:vertAlign w:val="baseline"/>
        </w:rPr>
        <w:t> </w:t>
      </w:r>
      <w:r>
        <w:rPr>
          <w:vertAlign w:val="baseline"/>
        </w:rPr>
        <w:t>considered</w:t>
      </w:r>
      <w:r>
        <w:rPr>
          <w:spacing w:val="23"/>
          <w:vertAlign w:val="baseline"/>
        </w:rPr>
        <w:t> </w:t>
      </w:r>
      <w:r>
        <w:rPr>
          <w:vertAlign w:val="baseline"/>
        </w:rPr>
        <w:t>in</w:t>
      </w:r>
      <w:r>
        <w:rPr>
          <w:spacing w:val="23"/>
          <w:vertAlign w:val="baseline"/>
        </w:rPr>
        <w:t> </w:t>
      </w:r>
      <w:r>
        <w:rPr>
          <w:spacing w:val="-5"/>
          <w:vertAlign w:val="baseline"/>
        </w:rPr>
        <w:t>two</w:t>
      </w:r>
    </w:p>
    <w:p>
      <w:pPr>
        <w:pStyle w:val="BodyText"/>
        <w:spacing w:before="109"/>
        <w:ind w:left="165"/>
        <w:jc w:val="both"/>
      </w:pPr>
      <w:r>
        <w:rPr/>
        <w:t>later</w:t>
      </w:r>
      <w:r>
        <w:rPr>
          <w:spacing w:val="2"/>
        </w:rPr>
        <w:t> </w:t>
      </w:r>
      <w:r>
        <w:rPr/>
        <w:t>cases</w:t>
      </w:r>
      <w:r>
        <w:rPr>
          <w:spacing w:val="2"/>
        </w:rPr>
        <w:t> </w:t>
      </w:r>
      <w:r>
        <w:rPr/>
        <w:t>to</w:t>
      </w:r>
      <w:r>
        <w:rPr>
          <w:spacing w:val="2"/>
        </w:rPr>
        <w:t> </w:t>
      </w:r>
      <w:r>
        <w:rPr/>
        <w:t>be</w:t>
      </w:r>
      <w:r>
        <w:rPr>
          <w:spacing w:val="2"/>
        </w:rPr>
        <w:t> </w:t>
      </w:r>
      <w:r>
        <w:rPr/>
        <w:t>discussed</w:t>
      </w:r>
      <w:r>
        <w:rPr>
          <w:spacing w:val="2"/>
        </w:rPr>
        <w:t> </w:t>
      </w:r>
      <w:r>
        <w:rPr/>
        <w:t>in</w:t>
      </w:r>
      <w:r>
        <w:rPr>
          <w:spacing w:val="2"/>
        </w:rPr>
        <w:t> </w:t>
      </w:r>
      <w:r>
        <w:rPr/>
        <w:t>paras</w:t>
      </w:r>
      <w:r>
        <w:rPr>
          <w:spacing w:val="2"/>
        </w:rPr>
        <w:t> </w:t>
      </w:r>
      <w:r>
        <w:rPr/>
        <w:t>18-058</w:t>
      </w:r>
      <w:r>
        <w:rPr>
          <w:spacing w:val="2"/>
        </w:rPr>
        <w:t> </w:t>
      </w:r>
      <w:r>
        <w:rPr/>
        <w:t>and</w:t>
      </w:r>
      <w:r>
        <w:rPr>
          <w:spacing w:val="2"/>
        </w:rPr>
        <w:t> </w:t>
      </w:r>
      <w:r>
        <w:rPr/>
        <w:t>18-060,</w:t>
      </w:r>
      <w:r>
        <w:rPr>
          <w:spacing w:val="2"/>
        </w:rPr>
        <w:t> </w:t>
      </w:r>
      <w:r>
        <w:rPr/>
        <w:t>below.</w:t>
      </w:r>
      <w:r>
        <w:rPr>
          <w:spacing w:val="2"/>
        </w:rPr>
        <w:t> </w:t>
      </w:r>
      <w:r>
        <w:rPr/>
        <w:t>The</w:t>
      </w:r>
      <w:r>
        <w:rPr>
          <w:spacing w:val="2"/>
        </w:rPr>
        <w:t> </w:t>
      </w:r>
      <w:r>
        <w:rPr/>
        <w:t>“further</w:t>
      </w:r>
      <w:r>
        <w:rPr>
          <w:spacing w:val="3"/>
        </w:rPr>
        <w:t> </w:t>
      </w:r>
      <w:r>
        <w:rPr/>
        <w:t>exceptions”</w:t>
      </w:r>
      <w:r>
        <w:rPr>
          <w:spacing w:val="1"/>
        </w:rPr>
        <w:t> </w:t>
      </w:r>
      <w:r>
        <w:rPr>
          <w:color w:val="005DA1"/>
          <w:u w:val="single" w:color="005DA1"/>
          <w:vertAlign w:val="superscript"/>
        </w:rPr>
        <w:t>372</w:t>
      </w:r>
      <w:r>
        <w:rPr>
          <w:color w:val="005DA1"/>
          <w:spacing w:val="31"/>
          <w:vertAlign w:val="baseline"/>
        </w:rPr>
        <w:t>  </w:t>
      </w:r>
      <w:r>
        <w:rPr>
          <w:color w:val="005DA1"/>
          <w:spacing w:val="11"/>
          <w:position w:val="-2"/>
          <w:vertAlign w:val="baseline"/>
        </w:rPr>
        <w:drawing>
          <wp:inline distT="0" distB="0" distL="0" distR="0">
            <wp:extent cx="107988" cy="107988"/>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1"/>
          <w:vertAlign w:val="baseline"/>
        </w:rPr>
        <w:t> </w:t>
      </w:r>
      <w:r>
        <w:rPr>
          <w:vertAlign w:val="baseline"/>
        </w:rPr>
        <w:t>to</w:t>
      </w:r>
      <w:r>
        <w:rPr>
          <w:spacing w:val="2"/>
          <w:vertAlign w:val="baseline"/>
        </w:rPr>
        <w:t> </w:t>
      </w:r>
      <w:r>
        <w:rPr>
          <w:spacing w:val="-5"/>
          <w:vertAlign w:val="baseline"/>
        </w:rPr>
        <w:t>the</w:t>
      </w:r>
    </w:p>
    <w:p>
      <w:pPr>
        <w:pStyle w:val="BodyText"/>
        <w:spacing w:after="0"/>
        <w:jc w:val="both"/>
        <w:sectPr>
          <w:pgSz w:w="11900" w:h="16840"/>
          <w:pgMar w:header="971" w:footer="0" w:top="1160" w:bottom="280" w:left="1275" w:right="1275"/>
        </w:sectPr>
      </w:pPr>
    </w:p>
    <w:p>
      <w:pPr>
        <w:pStyle w:val="BodyText"/>
        <w:spacing w:before="21"/>
      </w:pPr>
    </w:p>
    <w:p>
      <w:pPr>
        <w:pStyle w:val="BodyText"/>
        <w:spacing w:line="360" w:lineRule="auto"/>
        <w:ind w:left="165" w:right="167"/>
        <w:jc w:val="both"/>
      </w:pPr>
      <w:bookmarkStart w:name="_bookmark628" w:id="630"/>
      <w:bookmarkEnd w:id="630"/>
      <w:r>
        <w:rPr/>
      </w:r>
      <w:r>
        <w:rPr/>
        <w:t>general rule that a contracting party cannot recover damages in respect of loss suffered by a third </w:t>
      </w:r>
      <w:bookmarkStart w:name="_bookmark629" w:id="631"/>
      <w:bookmarkEnd w:id="631"/>
      <w:r>
        <w:rPr/>
        <w:t>party,</w:t>
      </w:r>
      <w:r>
        <w:rPr>
          <w:spacing w:val="11"/>
        </w:rPr>
        <w:t> </w:t>
      </w:r>
      <w:r>
        <w:rPr/>
        <w:t>as</w:t>
      </w:r>
      <w:r>
        <w:rPr>
          <w:spacing w:val="11"/>
        </w:rPr>
        <w:t> </w:t>
      </w:r>
      <w:r>
        <w:rPr/>
        <w:t>well</w:t>
      </w:r>
      <w:r>
        <w:rPr>
          <w:spacing w:val="11"/>
        </w:rPr>
        <w:t> </w:t>
      </w:r>
      <w:r>
        <w:rPr/>
        <w:t>as</w:t>
      </w:r>
      <w:r>
        <w:rPr>
          <w:spacing w:val="11"/>
        </w:rPr>
        <w:t> </w:t>
      </w:r>
      <w:r>
        <w:rPr/>
        <w:t>the</w:t>
      </w:r>
      <w:r>
        <w:rPr>
          <w:spacing w:val="11"/>
        </w:rPr>
        <w:t> </w:t>
      </w:r>
      <w:r>
        <w:rPr/>
        <w:t>“broader”</w:t>
      </w:r>
      <w:r>
        <w:rPr>
          <w:spacing w:val="11"/>
        </w:rPr>
        <w:t> </w:t>
      </w:r>
      <w:r>
        <w:rPr/>
        <w:t>and</w:t>
      </w:r>
      <w:r>
        <w:rPr>
          <w:spacing w:val="11"/>
        </w:rPr>
        <w:t> </w:t>
      </w:r>
      <w:r>
        <w:rPr/>
        <w:t>“narrower”</w:t>
      </w:r>
      <w:r>
        <w:rPr>
          <w:spacing w:val="11"/>
        </w:rPr>
        <w:t> </w:t>
      </w:r>
      <w:r>
        <w:rPr/>
        <w:t>grounds</w:t>
      </w:r>
      <w:r>
        <w:rPr>
          <w:spacing w:val="11"/>
        </w:rPr>
        <w:t> </w:t>
      </w:r>
      <w:r>
        <w:rPr/>
        <w:t>for</w:t>
      </w:r>
      <w:r>
        <w:rPr>
          <w:spacing w:val="11"/>
        </w:rPr>
        <w:t> </w:t>
      </w:r>
      <w:r>
        <w:rPr/>
        <w:t>these</w:t>
      </w:r>
      <w:r>
        <w:rPr>
          <w:spacing w:val="11"/>
        </w:rPr>
        <w:t> </w:t>
      </w:r>
      <w:r>
        <w:rPr/>
        <w:t>exceptions</w:t>
      </w:r>
      <w:r>
        <w:rPr>
          <w:spacing w:val="10"/>
        </w:rPr>
        <w:t> </w:t>
      </w:r>
      <w:r>
        <w:rPr>
          <w:color w:val="005DA1"/>
          <w:u w:val="single" w:color="005DA1"/>
          <w:vertAlign w:val="superscript"/>
        </w:rPr>
        <w:t>373</w:t>
      </w:r>
      <w:r>
        <w:rPr>
          <w:color w:val="005DA1"/>
          <w:spacing w:val="45"/>
          <w:vertAlign w:val="baseline"/>
        </w:rPr>
        <w:t>  </w:t>
      </w:r>
      <w:r>
        <w:rPr>
          <w:color w:val="005DA1"/>
          <w:spacing w:val="-18"/>
          <w:position w:val="-2"/>
          <w:vertAlign w:val="baseline"/>
        </w:rPr>
        <w:drawing>
          <wp:inline distT="0" distB="0" distL="0" distR="0">
            <wp:extent cx="107988" cy="107988"/>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34"/>
          <w:vertAlign w:val="baseline"/>
        </w:rPr>
        <w:t> </w:t>
      </w:r>
      <w:r>
        <w:rPr>
          <w:vertAlign w:val="baseline"/>
        </w:rPr>
        <w:t>are</w:t>
      </w:r>
      <w:r>
        <w:rPr>
          <w:spacing w:val="12"/>
          <w:vertAlign w:val="baseline"/>
        </w:rPr>
        <w:t> </w:t>
      </w:r>
      <w:r>
        <w:rPr>
          <w:vertAlign w:val="baseline"/>
        </w:rPr>
        <w:t>discussed</w:t>
      </w:r>
      <w:r>
        <w:rPr>
          <w:spacing w:val="11"/>
          <w:vertAlign w:val="baseline"/>
        </w:rPr>
        <w:t> </w:t>
      </w:r>
      <w:r>
        <w:rPr>
          <w:spacing w:val="-7"/>
          <w:vertAlign w:val="baseline"/>
        </w:rPr>
        <w:t>by</w:t>
      </w:r>
    </w:p>
    <w:p>
      <w:pPr>
        <w:pStyle w:val="BodyText"/>
        <w:spacing w:line="235" w:lineRule="auto" w:before="4"/>
        <w:ind w:left="165" w:right="167"/>
        <w:jc w:val="both"/>
      </w:pPr>
      <w:r>
        <w:rPr/>
        <w:t>the</w:t>
      </w:r>
      <w:r>
        <w:rPr>
          <w:spacing w:val="-1"/>
        </w:rPr>
        <w:t> </w:t>
      </w:r>
      <w:r>
        <w:rPr/>
        <w:t>Supreme</w:t>
      </w:r>
      <w:r>
        <w:rPr>
          <w:spacing w:val="-1"/>
        </w:rPr>
        <w:t> </w:t>
      </w:r>
      <w:r>
        <w:rPr/>
        <w:t>Court</w:t>
      </w:r>
      <w:r>
        <w:rPr>
          <w:spacing w:val="-1"/>
        </w:rPr>
        <w:t> </w:t>
      </w:r>
      <w:r>
        <w:rPr/>
        <w:t>in</w:t>
      </w:r>
      <w:r>
        <w:rPr>
          <w:spacing w:val="-1"/>
        </w:rPr>
        <w:t> </w:t>
      </w:r>
      <w:r>
        <w:rPr>
          <w:rFonts w:ascii="Arial"/>
          <w:i/>
        </w:rPr>
        <w:t>Swynson</w:t>
      </w:r>
      <w:r>
        <w:rPr>
          <w:rFonts w:ascii="Arial"/>
          <w:i/>
          <w:spacing w:val="-1"/>
        </w:rPr>
        <w:t> </w:t>
      </w:r>
      <w:r>
        <w:rPr>
          <w:rFonts w:ascii="Arial"/>
          <w:i/>
        </w:rPr>
        <w:t>Ltd</w:t>
      </w:r>
      <w:r>
        <w:rPr>
          <w:rFonts w:ascii="Arial"/>
          <w:i/>
          <w:spacing w:val="-1"/>
        </w:rPr>
        <w:t> </w:t>
      </w:r>
      <w:r>
        <w:rPr>
          <w:rFonts w:ascii="Arial"/>
          <w:i/>
        </w:rPr>
        <w:t>v</w:t>
      </w:r>
      <w:r>
        <w:rPr>
          <w:rFonts w:ascii="Arial"/>
          <w:i/>
          <w:spacing w:val="-1"/>
        </w:rPr>
        <w:t> </w:t>
      </w:r>
      <w:r>
        <w:rPr>
          <w:rFonts w:ascii="Arial"/>
          <w:i/>
        </w:rPr>
        <w:t>Lowick</w:t>
      </w:r>
      <w:r>
        <w:rPr>
          <w:rFonts w:ascii="Arial"/>
          <w:i/>
          <w:spacing w:val="-1"/>
        </w:rPr>
        <w:t> </w:t>
      </w:r>
      <w:r>
        <w:rPr>
          <w:rFonts w:ascii="Arial"/>
          <w:i/>
        </w:rPr>
        <w:t>Rose</w:t>
      </w:r>
      <w:r>
        <w:rPr>
          <w:rFonts w:ascii="Arial"/>
          <w:i/>
          <w:spacing w:val="-1"/>
        </w:rPr>
        <w:t> </w:t>
      </w:r>
      <w:r>
        <w:rPr>
          <w:rFonts w:ascii="Arial"/>
          <w:i/>
        </w:rPr>
        <w:t>LLP</w:t>
      </w:r>
      <w:r>
        <w:rPr/>
        <w:t>.</w:t>
      </w:r>
      <w:r>
        <w:rPr>
          <w:spacing w:val="-1"/>
        </w:rPr>
        <w:t> </w:t>
      </w:r>
      <w:r>
        <w:rPr>
          <w:color w:val="005DA1"/>
          <w:u w:val="single" w:color="005DA1"/>
          <w:vertAlign w:val="superscript"/>
        </w:rPr>
        <w:t>374</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vertAlign w:val="baseline"/>
        </w:rPr>
        <w:t> </w:t>
      </w:r>
      <w:r>
        <w:rPr>
          <w:vertAlign w:val="baseline"/>
        </w:rPr>
        <w:t>In</w:t>
      </w:r>
      <w:r>
        <w:rPr>
          <w:spacing w:val="-1"/>
          <w:vertAlign w:val="baseline"/>
        </w:rPr>
        <w:t> </w:t>
      </w:r>
      <w:r>
        <w:rPr>
          <w:vertAlign w:val="baseline"/>
        </w:rPr>
        <w:t>that</w:t>
      </w:r>
      <w:r>
        <w:rPr>
          <w:spacing w:val="-1"/>
          <w:vertAlign w:val="baseline"/>
        </w:rPr>
        <w:t> </w:t>
      </w:r>
      <w:r>
        <w:rPr>
          <w:vertAlign w:val="baseline"/>
        </w:rPr>
        <w:t>case</w:t>
      </w:r>
      <w:r>
        <w:rPr>
          <w:spacing w:val="-1"/>
          <w:vertAlign w:val="baseline"/>
        </w:rPr>
        <w:t> </w:t>
      </w:r>
      <w:r>
        <w:rPr>
          <w:vertAlign w:val="baseline"/>
        </w:rPr>
        <w:t>two</w:t>
      </w:r>
      <w:r>
        <w:rPr>
          <w:spacing w:val="-1"/>
          <w:vertAlign w:val="baseline"/>
        </w:rPr>
        <w:t> </w:t>
      </w:r>
      <w:r>
        <w:rPr>
          <w:vertAlign w:val="baseline"/>
        </w:rPr>
        <w:t>loans</w:t>
      </w:r>
      <w:r>
        <w:rPr>
          <w:spacing w:val="-1"/>
          <w:vertAlign w:val="baseline"/>
        </w:rPr>
        <w:t> </w:t>
      </w:r>
      <w:r>
        <w:rPr>
          <w:vertAlign w:val="baseline"/>
        </w:rPr>
        <w:t>were</w:t>
      </w:r>
      <w:r>
        <w:rPr>
          <w:spacing w:val="-1"/>
          <w:vertAlign w:val="baseline"/>
        </w:rPr>
        <w:t> </w:t>
      </w:r>
      <w:r>
        <w:rPr>
          <w:vertAlign w:val="baseline"/>
        </w:rPr>
        <w:t>made</w:t>
      </w:r>
      <w:r>
        <w:rPr>
          <w:spacing w:val="-1"/>
          <w:vertAlign w:val="baseline"/>
        </w:rPr>
        <w:t> </w:t>
      </w:r>
      <w:r>
        <w:rPr>
          <w:vertAlign w:val="baseline"/>
        </w:rPr>
        <w:t>by</w:t>
      </w:r>
      <w:r>
        <w:rPr>
          <w:spacing w:val="-1"/>
          <w:vertAlign w:val="baseline"/>
        </w:rPr>
        <w:t> </w:t>
      </w:r>
      <w:r>
        <w:rPr>
          <w:vertAlign w:val="baseline"/>
        </w:rPr>
        <w:t>a company (A) controlled and beneficially owned by an individual (here referred to as C) to another </w:t>
      </w:r>
      <w:bookmarkStart w:name="_bookmark630" w:id="632"/>
      <w:bookmarkEnd w:id="632"/>
      <w:r>
        <w:rPr>
          <w:vertAlign w:val="baseline"/>
        </w:rPr>
        <w:t>company</w:t>
      </w:r>
      <w:r>
        <w:rPr>
          <w:vertAlign w:val="baseline"/>
        </w:rPr>
        <w:t> (X) to finance the buy-out of a further entity (Y). These loans were made at the instigation of C</w:t>
      </w:r>
      <w:r>
        <w:rPr>
          <w:spacing w:val="13"/>
          <w:vertAlign w:val="baseline"/>
        </w:rPr>
        <w:t> </w:t>
      </w:r>
      <w:r>
        <w:rPr>
          <w:vertAlign w:val="baseline"/>
        </w:rPr>
        <w:t>and</w:t>
      </w:r>
      <w:r>
        <w:rPr>
          <w:spacing w:val="13"/>
          <w:vertAlign w:val="baseline"/>
        </w:rPr>
        <w:t> </w:t>
      </w:r>
      <w:r>
        <w:rPr>
          <w:vertAlign w:val="baseline"/>
        </w:rPr>
        <w:t>in</w:t>
      </w:r>
      <w:r>
        <w:rPr>
          <w:spacing w:val="13"/>
          <w:vertAlign w:val="baseline"/>
        </w:rPr>
        <w:t> </w:t>
      </w:r>
      <w:r>
        <w:rPr>
          <w:vertAlign w:val="baseline"/>
        </w:rPr>
        <w:t>reliance</w:t>
      </w:r>
      <w:r>
        <w:rPr>
          <w:spacing w:val="13"/>
          <w:vertAlign w:val="baseline"/>
        </w:rPr>
        <w:t> </w:t>
      </w:r>
      <w:r>
        <w:rPr>
          <w:vertAlign w:val="baseline"/>
        </w:rPr>
        <w:t>on</w:t>
      </w:r>
      <w:r>
        <w:rPr>
          <w:spacing w:val="13"/>
          <w:vertAlign w:val="baseline"/>
        </w:rPr>
        <w:t> </w:t>
      </w:r>
      <w:r>
        <w:rPr>
          <w:vertAlign w:val="baseline"/>
        </w:rPr>
        <w:t>a</w:t>
      </w:r>
      <w:r>
        <w:rPr>
          <w:spacing w:val="13"/>
          <w:vertAlign w:val="baseline"/>
        </w:rPr>
        <w:t> </w:t>
      </w:r>
      <w:r>
        <w:rPr>
          <w:vertAlign w:val="baseline"/>
        </w:rPr>
        <w:t>report</w:t>
      </w:r>
      <w:r>
        <w:rPr>
          <w:spacing w:val="13"/>
          <w:vertAlign w:val="baseline"/>
        </w:rPr>
        <w:t> </w:t>
      </w:r>
      <w:r>
        <w:rPr>
          <w:vertAlign w:val="baseline"/>
        </w:rPr>
        <w:t>prepared</w:t>
      </w:r>
      <w:r>
        <w:rPr>
          <w:spacing w:val="13"/>
          <w:vertAlign w:val="baseline"/>
        </w:rPr>
        <w:t> </w:t>
      </w:r>
      <w:r>
        <w:rPr>
          <w:vertAlign w:val="baseline"/>
        </w:rPr>
        <w:t>by</w:t>
      </w:r>
      <w:r>
        <w:rPr>
          <w:spacing w:val="13"/>
          <w:vertAlign w:val="baseline"/>
        </w:rPr>
        <w:t> </w:t>
      </w:r>
      <w:r>
        <w:rPr>
          <w:vertAlign w:val="baseline"/>
        </w:rPr>
        <w:t>the</w:t>
      </w:r>
      <w:r>
        <w:rPr>
          <w:spacing w:val="13"/>
          <w:vertAlign w:val="baseline"/>
        </w:rPr>
        <w:t> </w:t>
      </w:r>
      <w:r>
        <w:rPr>
          <w:vertAlign w:val="baseline"/>
        </w:rPr>
        <w:t>defendant,</w:t>
      </w:r>
      <w:r>
        <w:rPr>
          <w:spacing w:val="13"/>
          <w:vertAlign w:val="baseline"/>
        </w:rPr>
        <w:t> </w:t>
      </w:r>
      <w:r>
        <w:rPr>
          <w:vertAlign w:val="baseline"/>
        </w:rPr>
        <w:t>a</w:t>
      </w:r>
      <w:r>
        <w:rPr>
          <w:spacing w:val="13"/>
          <w:vertAlign w:val="baseline"/>
        </w:rPr>
        <w:t> </w:t>
      </w:r>
      <w:r>
        <w:rPr>
          <w:vertAlign w:val="baseline"/>
        </w:rPr>
        <w:t>firm</w:t>
      </w:r>
      <w:r>
        <w:rPr>
          <w:spacing w:val="13"/>
          <w:vertAlign w:val="baseline"/>
        </w:rPr>
        <w:t> </w:t>
      </w:r>
      <w:r>
        <w:rPr>
          <w:vertAlign w:val="baseline"/>
        </w:rPr>
        <w:t>of</w:t>
      </w:r>
      <w:r>
        <w:rPr>
          <w:spacing w:val="13"/>
          <w:vertAlign w:val="baseline"/>
        </w:rPr>
        <w:t> </w:t>
      </w:r>
      <w:r>
        <w:rPr>
          <w:vertAlign w:val="baseline"/>
        </w:rPr>
        <w:t>accountants</w:t>
      </w:r>
      <w:r>
        <w:rPr>
          <w:spacing w:val="13"/>
          <w:vertAlign w:val="baseline"/>
        </w:rPr>
        <w:t> </w:t>
      </w:r>
      <w:r>
        <w:rPr>
          <w:vertAlign w:val="baseline"/>
        </w:rPr>
        <w:t>engaged</w:t>
      </w:r>
      <w:r>
        <w:rPr>
          <w:spacing w:val="13"/>
          <w:vertAlign w:val="baseline"/>
        </w:rPr>
        <w:t> </w:t>
      </w:r>
      <w:r>
        <w:rPr>
          <w:vertAlign w:val="baseline"/>
        </w:rPr>
        <w:t>by</w:t>
      </w:r>
      <w:r>
        <w:rPr>
          <w:spacing w:val="13"/>
          <w:vertAlign w:val="baseline"/>
        </w:rPr>
        <w:t> </w:t>
      </w:r>
      <w:r>
        <w:rPr>
          <w:vertAlign w:val="baseline"/>
        </w:rPr>
        <w:t>A</w:t>
      </w:r>
      <w:r>
        <w:rPr>
          <w:spacing w:val="13"/>
          <w:vertAlign w:val="baseline"/>
        </w:rPr>
        <w:t> </w:t>
      </w:r>
      <w:r>
        <w:rPr>
          <w:vertAlign w:val="baseline"/>
        </w:rPr>
        <w:t>and</w:t>
      </w:r>
      <w:r>
        <w:rPr>
          <w:spacing w:val="13"/>
          <w:vertAlign w:val="baseline"/>
        </w:rPr>
        <w:t> </w:t>
      </w:r>
      <w:r>
        <w:rPr>
          <w:spacing w:val="-10"/>
          <w:vertAlign w:val="baseline"/>
        </w:rPr>
        <w:t>X</w:t>
      </w:r>
    </w:p>
    <w:p>
      <w:pPr>
        <w:pStyle w:val="BodyText"/>
        <w:spacing w:line="360" w:lineRule="auto" w:before="114"/>
        <w:ind w:left="165" w:right="167"/>
        <w:jc w:val="both"/>
      </w:pPr>
      <w:hyperlink w:history="true" w:anchor="_bookmark825">
        <w:r>
          <w:rPr>
            <w:color w:val="005DA1"/>
            <w:u w:val="single" w:color="005DA1"/>
            <w:vertAlign w:val="superscript"/>
          </w:rPr>
          <w:t>375</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bookmarkStart w:name="_bookmark631" w:id="633"/>
        <w:bookmarkEnd w:id="633"/>
        <w:r>
          <w:rPr>
            <w:color w:val="005DA1"/>
            <w:spacing w:val="-26"/>
            <w:position w:val="-2"/>
            <w:vertAlign w:val="baseline"/>
          </w:rPr>
        </w:r>
        <w:r>
          <w:rPr>
            <w:vertAlign w:val="baseline"/>
          </w:rPr>
          <w:t>; C was not a party to this contract. It was common ground that the accountants had </w:t>
        </w:r>
        <w:r>
          <w:rPr>
            <w:vertAlign w:val="baseline"/>
          </w:rPr>
          <w:t>been </w:t>
        </w:r>
        <w:bookmarkStart w:name="_bookmark632" w:id="634"/>
        <w:bookmarkEnd w:id="634"/>
        <w:r>
          <w:rPr>
            <w:vertAlign w:val="baseline"/>
          </w:rPr>
          <w:t>negligent</w:t>
        </w:r>
        <w:r>
          <w:rPr>
            <w:spacing w:val="-1"/>
            <w:vertAlign w:val="baseline"/>
          </w:rPr>
          <w:t> </w:t>
        </w:r>
        <w:r>
          <w:rPr>
            <w:vertAlign w:val="baseline"/>
          </w:rPr>
          <w:t>in</w:t>
        </w:r>
        <w:r>
          <w:rPr>
            <w:spacing w:val="-1"/>
            <w:vertAlign w:val="baseline"/>
          </w:rPr>
          <w:t> </w:t>
        </w:r>
        <w:r>
          <w:rPr>
            <w:vertAlign w:val="baseline"/>
          </w:rPr>
          <w:t>preparing</w:t>
        </w:r>
        <w:r>
          <w:rPr>
            <w:spacing w:val="-1"/>
            <w:vertAlign w:val="baseline"/>
          </w:rPr>
          <w:t> </w:t>
        </w:r>
        <w:r>
          <w:rPr>
            <w:vertAlign w:val="baseline"/>
          </w:rPr>
          <w:t>the</w:t>
        </w:r>
        <w:r>
          <w:rPr>
            <w:spacing w:val="-1"/>
            <w:vertAlign w:val="baseline"/>
          </w:rPr>
          <w:t> </w:t>
        </w:r>
        <w:r>
          <w:rPr>
            <w:vertAlign w:val="baseline"/>
          </w:rPr>
          <w:t>report.</w:t>
        </w:r>
        <w:r>
          <w:rPr>
            <w:spacing w:val="-1"/>
            <w:vertAlign w:val="baseline"/>
          </w:rPr>
          <w:t> </w:t>
        </w:r>
        <w:r>
          <w:rPr>
            <w:color w:val="005DA1"/>
            <w:u w:val="single" w:color="005DA1"/>
            <w:vertAlign w:val="superscript"/>
          </w:rPr>
          <w:t>376</w:t>
        </w:r>
        <w:r>
          <w:rPr>
            <w:color w:val="005DA1"/>
            <w:spacing w:val="26"/>
            <w:vertAlign w:val="baseline"/>
          </w:rPr>
          <w:t>  </w:t>
        </w:r>
        <w:r>
          <w:rPr>
            <w:color w:val="005DA1"/>
            <w:position w:val="-2"/>
            <w:vertAlign w:val="baseline"/>
          </w:rPr>
          <w:drawing>
            <wp:inline distT="0" distB="0" distL="0" distR="0">
              <wp:extent cx="107988" cy="10798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5"/>
            <w:vertAlign w:val="baseline"/>
          </w:rPr>
          <w:t> </w:t>
        </w:r>
        <w:r>
          <w:rPr>
            <w:vertAlign w:val="baseline"/>
          </w:rPr>
          <w:t>The</w:t>
        </w:r>
        <w:r>
          <w:rPr>
            <w:spacing w:val="-1"/>
            <w:vertAlign w:val="baseline"/>
          </w:rPr>
          <w:t> </w:t>
        </w:r>
        <w:r>
          <w:rPr>
            <w:vertAlign w:val="baseline"/>
          </w:rPr>
          <w:t>original</w:t>
        </w:r>
        <w:r>
          <w:rPr>
            <w:spacing w:val="-1"/>
            <w:vertAlign w:val="baseline"/>
          </w:rPr>
          <w:t> </w:t>
        </w:r>
        <w:r>
          <w:rPr>
            <w:vertAlign w:val="baseline"/>
          </w:rPr>
          <w:t>two loans</w:t>
        </w:r>
        <w:r>
          <w:rPr>
            <w:spacing w:val="-1"/>
            <w:vertAlign w:val="baseline"/>
          </w:rPr>
          <w:t> </w:t>
        </w:r>
        <w:r>
          <w:rPr>
            <w:vertAlign w:val="baseline"/>
          </w:rPr>
          <w:t>were</w:t>
        </w:r>
        <w:r>
          <w:rPr>
            <w:spacing w:val="-1"/>
            <w:vertAlign w:val="baseline"/>
          </w:rPr>
          <w:t> </w:t>
        </w:r>
        <w:r>
          <w:rPr>
            <w:vertAlign w:val="baseline"/>
          </w:rPr>
          <w:t>paid</w:t>
        </w:r>
        <w:r>
          <w:rPr>
            <w:spacing w:val="-1"/>
            <w:vertAlign w:val="baseline"/>
          </w:rPr>
          <w:t> </w:t>
        </w:r>
        <w:r>
          <w:rPr>
            <w:vertAlign w:val="baseline"/>
          </w:rPr>
          <w:t>off</w:t>
        </w:r>
        <w:r>
          <w:rPr>
            <w:spacing w:val="-1"/>
            <w:vertAlign w:val="baseline"/>
          </w:rPr>
          <w:t> </w:t>
        </w:r>
        <w:r>
          <w:rPr>
            <w:vertAlign w:val="baseline"/>
          </w:rPr>
          <w:t>with money</w:t>
        </w:r>
        <w:r>
          <w:rPr>
            <w:spacing w:val="-1"/>
            <w:vertAlign w:val="baseline"/>
          </w:rPr>
          <w:t> </w:t>
        </w:r>
        <w:r>
          <w:rPr>
            <w:vertAlign w:val="baseline"/>
          </w:rPr>
          <w:t>lent</w:t>
        </w:r>
        <w:r>
          <w:rPr>
            <w:spacing w:val="-1"/>
            <w:vertAlign w:val="baseline"/>
          </w:rPr>
          <w:t> </w:t>
        </w:r>
        <w:r>
          <w:rPr>
            <w:vertAlign w:val="baseline"/>
          </w:rPr>
          <w:t>by</w:t>
        </w:r>
        <w:r>
          <w:rPr>
            <w:spacing w:val="-1"/>
            <w:vertAlign w:val="baseline"/>
          </w:rPr>
          <w:t> </w:t>
        </w:r>
        <w:r>
          <w:rPr>
            <w:vertAlign w:val="baseline"/>
          </w:rPr>
          <w:t>C to</w:t>
        </w:r>
        <w:r>
          <w:rPr>
            <w:spacing w:val="-1"/>
            <w:vertAlign w:val="baseline"/>
          </w:rPr>
          <w:t> </w:t>
        </w:r>
        <w:r>
          <w:rPr>
            <w:spacing w:val="-10"/>
            <w:vertAlign w:val="baseline"/>
          </w:rPr>
          <w:t>X</w:t>
        </w:r>
      </w:hyperlink>
    </w:p>
    <w:p>
      <w:pPr>
        <w:pStyle w:val="BodyText"/>
        <w:spacing w:line="235" w:lineRule="auto" w:before="4"/>
        <w:ind w:left="165" w:right="167"/>
        <w:jc w:val="both"/>
      </w:pPr>
      <w:r>
        <w:rPr/>
        <w:t>under a refinancing agreement; and one of the issues </w:t>
      </w:r>
      <w:r>
        <w:rPr>
          <w:color w:val="005DA1"/>
          <w:u w:val="single" w:color="005DA1"/>
          <w:vertAlign w:val="superscript"/>
        </w:rPr>
        <w:t>377</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1"/>
          <w:vertAlign w:val="baseline"/>
        </w:rPr>
        <w:t> </w:t>
      </w:r>
      <w:r>
        <w:rPr>
          <w:vertAlign w:val="baseline"/>
        </w:rPr>
        <w:t>before the Supreme Court was whether </w:t>
      </w:r>
      <w:bookmarkStart w:name="_bookmark633" w:id="635"/>
      <w:bookmarkEnd w:id="635"/>
      <w:r>
        <w:rPr>
          <w:vertAlign w:val="baseline"/>
        </w:rPr>
        <w:t>A</w:t>
      </w:r>
      <w:r>
        <w:rPr>
          <w:vertAlign w:val="baseline"/>
        </w:rPr>
        <w:t> could recover damages in respect of the loss suffered by C when this third loan remained unpaid. </w:t>
      </w:r>
      <w:r>
        <w:rPr>
          <w:spacing w:val="-5"/>
          <w:vertAlign w:val="baseline"/>
        </w:rPr>
        <w:t>In</w:t>
      </w:r>
    </w:p>
    <w:p>
      <w:pPr>
        <w:pStyle w:val="BodyText"/>
        <w:spacing w:line="360" w:lineRule="auto" w:before="116"/>
        <w:ind w:left="164" w:right="168"/>
        <w:jc w:val="both"/>
      </w:pPr>
      <w:bookmarkStart w:name="_bookmark634" w:id="636"/>
      <w:bookmarkEnd w:id="636"/>
      <w:r>
        <w:rPr/>
      </w:r>
      <w:r>
        <w:rPr/>
        <w:t>support A’s claim in respect of this loss, A and C relied on the “</w:t>
      </w:r>
      <w:r>
        <w:rPr>
          <w:rFonts w:ascii="Arial" w:hAnsi="Arial"/>
          <w:i/>
        </w:rPr>
        <w:t>Albazero </w:t>
      </w:r>
      <w:r>
        <w:rPr/>
        <w:t>exception” </w:t>
      </w:r>
      <w:r>
        <w:rPr>
          <w:color w:val="005DA1"/>
          <w:u w:val="single" w:color="005DA1"/>
          <w:vertAlign w:val="superscript"/>
        </w:rPr>
        <w:t>378</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5"/>
          <w:vertAlign w:val="baseline"/>
        </w:rPr>
        <w:t> </w:t>
      </w:r>
      <w:r>
        <w:rPr>
          <w:vertAlign w:val="baseline"/>
        </w:rPr>
        <w:t>and on the </w:t>
      </w:r>
      <w:bookmarkStart w:name="_bookmark635" w:id="637"/>
      <w:bookmarkEnd w:id="637"/>
      <w:r>
        <w:rPr>
          <w:vertAlign w:val="baseline"/>
        </w:rPr>
        <w:t>“further</w:t>
      </w:r>
      <w:r>
        <w:rPr>
          <w:spacing w:val="25"/>
          <w:vertAlign w:val="baseline"/>
        </w:rPr>
        <w:t> </w:t>
      </w:r>
      <w:r>
        <w:rPr>
          <w:vertAlign w:val="baseline"/>
        </w:rPr>
        <w:t>exceptions”</w:t>
      </w:r>
      <w:r>
        <w:rPr>
          <w:spacing w:val="26"/>
          <w:vertAlign w:val="baseline"/>
        </w:rPr>
        <w:t> </w:t>
      </w:r>
      <w:r>
        <w:rPr>
          <w:vertAlign w:val="baseline"/>
        </w:rPr>
        <w:t>referred</w:t>
      </w:r>
      <w:r>
        <w:rPr>
          <w:spacing w:val="26"/>
          <w:vertAlign w:val="baseline"/>
        </w:rPr>
        <w:t> </w:t>
      </w:r>
      <w:r>
        <w:rPr>
          <w:vertAlign w:val="baseline"/>
        </w:rPr>
        <w:t>to</w:t>
      </w:r>
      <w:r>
        <w:rPr>
          <w:spacing w:val="26"/>
          <w:vertAlign w:val="baseline"/>
        </w:rPr>
        <w:t> </w:t>
      </w:r>
      <w:r>
        <w:rPr>
          <w:vertAlign w:val="baseline"/>
        </w:rPr>
        <w:t>above.</w:t>
      </w:r>
      <w:r>
        <w:rPr>
          <w:spacing w:val="26"/>
          <w:vertAlign w:val="baseline"/>
        </w:rPr>
        <w:t> </w:t>
      </w:r>
      <w:r>
        <w:rPr>
          <w:color w:val="005DA1"/>
          <w:u w:val="single" w:color="005DA1"/>
          <w:vertAlign w:val="superscript"/>
        </w:rPr>
        <w:t>379</w:t>
      </w:r>
      <w:r>
        <w:rPr>
          <w:color w:val="005DA1"/>
          <w:spacing w:val="68"/>
          <w:vertAlign w:val="baseline"/>
        </w:rPr>
        <w:t>  </w:t>
      </w:r>
      <w:r>
        <w:rPr>
          <w:color w:val="005DA1"/>
          <w:spacing w:val="-27"/>
          <w:position w:val="-2"/>
          <w:vertAlign w:val="baseline"/>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59"/>
          <w:vertAlign w:val="baseline"/>
        </w:rPr>
        <w:t> </w:t>
      </w:r>
      <w:r>
        <w:rPr>
          <w:vertAlign w:val="baseline"/>
        </w:rPr>
        <w:t>The</w:t>
      </w:r>
      <w:r>
        <w:rPr>
          <w:spacing w:val="26"/>
          <w:vertAlign w:val="baseline"/>
        </w:rPr>
        <w:t> </w:t>
      </w:r>
      <w:r>
        <w:rPr>
          <w:vertAlign w:val="baseline"/>
        </w:rPr>
        <w:t>Supreme</w:t>
      </w:r>
      <w:r>
        <w:rPr>
          <w:spacing w:val="26"/>
          <w:vertAlign w:val="baseline"/>
        </w:rPr>
        <w:t> </w:t>
      </w:r>
      <w:r>
        <w:rPr>
          <w:vertAlign w:val="baseline"/>
        </w:rPr>
        <w:t>Court</w:t>
      </w:r>
      <w:r>
        <w:rPr>
          <w:spacing w:val="26"/>
          <w:vertAlign w:val="baseline"/>
        </w:rPr>
        <w:t> </w:t>
      </w:r>
      <w:r>
        <w:rPr>
          <w:vertAlign w:val="baseline"/>
        </w:rPr>
        <w:t>referred</w:t>
      </w:r>
      <w:r>
        <w:rPr>
          <w:spacing w:val="26"/>
          <w:vertAlign w:val="baseline"/>
        </w:rPr>
        <w:t> </w:t>
      </w:r>
      <w:r>
        <w:rPr>
          <w:vertAlign w:val="baseline"/>
        </w:rPr>
        <w:t>to</w:t>
      </w:r>
      <w:r>
        <w:rPr>
          <w:spacing w:val="26"/>
          <w:vertAlign w:val="baseline"/>
        </w:rPr>
        <w:t> </w:t>
      </w:r>
      <w:r>
        <w:rPr>
          <w:vertAlign w:val="baseline"/>
        </w:rPr>
        <w:t>these</w:t>
      </w:r>
      <w:r>
        <w:rPr>
          <w:spacing w:val="26"/>
          <w:vertAlign w:val="baseline"/>
        </w:rPr>
        <w:t> </w:t>
      </w:r>
      <w:r>
        <w:rPr>
          <w:vertAlign w:val="baseline"/>
        </w:rPr>
        <w:t>exceptions</w:t>
      </w:r>
      <w:r>
        <w:rPr>
          <w:spacing w:val="26"/>
          <w:vertAlign w:val="baseline"/>
        </w:rPr>
        <w:t> </w:t>
      </w:r>
      <w:r>
        <w:rPr>
          <w:spacing w:val="-10"/>
          <w:vertAlign w:val="baseline"/>
        </w:rPr>
        <w:t>as</w:t>
      </w:r>
    </w:p>
    <w:p>
      <w:pPr>
        <w:pStyle w:val="BodyText"/>
        <w:spacing w:line="235" w:lineRule="auto" w:before="4"/>
        <w:ind w:left="165" w:right="167"/>
        <w:jc w:val="both"/>
      </w:pPr>
      <w:r>
        <w:rPr/>
        <w:t>being based on “the principle of transferred loss” </w:t>
      </w:r>
      <w:r>
        <w:rPr>
          <w:color w:val="005DA1"/>
          <w:u w:val="single" w:color="005DA1"/>
          <w:vertAlign w:val="superscript"/>
        </w:rPr>
        <w:t>380</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40"/>
          <w:vertAlign w:val="baseline"/>
        </w:rPr>
        <w:t> </w:t>
      </w:r>
      <w:r>
        <w:rPr>
          <w:vertAlign w:val="baseline"/>
        </w:rPr>
        <w:t>and recognised that the operation of </w:t>
      </w:r>
      <w:r>
        <w:rPr>
          <w:vertAlign w:val="baseline"/>
        </w:rPr>
        <w:t>this principle might be justified on either a “broader” or on a “narrower” ground; these two grounds are discussed in paras 18-055 and 18-056 of the Main Work. But in the </w:t>
      </w:r>
      <w:r>
        <w:rPr>
          <w:rFonts w:ascii="Arial" w:hAnsi="Arial"/>
          <w:i/>
          <w:vertAlign w:val="baseline"/>
        </w:rPr>
        <w:t>Swynson </w:t>
      </w:r>
      <w:r>
        <w:rPr>
          <w:vertAlign w:val="baseline"/>
        </w:rPr>
        <w:t>case the Supreme</w:t>
      </w:r>
      <w:r>
        <w:rPr>
          <w:spacing w:val="80"/>
          <w:vertAlign w:val="baseline"/>
        </w:rPr>
        <w:t> </w:t>
      </w:r>
      <w:r>
        <w:rPr>
          <w:vertAlign w:val="baseline"/>
        </w:rPr>
        <w:t>Court concluded that A’s claim for damages in respect of C’s loss could not succeed on either of</w:t>
      </w:r>
      <w:r>
        <w:rPr>
          <w:spacing w:val="40"/>
          <w:vertAlign w:val="baseline"/>
        </w:rPr>
        <w:t> </w:t>
      </w:r>
      <w:bookmarkStart w:name="_bookmark636" w:id="638"/>
      <w:bookmarkEnd w:id="638"/>
      <w:r>
        <w:rPr>
          <w:vertAlign w:val="baseline"/>
        </w:rPr>
        <w:t>these</w:t>
      </w:r>
      <w:r>
        <w:rPr>
          <w:spacing w:val="21"/>
          <w:vertAlign w:val="baseline"/>
        </w:rPr>
        <w:t> </w:t>
      </w:r>
      <w:r>
        <w:rPr>
          <w:vertAlign w:val="baseline"/>
        </w:rPr>
        <w:t>grounds.</w:t>
      </w:r>
      <w:r>
        <w:rPr>
          <w:spacing w:val="21"/>
          <w:vertAlign w:val="baseline"/>
        </w:rPr>
        <w:t> </w:t>
      </w:r>
      <w:r>
        <w:rPr>
          <w:vertAlign w:val="baseline"/>
        </w:rPr>
        <w:t>It</w:t>
      </w:r>
      <w:r>
        <w:rPr>
          <w:spacing w:val="21"/>
          <w:vertAlign w:val="baseline"/>
        </w:rPr>
        <w:t> </w:t>
      </w:r>
      <w:r>
        <w:rPr>
          <w:vertAlign w:val="baseline"/>
        </w:rPr>
        <w:t>could</w:t>
      </w:r>
      <w:r>
        <w:rPr>
          <w:spacing w:val="21"/>
          <w:vertAlign w:val="baseline"/>
        </w:rPr>
        <w:t> </w:t>
      </w:r>
      <w:r>
        <w:rPr>
          <w:vertAlign w:val="baseline"/>
        </w:rPr>
        <w:t>not</w:t>
      </w:r>
      <w:r>
        <w:rPr>
          <w:spacing w:val="21"/>
          <w:vertAlign w:val="baseline"/>
        </w:rPr>
        <w:t> </w:t>
      </w:r>
      <w:r>
        <w:rPr>
          <w:vertAlign w:val="baseline"/>
        </w:rPr>
        <w:t>succeed</w:t>
      </w:r>
      <w:r>
        <w:rPr>
          <w:spacing w:val="21"/>
          <w:vertAlign w:val="baseline"/>
        </w:rPr>
        <w:t> </w:t>
      </w:r>
      <w:r>
        <w:rPr>
          <w:vertAlign w:val="baseline"/>
        </w:rPr>
        <w:t>on</w:t>
      </w:r>
      <w:r>
        <w:rPr>
          <w:spacing w:val="21"/>
          <w:vertAlign w:val="baseline"/>
        </w:rPr>
        <w:t> </w:t>
      </w:r>
      <w:r>
        <w:rPr>
          <w:vertAlign w:val="baseline"/>
        </w:rPr>
        <w:t>the</w:t>
      </w:r>
      <w:r>
        <w:rPr>
          <w:spacing w:val="21"/>
          <w:vertAlign w:val="baseline"/>
        </w:rPr>
        <w:t> </w:t>
      </w:r>
      <w:r>
        <w:rPr>
          <w:vertAlign w:val="baseline"/>
        </w:rPr>
        <w:t>“narrower”</w:t>
      </w:r>
      <w:r>
        <w:rPr>
          <w:spacing w:val="21"/>
          <w:vertAlign w:val="baseline"/>
        </w:rPr>
        <w:t> </w:t>
      </w:r>
      <w:r>
        <w:rPr>
          <w:vertAlign w:val="baseline"/>
        </w:rPr>
        <w:t>ground</w:t>
      </w:r>
      <w:r>
        <w:rPr>
          <w:spacing w:val="21"/>
          <w:vertAlign w:val="baseline"/>
        </w:rPr>
        <w:t> </w:t>
      </w:r>
      <w:r>
        <w:rPr>
          <w:vertAlign w:val="baseline"/>
        </w:rPr>
        <w:t>because</w:t>
      </w:r>
      <w:r>
        <w:rPr>
          <w:spacing w:val="21"/>
          <w:vertAlign w:val="baseline"/>
        </w:rPr>
        <w:t> </w:t>
      </w:r>
      <w:r>
        <w:rPr>
          <w:vertAlign w:val="baseline"/>
        </w:rPr>
        <w:t>C</w:t>
      </w:r>
      <w:r>
        <w:rPr>
          <w:spacing w:val="21"/>
          <w:vertAlign w:val="baseline"/>
        </w:rPr>
        <w:t> </w:t>
      </w:r>
      <w:r>
        <w:rPr>
          <w:vertAlign w:val="baseline"/>
        </w:rPr>
        <w:t>“did</w:t>
      </w:r>
      <w:r>
        <w:rPr>
          <w:spacing w:val="21"/>
          <w:vertAlign w:val="baseline"/>
        </w:rPr>
        <w:t> </w:t>
      </w:r>
      <w:r>
        <w:rPr>
          <w:vertAlign w:val="baseline"/>
        </w:rPr>
        <w:t>not</w:t>
      </w:r>
      <w:r>
        <w:rPr>
          <w:spacing w:val="21"/>
          <w:vertAlign w:val="baseline"/>
        </w:rPr>
        <w:t> </w:t>
      </w:r>
      <w:r>
        <w:rPr>
          <w:vertAlign w:val="baseline"/>
        </w:rPr>
        <w:t>suffer</w:t>
      </w:r>
      <w:r>
        <w:rPr>
          <w:spacing w:val="21"/>
          <w:vertAlign w:val="baseline"/>
        </w:rPr>
        <w:t> </w:t>
      </w:r>
      <w:r>
        <w:rPr>
          <w:vertAlign w:val="baseline"/>
        </w:rPr>
        <w:t>loss</w:t>
      </w:r>
      <w:r>
        <w:rPr>
          <w:spacing w:val="21"/>
          <w:vertAlign w:val="baseline"/>
        </w:rPr>
        <w:t> </w:t>
      </w:r>
      <w:r>
        <w:rPr>
          <w:vertAlign w:val="baseline"/>
        </w:rPr>
        <w:t>in</w:t>
      </w:r>
      <w:r>
        <w:rPr>
          <w:spacing w:val="21"/>
          <w:vertAlign w:val="baseline"/>
        </w:rPr>
        <w:t> </w:t>
      </w:r>
      <w:r>
        <w:rPr>
          <w:spacing w:val="-5"/>
          <w:vertAlign w:val="baseline"/>
        </w:rPr>
        <w:t>his</w:t>
      </w:r>
    </w:p>
    <w:p>
      <w:pPr>
        <w:pStyle w:val="BodyText"/>
        <w:spacing w:line="360" w:lineRule="auto" w:before="114"/>
        <w:ind w:left="165" w:right="167"/>
        <w:jc w:val="both"/>
      </w:pPr>
      <w:bookmarkStart w:name="_bookmark637" w:id="639"/>
      <w:bookmarkEnd w:id="639"/>
      <w:r>
        <w:rPr/>
      </w:r>
      <w:r>
        <w:rPr/>
        <w:t>capacity as owner of property” </w:t>
      </w:r>
      <w:r>
        <w:rPr>
          <w:color w:val="005DA1"/>
          <w:u w:val="single" w:color="005DA1"/>
          <w:vertAlign w:val="superscript"/>
        </w:rPr>
        <w:t>381</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11"/>
          <w:vertAlign w:val="baseline"/>
        </w:rPr>
        <w:t> </w:t>
      </w:r>
      <w:r>
        <w:rPr>
          <w:vertAlign w:val="baseline"/>
        </w:rPr>
        <w:t>or because A “did not contract with [the accountants] on behalf </w:t>
      </w:r>
      <w:bookmarkStart w:name="_bookmark638" w:id="640"/>
      <w:bookmarkEnd w:id="640"/>
      <w:r>
        <w:rPr>
          <w:vertAlign w:val="baseline"/>
        </w:rPr>
        <w:t>of”</w:t>
      </w:r>
      <w:r>
        <w:rPr>
          <w:vertAlign w:val="baseline"/>
        </w:rPr>
        <w:t> </w:t>
      </w:r>
      <w:r>
        <w:rPr>
          <w:color w:val="005DA1"/>
          <w:u w:val="single" w:color="005DA1"/>
          <w:vertAlign w:val="superscript"/>
        </w:rPr>
        <w:t>382</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5"/>
          <w:vertAlign w:val="baseline"/>
        </w:rPr>
        <w:t> </w:t>
      </w:r>
      <w:r>
        <w:rPr>
          <w:vertAlign w:val="baseline"/>
        </w:rPr>
        <w:t>C. Nor could it be supported on the “broader” ground, (though there was “much to be </w:t>
      </w:r>
      <w:r>
        <w:rPr>
          <w:vertAlign w:val="baseline"/>
        </w:rPr>
        <w:t>said </w:t>
      </w:r>
      <w:bookmarkStart w:name="_bookmark639" w:id="641"/>
      <w:bookmarkEnd w:id="641"/>
      <w:r>
        <w:rPr>
          <w:vertAlign w:val="baseline"/>
        </w:rPr>
        <w:t>for</w:t>
      </w:r>
      <w:r>
        <w:rPr>
          <w:spacing w:val="41"/>
          <w:vertAlign w:val="baseline"/>
        </w:rPr>
        <w:t> </w:t>
      </w:r>
      <w:r>
        <w:rPr>
          <w:vertAlign w:val="baseline"/>
        </w:rPr>
        <w:t>the</w:t>
      </w:r>
      <w:r>
        <w:rPr>
          <w:spacing w:val="41"/>
          <w:vertAlign w:val="baseline"/>
        </w:rPr>
        <w:t> </w:t>
      </w:r>
      <w:r>
        <w:rPr>
          <w:vertAlign w:val="baseline"/>
        </w:rPr>
        <w:t>broader</w:t>
      </w:r>
      <w:r>
        <w:rPr>
          <w:spacing w:val="41"/>
          <w:vertAlign w:val="baseline"/>
        </w:rPr>
        <w:t> </w:t>
      </w:r>
      <w:r>
        <w:rPr>
          <w:vertAlign w:val="baseline"/>
        </w:rPr>
        <w:t>principle”</w:t>
      </w:r>
      <w:r>
        <w:rPr>
          <w:spacing w:val="41"/>
          <w:vertAlign w:val="baseline"/>
        </w:rPr>
        <w:t> </w:t>
      </w:r>
      <w:r>
        <w:rPr>
          <w:color w:val="005DA1"/>
          <w:u w:val="single" w:color="005DA1"/>
          <w:vertAlign w:val="superscript"/>
        </w:rPr>
        <w:t>383</w:t>
      </w:r>
      <w:r>
        <w:rPr>
          <w:color w:val="005DA1"/>
          <w:spacing w:val="63"/>
          <w:w w:val="150"/>
          <w:vertAlign w:val="baseline"/>
        </w:rPr>
        <w:t>  </w:t>
      </w:r>
      <w:r>
        <w:rPr>
          <w:color w:val="005DA1"/>
          <w:spacing w:val="18"/>
          <w:position w:val="-2"/>
          <w:vertAlign w:val="baseline"/>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vertAlign w:val="baseline"/>
        </w:rPr>
        <w:t>)</w:t>
      </w:r>
      <w:r>
        <w:rPr>
          <w:spacing w:val="41"/>
          <w:vertAlign w:val="baseline"/>
        </w:rPr>
        <w:t> </w:t>
      </w:r>
      <w:r>
        <w:rPr>
          <w:vertAlign w:val="baseline"/>
        </w:rPr>
        <w:t>since</w:t>
      </w:r>
      <w:r>
        <w:rPr>
          <w:spacing w:val="42"/>
          <w:vertAlign w:val="baseline"/>
        </w:rPr>
        <w:t> </w:t>
      </w:r>
      <w:r>
        <w:rPr>
          <w:vertAlign w:val="baseline"/>
        </w:rPr>
        <w:t>it</w:t>
      </w:r>
      <w:r>
        <w:rPr>
          <w:spacing w:val="41"/>
          <w:vertAlign w:val="baseline"/>
        </w:rPr>
        <w:t> </w:t>
      </w:r>
      <w:r>
        <w:rPr>
          <w:vertAlign w:val="baseline"/>
        </w:rPr>
        <w:t>was</w:t>
      </w:r>
      <w:r>
        <w:rPr>
          <w:spacing w:val="41"/>
          <w:vertAlign w:val="baseline"/>
        </w:rPr>
        <w:t> </w:t>
      </w:r>
      <w:r>
        <w:rPr>
          <w:vertAlign w:val="baseline"/>
        </w:rPr>
        <w:t>“no</w:t>
      </w:r>
      <w:r>
        <w:rPr>
          <w:spacing w:val="41"/>
          <w:vertAlign w:val="baseline"/>
        </w:rPr>
        <w:t> </w:t>
      </w:r>
      <w:r>
        <w:rPr>
          <w:vertAlign w:val="baseline"/>
        </w:rPr>
        <w:t>part</w:t>
      </w:r>
      <w:r>
        <w:rPr>
          <w:spacing w:val="41"/>
          <w:vertAlign w:val="baseline"/>
        </w:rPr>
        <w:t> </w:t>
      </w:r>
      <w:r>
        <w:rPr>
          <w:vertAlign w:val="baseline"/>
        </w:rPr>
        <w:t>of</w:t>
      </w:r>
      <w:r>
        <w:rPr>
          <w:spacing w:val="41"/>
          <w:vertAlign w:val="baseline"/>
        </w:rPr>
        <w:t> </w:t>
      </w:r>
      <w:r>
        <w:rPr>
          <w:vertAlign w:val="baseline"/>
        </w:rPr>
        <w:t>the</w:t>
      </w:r>
      <w:r>
        <w:rPr>
          <w:spacing w:val="41"/>
          <w:vertAlign w:val="baseline"/>
        </w:rPr>
        <w:t> </w:t>
      </w:r>
      <w:r>
        <w:rPr>
          <w:vertAlign w:val="baseline"/>
        </w:rPr>
        <w:t>object</w:t>
      </w:r>
      <w:r>
        <w:rPr>
          <w:spacing w:val="41"/>
          <w:vertAlign w:val="baseline"/>
        </w:rPr>
        <w:t> </w:t>
      </w:r>
      <w:r>
        <w:rPr>
          <w:vertAlign w:val="baseline"/>
        </w:rPr>
        <w:t>of</w:t>
      </w:r>
      <w:r>
        <w:rPr>
          <w:spacing w:val="42"/>
          <w:vertAlign w:val="baseline"/>
        </w:rPr>
        <w:t> </w:t>
      </w:r>
      <w:r>
        <w:rPr>
          <w:vertAlign w:val="baseline"/>
        </w:rPr>
        <w:t>the</w:t>
      </w:r>
      <w:r>
        <w:rPr>
          <w:spacing w:val="41"/>
          <w:vertAlign w:val="baseline"/>
        </w:rPr>
        <w:t> </w:t>
      </w:r>
      <w:r>
        <w:rPr>
          <w:vertAlign w:val="baseline"/>
        </w:rPr>
        <w:t>engagement</w:t>
      </w:r>
      <w:r>
        <w:rPr>
          <w:spacing w:val="41"/>
          <w:vertAlign w:val="baseline"/>
        </w:rPr>
        <w:t> </w:t>
      </w:r>
      <w:r>
        <w:rPr>
          <w:vertAlign w:val="baseline"/>
        </w:rPr>
        <w:t>[of</w:t>
      </w:r>
      <w:r>
        <w:rPr>
          <w:spacing w:val="41"/>
          <w:vertAlign w:val="baseline"/>
        </w:rPr>
        <w:t> </w:t>
      </w:r>
      <w:r>
        <w:rPr>
          <w:spacing w:val="-5"/>
          <w:vertAlign w:val="baseline"/>
        </w:rPr>
        <w:t>the</w:t>
      </w:r>
    </w:p>
    <w:p>
      <w:pPr>
        <w:pStyle w:val="BodyText"/>
        <w:spacing w:line="235" w:lineRule="auto" w:before="4"/>
        <w:ind w:left="164" w:right="167"/>
        <w:jc w:val="both"/>
      </w:pPr>
      <w:bookmarkStart w:name="_bookmark640" w:id="642"/>
      <w:bookmarkEnd w:id="642"/>
      <w:r>
        <w:rPr/>
      </w:r>
      <w:r>
        <w:rPr/>
        <w:t>accountants by A] … to benefit [C]” </w:t>
      </w:r>
      <w:r>
        <w:rPr>
          <w:color w:val="005DA1"/>
          <w:u w:val="single" w:color="005DA1"/>
          <w:vertAlign w:val="superscript"/>
        </w:rPr>
        <w:t>384</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vertAlign w:val="baseline"/>
        </w:rPr>
        <w:t>; indeed, the latter point would defeat a claim by A </w:t>
      </w:r>
      <w:r>
        <w:rPr>
          <w:vertAlign w:val="baseline"/>
        </w:rPr>
        <w:t>in</w:t>
      </w:r>
      <w:r>
        <w:rPr>
          <w:spacing w:val="40"/>
          <w:vertAlign w:val="baseline"/>
        </w:rPr>
        <w:t> </w:t>
      </w:r>
      <w:r>
        <w:rPr>
          <w:vertAlign w:val="baseline"/>
        </w:rPr>
        <w:t>respect of C’s loss based on the “narrower”, no less than such a claim based on the “broader” </w:t>
      </w:r>
      <w:r>
        <w:rPr>
          <w:spacing w:val="-2"/>
          <w:vertAlign w:val="baseline"/>
        </w:rPr>
        <w:t>ground.</w:t>
      </w:r>
    </w:p>
    <w:p>
      <w:pPr>
        <w:spacing w:before="95"/>
        <w:ind w:left="165" w:right="0" w:firstLine="0"/>
        <w:jc w:val="left"/>
        <w:rPr>
          <w:sz w:val="12"/>
        </w:rPr>
      </w:pPr>
      <w:r>
        <w:rPr>
          <w:sz w:val="12"/>
        </w:rPr>
        <w:drawing>
          <wp:anchor distT="0" distB="0" distL="0" distR="0" allowOverlap="1" layoutInCell="1" locked="0" behindDoc="0" simplePos="0" relativeHeight="15753728">
            <wp:simplePos x="0" y="0"/>
            <wp:positionH relativeFrom="page">
              <wp:posOffset>1147419</wp:posOffset>
            </wp:positionH>
            <wp:positionV relativeFrom="paragraph">
              <wp:posOffset>101311</wp:posOffset>
            </wp:positionV>
            <wp:extent cx="107988" cy="107988"/>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107988" cy="107988"/>
                    </a:xfrm>
                    <a:prstGeom prst="rect">
                      <a:avLst/>
                    </a:prstGeom>
                  </pic:spPr>
                </pic:pic>
              </a:graphicData>
            </a:graphic>
          </wp:anchor>
        </w:drawing>
      </w:r>
      <w:hyperlink w:history="true" w:anchor="_bookmark835">
        <w:r>
          <w:rPr>
            <w:color w:val="005DA1"/>
            <w:spacing w:val="-5"/>
            <w:sz w:val="12"/>
            <w:u w:val="single" w:color="005DA1"/>
          </w:rPr>
          <w:t>385</w:t>
        </w:r>
      </w:hyperlink>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No transfer of affected property from promisee to third </w:t>
      </w:r>
      <w:r>
        <w:rPr>
          <w:rFonts w:ascii="Arial"/>
          <w:b/>
          <w:spacing w:val="-2"/>
          <w:sz w:val="18"/>
        </w:rPr>
        <w:t>party</w:t>
      </w:r>
    </w:p>
    <w:p>
      <w:pPr>
        <w:pStyle w:val="BodyText"/>
        <w:spacing w:before="41"/>
        <w:rPr>
          <w:rFonts w:ascii="Arial"/>
          <w:b/>
          <w:sz w:val="18"/>
        </w:rPr>
      </w:pPr>
    </w:p>
    <w:p>
      <w:pPr>
        <w:pStyle w:val="Heading2"/>
      </w:pPr>
      <w:r>
        <w:rPr/>
        <w:t>18-</w:t>
      </w:r>
      <w:r>
        <w:rPr>
          <w:spacing w:val="-5"/>
        </w:rPr>
        <w:t>058</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41" w:id="643"/>
      <w:bookmarkEnd w:id="643"/>
      <w:r>
        <w:rPr>
          <w:rFonts w:ascii="Times New Roman" w:hAnsi="Times New Roman"/>
          <w:spacing w:val="12"/>
        </w:rPr>
      </w:r>
      <w:r>
        <w:rPr/>
        <w:t>In </w:t>
      </w:r>
      <w:r>
        <w:rPr>
          <w:rFonts w:ascii="Arial" w:hAnsi="Arial"/>
          <w:i/>
        </w:rPr>
        <w:t>Darlington B.C. v Wiltshier Northern Ltd </w:t>
      </w:r>
      <w:r>
        <w:rPr>
          <w:color w:val="005DA1"/>
          <w:u w:val="single" w:color="005DA1"/>
          <w:vertAlign w:val="superscript"/>
        </w:rPr>
        <w:t>386</w:t>
      </w:r>
      <w:r>
        <w:rPr>
          <w:color w:val="005DA1"/>
          <w:vertAlign w:val="baseline"/>
        </w:rPr>
        <w:t> </w:t>
      </w:r>
      <w:r>
        <w:rPr>
          <w:vertAlign w:val="baseline"/>
        </w:rPr>
        <w:t>a local authority (the council) wished to develop </w:t>
      </w:r>
      <w:r>
        <w:rPr>
          <w:vertAlign w:val="baseline"/>
        </w:rPr>
        <w:t>land which it already owned. The building work was to be done by the defendant; finance was to be provided</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bank</w:t>
      </w:r>
      <w:r>
        <w:rPr>
          <w:spacing w:val="-1"/>
          <w:vertAlign w:val="baseline"/>
        </w:rPr>
        <w:t> </w:t>
      </w:r>
      <w:r>
        <w:rPr>
          <w:vertAlign w:val="baseline"/>
        </w:rPr>
        <w:t>but</w:t>
      </w:r>
      <w:r>
        <w:rPr>
          <w:spacing w:val="-1"/>
          <w:vertAlign w:val="baseline"/>
        </w:rPr>
        <w:t> </w:t>
      </w:r>
      <w:r>
        <w:rPr>
          <w:vertAlign w:val="baseline"/>
        </w:rPr>
        <w:t>this</w:t>
      </w:r>
      <w:r>
        <w:rPr>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done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most</w:t>
      </w:r>
      <w:r>
        <w:rPr>
          <w:spacing w:val="-1"/>
          <w:vertAlign w:val="baseline"/>
        </w:rPr>
        <w:t> </w:t>
      </w:r>
      <w:r>
        <w:rPr>
          <w:vertAlign w:val="baseline"/>
        </w:rPr>
        <w:t>obvious</w:t>
      </w:r>
      <w:r>
        <w:rPr>
          <w:spacing w:val="-1"/>
          <w:vertAlign w:val="baseline"/>
        </w:rPr>
        <w:t> </w:t>
      </w:r>
      <w:r>
        <w:rPr>
          <w:vertAlign w:val="baseline"/>
        </w:rPr>
        <w:t>way,</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loan</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bank</w:t>
      </w:r>
      <w:r>
        <w:rPr>
          <w:spacing w:val="-1"/>
          <w:vertAlign w:val="baseline"/>
        </w:rPr>
        <w:t> </w:t>
      </w:r>
      <w:r>
        <w:rPr>
          <w:vertAlign w:val="baseline"/>
        </w:rPr>
        <w:t>to</w:t>
      </w:r>
      <w:r>
        <w:rPr>
          <w:spacing w:val="-1"/>
          <w:vertAlign w:val="baseline"/>
        </w:rPr>
        <w:t> </w:t>
      </w:r>
      <w:r>
        <w:rPr>
          <w:vertAlign w:val="baseline"/>
        </w:rPr>
        <w:t>the council, since such an arrangement would have violated government restrictions on local authority borrowing. The transaction was therefore cast in the form of two contracts: (1) a building contract in which the bank was the employer and the defendant the building contractor, and (2) a contract between the council and the bank, by which the bank undertook to procure the erection of the buildings on the site, to pay all sums due under the building contract and to assign to the council the benefit of any rights against the defendant to which the bank might be entitled at the time of the assignment. Clause 4(5) of this second contract provided that the bank was not to be liable to the council “for any incompleteness or defect in the building work,” and it was this provision which was</w:t>
      </w:r>
      <w:r>
        <w:rPr>
          <w:spacing w:val="80"/>
          <w:vertAlign w:val="baseline"/>
        </w:rPr>
        <w:t> </w:t>
      </w:r>
      <w:r>
        <w:rPr>
          <w:vertAlign w:val="baseline"/>
        </w:rPr>
        <w:t>the principal source of the difficulties in the case. The bank duly assigned its rights against the defendant to the council which claimed damages as such assignee from the defendant in respect of </w:t>
      </w:r>
      <w:bookmarkStart w:name="_bookmark642" w:id="644"/>
      <w:bookmarkEnd w:id="644"/>
      <w:r>
        <w:rPr>
          <w:vertAlign w:val="baseline"/>
        </w:rPr>
        <w:t>defects</w:t>
      </w:r>
      <w:r>
        <w:rPr>
          <w:vertAlign w:val="baseline"/>
        </w:rPr>
        <w:t> in the work. Since an assignee cannot recover more than the assignor could have been done if there had been no assignment, </w:t>
      </w:r>
      <w:r>
        <w:rPr>
          <w:color w:val="005DA1"/>
          <w:u w:val="single" w:color="005DA1"/>
          <w:vertAlign w:val="superscript"/>
        </w:rPr>
        <w:t>387</w:t>
      </w:r>
      <w:r>
        <w:rPr>
          <w:color w:val="005DA1"/>
          <w:vertAlign w:val="baseline"/>
        </w:rPr>
        <w:t> </w:t>
      </w:r>
      <w:r>
        <w:rPr>
          <w:vertAlign w:val="baseline"/>
        </w:rPr>
        <w:t>the question therefore arose what the bank could have recovered; and it was argued that it could have recovered no more than nominal damages since it</w:t>
      </w:r>
      <w:r>
        <w:rPr>
          <w:spacing w:val="40"/>
          <w:vertAlign w:val="baseline"/>
        </w:rPr>
        <w:t> </w:t>
      </w:r>
      <w:bookmarkStart w:name="_bookmark643" w:id="645"/>
      <w:bookmarkEnd w:id="645"/>
      <w:r>
        <w:rPr>
          <w:vertAlign w:val="baseline"/>
        </w:rPr>
        <w:t>had</w:t>
      </w:r>
      <w:r>
        <w:rPr>
          <w:vertAlign w:val="baseline"/>
        </w:rPr>
        <w:t> suffered no loss, having no interest in the land (or buildings) on which the work had been done and being protected by clause 4(5) from any liability to the council for defects in the work. </w:t>
      </w:r>
      <w:r>
        <w:rPr>
          <w:color w:val="005DA1"/>
          <w:u w:val="single" w:color="005DA1"/>
          <w:vertAlign w:val="superscript"/>
        </w:rPr>
        <w:t>388</w:t>
      </w:r>
      <w:r>
        <w:rPr>
          <w:color w:val="005DA1"/>
          <w:vertAlign w:val="baseline"/>
        </w:rPr>
        <w:t> </w:t>
      </w:r>
      <w:r>
        <w:rPr>
          <w:vertAlign w:val="baseline"/>
        </w:rPr>
        <w:t>But the Court of Appeal rejected this argument and held that the bank could have recovered substantial </w:t>
      </w:r>
      <w:bookmarkStart w:name="_bookmark644" w:id="646"/>
      <w:bookmarkEnd w:id="646"/>
      <w:r>
        <w:rPr>
          <w:vertAlign w:val="baseline"/>
        </w:rPr>
        <w:t>damages</w:t>
      </w:r>
      <w:r>
        <w:rPr>
          <w:vertAlign w:val="baseline"/>
        </w:rPr>
        <w:t> from the defendant in respect of the council’s loss and that it was this right which had been assigned to the council. This amounted to an extension </w:t>
      </w:r>
      <w:r>
        <w:rPr>
          <w:color w:val="005DA1"/>
          <w:u w:val="single" w:color="005DA1"/>
          <w:vertAlign w:val="superscript"/>
        </w:rPr>
        <w:t>389</w:t>
      </w:r>
      <w:r>
        <w:rPr>
          <w:color w:val="005DA1"/>
          <w:vertAlign w:val="baseline"/>
        </w:rPr>
        <w:t> </w:t>
      </w:r>
      <w:r>
        <w:rPr>
          <w:vertAlign w:val="baseline"/>
        </w:rPr>
        <w:t>of the </w:t>
      </w:r>
      <w:r>
        <w:rPr>
          <w:rFonts w:ascii="Arial" w:hAnsi="Arial"/>
          <w:i/>
          <w:vertAlign w:val="baseline"/>
        </w:rPr>
        <w:t>Linden Gardens </w:t>
      </w:r>
      <w:r>
        <w:rPr>
          <w:vertAlign w:val="baseline"/>
        </w:rPr>
        <w:t>case to a situation </w:t>
      </w:r>
      <w:bookmarkStart w:name="_bookmark645" w:id="647"/>
      <w:bookmarkEnd w:id="647"/>
      <w:r>
        <w:rPr>
          <w:vertAlign w:val="baseline"/>
        </w:rPr>
        <w:t>in</w:t>
      </w:r>
      <w:r>
        <w:rPr>
          <w:spacing w:val="17"/>
          <w:vertAlign w:val="baseline"/>
        </w:rPr>
        <w:t> </w:t>
      </w:r>
      <w:r>
        <w:rPr>
          <w:vertAlign w:val="baseline"/>
        </w:rPr>
        <w:t>which</w:t>
      </w:r>
      <w:r>
        <w:rPr>
          <w:spacing w:val="17"/>
          <w:vertAlign w:val="baseline"/>
        </w:rPr>
        <w:t> </w:t>
      </w:r>
      <w:r>
        <w:rPr>
          <w:vertAlign w:val="baseline"/>
        </w:rPr>
        <w:t>there</w:t>
      </w:r>
      <w:r>
        <w:rPr>
          <w:spacing w:val="17"/>
          <w:vertAlign w:val="baseline"/>
        </w:rPr>
        <w:t> </w:t>
      </w:r>
      <w:r>
        <w:rPr>
          <w:vertAlign w:val="baseline"/>
        </w:rPr>
        <w:t>was</w:t>
      </w:r>
      <w:r>
        <w:rPr>
          <w:spacing w:val="16"/>
          <w:vertAlign w:val="baseline"/>
        </w:rPr>
        <w:t> </w:t>
      </w:r>
      <w:r>
        <w:rPr>
          <w:rFonts w:ascii="Arial" w:hAnsi="Arial"/>
          <w:i/>
          <w:vertAlign w:val="baseline"/>
        </w:rPr>
        <w:t>no</w:t>
      </w:r>
      <w:r>
        <w:rPr>
          <w:rFonts w:ascii="Arial" w:hAnsi="Arial"/>
          <w:i/>
          <w:spacing w:val="17"/>
          <w:vertAlign w:val="baseline"/>
        </w:rPr>
        <w:t> </w:t>
      </w:r>
      <w:r>
        <w:rPr>
          <w:vertAlign w:val="baseline"/>
        </w:rPr>
        <w:t>transfer</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property</w:t>
      </w:r>
      <w:r>
        <w:rPr>
          <w:spacing w:val="17"/>
          <w:vertAlign w:val="baseline"/>
        </w:rPr>
        <w:t> </w:t>
      </w:r>
      <w:r>
        <w:rPr>
          <w:vertAlign w:val="baseline"/>
        </w:rPr>
        <w:t>affected</w:t>
      </w:r>
      <w:r>
        <w:rPr>
          <w:spacing w:val="17"/>
          <w:vertAlign w:val="baseline"/>
        </w:rPr>
        <w:t> </w:t>
      </w:r>
      <w:r>
        <w:rPr>
          <w:vertAlign w:val="baseline"/>
        </w:rPr>
        <w:t>by</w:t>
      </w:r>
      <w:r>
        <w:rPr>
          <w:spacing w:val="17"/>
          <w:vertAlign w:val="baseline"/>
        </w:rPr>
        <w:t> </w:t>
      </w:r>
      <w:r>
        <w:rPr>
          <w:vertAlign w:val="baseline"/>
        </w:rPr>
        <w:t>the</w:t>
      </w:r>
      <w:r>
        <w:rPr>
          <w:spacing w:val="17"/>
          <w:vertAlign w:val="baseline"/>
        </w:rPr>
        <w:t> </w:t>
      </w:r>
      <w:r>
        <w:rPr>
          <w:vertAlign w:val="baseline"/>
        </w:rPr>
        <w:t>breach</w:t>
      </w:r>
      <w:r>
        <w:rPr>
          <w:spacing w:val="17"/>
          <w:vertAlign w:val="baseline"/>
        </w:rPr>
        <w:t> </w:t>
      </w:r>
      <w:r>
        <w:rPr>
          <w:vertAlign w:val="baseline"/>
        </w:rPr>
        <w:t>from</w:t>
      </w:r>
      <w:r>
        <w:rPr>
          <w:spacing w:val="17"/>
          <w:vertAlign w:val="baseline"/>
        </w:rPr>
        <w:t> </w:t>
      </w:r>
      <w:r>
        <w:rPr>
          <w:vertAlign w:val="baseline"/>
        </w:rPr>
        <w:t>the</w:t>
      </w:r>
      <w:r>
        <w:rPr>
          <w:spacing w:val="17"/>
          <w:vertAlign w:val="baseline"/>
        </w:rPr>
        <w:t> </w:t>
      </w:r>
      <w:r>
        <w:rPr>
          <w:vertAlign w:val="baseline"/>
        </w:rPr>
        <w:t>promisee</w:t>
      </w:r>
      <w:r>
        <w:rPr>
          <w:spacing w:val="17"/>
          <w:vertAlign w:val="baseline"/>
        </w:rPr>
        <w:t> </w:t>
      </w:r>
      <w:r>
        <w:rPr>
          <w:vertAlign w:val="baseline"/>
        </w:rPr>
        <w:t>to</w:t>
      </w:r>
      <w:r>
        <w:rPr>
          <w:spacing w:val="17"/>
          <w:vertAlign w:val="baseline"/>
        </w:rPr>
        <w:t> </w:t>
      </w:r>
      <w:r>
        <w:rPr>
          <w:vertAlign w:val="baseline"/>
        </w:rPr>
        <w:t>the</w:t>
      </w:r>
      <w:r>
        <w:rPr>
          <w:spacing w:val="17"/>
          <w:vertAlign w:val="baseline"/>
        </w:rPr>
        <w:t> </w:t>
      </w:r>
      <w:r>
        <w:rPr>
          <w:spacing w:val="-4"/>
          <w:vertAlign w:val="baseline"/>
        </w:rPr>
        <w:t>third</w:t>
      </w:r>
    </w:p>
    <w:p>
      <w:pPr>
        <w:pStyle w:val="BodyText"/>
        <w:spacing w:line="235" w:lineRule="auto" w:before="111"/>
        <w:ind w:left="165" w:right="168"/>
        <w:jc w:val="both"/>
      </w:pPr>
      <w:bookmarkStart w:name="_bookmark646" w:id="648"/>
      <w:bookmarkEnd w:id="648"/>
      <w:r>
        <w:rPr/>
      </w:r>
      <w:r>
        <w:rPr/>
        <w:t>party. This extension was later approved by the House of Lords, </w:t>
      </w:r>
      <w:r>
        <w:rPr>
          <w:color w:val="005DA1"/>
          <w:u w:val="single" w:color="005DA1"/>
          <w:vertAlign w:val="superscript"/>
        </w:rPr>
        <w:t>390</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7"/>
          <w:vertAlign w:val="baseline"/>
        </w:rPr>
        <w:t> </w:t>
      </w:r>
      <w:r>
        <w:rPr>
          <w:vertAlign w:val="baseline"/>
        </w:rPr>
        <w:t>so that, at least in the context of defective</w:t>
      </w:r>
      <w:r>
        <w:rPr>
          <w:spacing w:val="1"/>
          <w:vertAlign w:val="baseline"/>
        </w:rPr>
        <w:t> </w:t>
      </w:r>
      <w:r>
        <w:rPr>
          <w:vertAlign w:val="baseline"/>
        </w:rPr>
        <w:t>performance</w:t>
      </w:r>
      <w:r>
        <w:rPr>
          <w:spacing w:val="1"/>
          <w:vertAlign w:val="baseline"/>
        </w:rPr>
        <w:t> </w:t>
      </w:r>
      <w:r>
        <w:rPr>
          <w:vertAlign w:val="baseline"/>
        </w:rPr>
        <w:t>of</w:t>
      </w:r>
      <w:r>
        <w:rPr>
          <w:spacing w:val="1"/>
          <w:vertAlign w:val="baseline"/>
        </w:rPr>
        <w:t> </w:t>
      </w:r>
      <w:r>
        <w:rPr>
          <w:vertAlign w:val="baseline"/>
        </w:rPr>
        <w:t>building</w:t>
      </w:r>
      <w:r>
        <w:rPr>
          <w:spacing w:val="1"/>
          <w:vertAlign w:val="baseline"/>
        </w:rPr>
        <w:t> </w:t>
      </w:r>
      <w:r>
        <w:rPr>
          <w:vertAlign w:val="baseline"/>
        </w:rPr>
        <w:t>contracts</w:t>
      </w:r>
      <w:r>
        <w:rPr>
          <w:spacing w:val="1"/>
          <w:vertAlign w:val="baseline"/>
        </w:rPr>
        <w:t> </w:t>
      </w:r>
      <w:r>
        <w:rPr>
          <w:color w:val="005DA1"/>
          <w:u w:val="single" w:color="005DA1"/>
          <w:vertAlign w:val="superscript"/>
        </w:rPr>
        <w:t>391</w:t>
      </w:r>
      <w:r>
        <w:rPr>
          <w:color w:val="005DA1"/>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transfer</w:t>
      </w:r>
      <w:r>
        <w:rPr>
          <w:spacing w:val="1"/>
          <w:vertAlign w:val="baseline"/>
        </w:rPr>
        <w:t> </w:t>
      </w:r>
      <w:r>
        <w:rPr>
          <w:vertAlign w:val="baseline"/>
        </w:rPr>
        <w:t>is</w:t>
      </w:r>
      <w:r>
        <w:rPr>
          <w:spacing w:val="1"/>
          <w:vertAlign w:val="baseline"/>
        </w:rPr>
        <w:t> </w:t>
      </w:r>
      <w:r>
        <w:rPr>
          <w:vertAlign w:val="baseline"/>
        </w:rPr>
        <w:t>no longer</w:t>
      </w:r>
      <w:r>
        <w:rPr>
          <w:spacing w:val="1"/>
          <w:vertAlign w:val="baseline"/>
        </w:rPr>
        <w:t> </w:t>
      </w:r>
      <w:r>
        <w:rPr>
          <w:vertAlign w:val="baseline"/>
        </w:rPr>
        <w:t>a</w:t>
      </w:r>
      <w:r>
        <w:rPr>
          <w:spacing w:val="1"/>
          <w:vertAlign w:val="baseline"/>
        </w:rPr>
        <w:t> </w:t>
      </w:r>
      <w:r>
        <w:rPr>
          <w:vertAlign w:val="baseline"/>
        </w:rPr>
        <w:t>necessary</w:t>
      </w:r>
      <w:r>
        <w:rPr>
          <w:spacing w:val="1"/>
          <w:vertAlign w:val="baseline"/>
        </w:rPr>
        <w:t> </w:t>
      </w:r>
      <w:r>
        <w:rPr>
          <w:vertAlign w:val="baseline"/>
        </w:rPr>
        <w:t>condition</w:t>
      </w:r>
      <w:r>
        <w:rPr>
          <w:spacing w:val="1"/>
          <w:vertAlign w:val="baseline"/>
        </w:rPr>
        <w:t> </w:t>
      </w:r>
      <w:r>
        <w:rPr>
          <w:spacing w:val="-5"/>
          <w:vertAlign w:val="baseline"/>
        </w:rPr>
        <w:t>of</w:t>
      </w:r>
    </w:p>
    <w:p>
      <w:pPr>
        <w:pStyle w:val="BodyText"/>
        <w:spacing w:after="0" w:line="235" w:lineRule="auto"/>
        <w:jc w:val="both"/>
        <w:sectPr>
          <w:pgSz w:w="11900" w:h="16840"/>
          <w:pgMar w:header="971" w:footer="0" w:top="1160" w:bottom="280" w:left="1275" w:right="1275"/>
        </w:sectPr>
      </w:pPr>
    </w:p>
    <w:p>
      <w:pPr>
        <w:pStyle w:val="BodyText"/>
        <w:spacing w:before="21"/>
      </w:pPr>
    </w:p>
    <w:p>
      <w:pPr>
        <w:pStyle w:val="BodyText"/>
        <w:ind w:left="165"/>
        <w:jc w:val="both"/>
      </w:pPr>
      <w:r>
        <w:rPr/>
        <w:t>the promisee’s right to recover damages in respect of the third party’s </w:t>
      </w:r>
      <w:r>
        <w:rPr>
          <w:spacing w:val="-2"/>
        </w:rPr>
        <w:t>loss.</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Assignment of promisee’s contractual right after transfer of affected </w:t>
      </w:r>
      <w:r>
        <w:rPr>
          <w:rFonts w:ascii="Arial" w:hAnsi="Arial"/>
          <w:b/>
          <w:spacing w:val="-2"/>
          <w:sz w:val="18"/>
        </w:rPr>
        <w:t>property</w:t>
      </w:r>
    </w:p>
    <w:p>
      <w:pPr>
        <w:pStyle w:val="BodyText"/>
        <w:spacing w:before="42"/>
        <w:rPr>
          <w:rFonts w:ascii="Arial"/>
          <w:b/>
          <w:sz w:val="18"/>
        </w:rPr>
      </w:pPr>
    </w:p>
    <w:p>
      <w:pPr>
        <w:pStyle w:val="Heading2"/>
      </w:pPr>
      <w:r>
        <w:rPr/>
        <w:t>18-</w:t>
      </w:r>
      <w:r>
        <w:rPr>
          <w:spacing w:val="-5"/>
        </w:rPr>
        <w:t>059</w:t>
      </w:r>
    </w:p>
    <w:p>
      <w:pPr>
        <w:pStyle w:val="BodyText"/>
        <w:spacing w:line="235" w:lineRule="auto" w:before="202"/>
        <w:ind w:left="165" w:right="167"/>
        <w:jc w:val="both"/>
      </w:pPr>
      <w:bookmarkStart w:name="_bookmark647" w:id="649"/>
      <w:bookmarkEnd w:id="649"/>
      <w:r>
        <w:rPr/>
      </w:r>
      <w:r>
        <w:rPr/>
        <w:t>The effect of an assignment by the promisee (A) of his contractual rights against the promisor (B) </w:t>
      </w:r>
      <w:r>
        <w:rPr/>
        <w:t>to the</w:t>
      </w:r>
      <w:r>
        <w:rPr>
          <w:spacing w:val="15"/>
        </w:rPr>
        <w:t> </w:t>
      </w:r>
      <w:r>
        <w:rPr/>
        <w:t>third</w:t>
      </w:r>
      <w:r>
        <w:rPr>
          <w:spacing w:val="16"/>
        </w:rPr>
        <w:t> </w:t>
      </w:r>
      <w:r>
        <w:rPr/>
        <w:t>party</w:t>
      </w:r>
      <w:r>
        <w:rPr>
          <w:spacing w:val="16"/>
        </w:rPr>
        <w:t> </w:t>
      </w:r>
      <w:r>
        <w:rPr/>
        <w:t>(C)</w:t>
      </w:r>
      <w:r>
        <w:rPr>
          <w:spacing w:val="16"/>
        </w:rPr>
        <w:t> </w:t>
      </w:r>
      <w:r>
        <w:rPr/>
        <w:t>is</w:t>
      </w:r>
      <w:r>
        <w:rPr>
          <w:spacing w:val="16"/>
        </w:rPr>
        <w:t> </w:t>
      </w:r>
      <w:r>
        <w:rPr/>
        <w:t>further</w:t>
      </w:r>
      <w:r>
        <w:rPr>
          <w:spacing w:val="16"/>
        </w:rPr>
        <w:t> </w:t>
      </w:r>
      <w:r>
        <w:rPr/>
        <w:t>considered</w:t>
      </w:r>
      <w:r>
        <w:rPr>
          <w:spacing w:val="16"/>
        </w:rPr>
        <w:t> </w:t>
      </w:r>
      <w:r>
        <w:rPr/>
        <w:t>in</w:t>
      </w:r>
      <w:r>
        <w:rPr>
          <w:spacing w:val="15"/>
        </w:rPr>
        <w:t> </w:t>
      </w:r>
      <w:r>
        <w:rPr>
          <w:rFonts w:ascii="Arial"/>
          <w:i/>
        </w:rPr>
        <w:t>Offer-Hoare</w:t>
      </w:r>
      <w:r>
        <w:rPr>
          <w:rFonts w:ascii="Arial"/>
          <w:i/>
          <w:spacing w:val="16"/>
        </w:rPr>
        <w:t> </w:t>
      </w:r>
      <w:r>
        <w:rPr>
          <w:rFonts w:ascii="Arial"/>
          <w:i/>
        </w:rPr>
        <w:t>v</w:t>
      </w:r>
      <w:r>
        <w:rPr>
          <w:rFonts w:ascii="Arial"/>
          <w:i/>
          <w:spacing w:val="16"/>
        </w:rPr>
        <w:t> </w:t>
      </w:r>
      <w:r>
        <w:rPr>
          <w:rFonts w:ascii="Arial"/>
          <w:i/>
        </w:rPr>
        <w:t>Larkstore</w:t>
      </w:r>
      <w:r>
        <w:rPr>
          <w:rFonts w:ascii="Arial"/>
          <w:i/>
          <w:spacing w:val="16"/>
        </w:rPr>
        <w:t> </w:t>
      </w:r>
      <w:r>
        <w:rPr>
          <w:rFonts w:ascii="Arial"/>
          <w:i/>
        </w:rPr>
        <w:t>Ltd</w:t>
      </w:r>
      <w:r>
        <w:rPr/>
        <w:t>.</w:t>
      </w:r>
      <w:r>
        <w:rPr>
          <w:spacing w:val="16"/>
        </w:rPr>
        <w:t> </w:t>
      </w:r>
      <w:r>
        <w:rPr>
          <w:color w:val="005DA1"/>
          <w:u w:val="single" w:color="005DA1"/>
          <w:vertAlign w:val="superscript"/>
        </w:rPr>
        <w:t>392</w:t>
      </w:r>
      <w:r>
        <w:rPr>
          <w:color w:val="005DA1"/>
          <w:spacing w:val="14"/>
          <w:vertAlign w:val="baseline"/>
        </w:rPr>
        <w:t> </w:t>
      </w:r>
      <w:r>
        <w:rPr>
          <w:vertAlign w:val="baseline"/>
        </w:rPr>
        <w:t>In</w:t>
      </w:r>
      <w:r>
        <w:rPr>
          <w:spacing w:val="16"/>
          <w:vertAlign w:val="baseline"/>
        </w:rPr>
        <w:t> </w:t>
      </w:r>
      <w:r>
        <w:rPr>
          <w:vertAlign w:val="baseline"/>
        </w:rPr>
        <w:t>that</w:t>
      </w:r>
      <w:r>
        <w:rPr>
          <w:spacing w:val="16"/>
          <w:vertAlign w:val="baseline"/>
        </w:rPr>
        <w:t> </w:t>
      </w:r>
      <w:r>
        <w:rPr>
          <w:vertAlign w:val="baseline"/>
        </w:rPr>
        <w:t>case,</w:t>
      </w:r>
      <w:r>
        <w:rPr>
          <w:spacing w:val="16"/>
          <w:vertAlign w:val="baseline"/>
        </w:rPr>
        <w:t> </w:t>
      </w:r>
      <w:r>
        <w:rPr>
          <w:vertAlign w:val="baseline"/>
        </w:rPr>
        <w:t>a</w:t>
      </w:r>
      <w:r>
        <w:rPr>
          <w:spacing w:val="16"/>
          <w:vertAlign w:val="baseline"/>
        </w:rPr>
        <w:t> </w:t>
      </w:r>
      <w:r>
        <w:rPr>
          <w:spacing w:val="-2"/>
          <w:vertAlign w:val="baseline"/>
        </w:rPr>
        <w:t>landowner</w:t>
      </w:r>
    </w:p>
    <w:p>
      <w:pPr>
        <w:pStyle w:val="BodyText"/>
        <w:spacing w:line="235" w:lineRule="auto"/>
        <w:ind w:left="164" w:right="167"/>
        <w:jc w:val="both"/>
      </w:pPr>
      <w:r>
        <w:rPr/>
        <w:t>(A) had commissioned B to report on the suitability of a site for development. The site was later </w:t>
      </w:r>
      <w:r>
        <w:rPr/>
        <w:t>sold by A to C who began work on it; during this work, there was a landslip which damaged adjoining properties, the owners of which made claims against C. A then assigned his rights under his contract with B to C who, as such assignee, claimed damages from B for breach of B’s contract with A. B argued that C could recover no more than the loss that could have been recovered by A from B at the time of the assignment and that A at that time no longer had any claim for substantial damages against B since A had ceased to own the site before the assignment and before the landslip. The argument was rejected on the ground that A had acquired a cause of action for breach of contract </w:t>
      </w:r>
      <w:bookmarkStart w:name="_bookmark648" w:id="650"/>
      <w:bookmarkEnd w:id="650"/>
      <w:r>
        <w:rPr/>
        <w:t>against</w:t>
      </w:r>
      <w:r>
        <w:rPr/>
        <w:t> B when the report was produced and could have recovered substantial “damages for the landslip” </w:t>
      </w:r>
      <w:r>
        <w:rPr>
          <w:color w:val="005DA1"/>
          <w:u w:val="single" w:color="005DA1"/>
          <w:vertAlign w:val="superscript"/>
        </w:rPr>
        <w:t>393</w:t>
      </w:r>
      <w:r>
        <w:rPr>
          <w:color w:val="005DA1"/>
          <w:vertAlign w:val="baseline"/>
        </w:rPr>
        <w:t> </w:t>
      </w:r>
      <w:r>
        <w:rPr>
          <w:vertAlign w:val="baseline"/>
        </w:rPr>
        <w:t>if A had remained owner of the land. The principle that an assignee cannot recover more than the assignor did not apply. The purpose of that principle was to protect the debtor from having to pay more to the assignee than he would have had to pay to the assignor “</w:t>
      </w:r>
      <w:r>
        <w:rPr>
          <w:rFonts w:ascii="Arial" w:hAnsi="Arial"/>
          <w:i/>
          <w:vertAlign w:val="baseline"/>
        </w:rPr>
        <w:t>had the assignment never </w:t>
      </w:r>
      <w:bookmarkStart w:name="_bookmark649" w:id="651"/>
      <w:bookmarkEnd w:id="651"/>
      <w:r>
        <w:rPr>
          <w:rFonts w:ascii="Arial" w:hAnsi="Arial"/>
          <w:i/>
          <w:vertAlign w:val="baseline"/>
        </w:rPr>
        <w:t>taken</w:t>
      </w:r>
      <w:r>
        <w:rPr>
          <w:rFonts w:ascii="Arial" w:hAnsi="Arial"/>
          <w:i/>
          <w:vertAlign w:val="baseline"/>
        </w:rPr>
        <w:t> place</w:t>
      </w:r>
      <w:r>
        <w:rPr>
          <w:vertAlign w:val="baseline"/>
        </w:rPr>
        <w:t>. The principle is not intended to enable the contract breaker/debtor to escape all legal </w:t>
      </w:r>
      <w:bookmarkStart w:name="_bookmark650" w:id="652"/>
      <w:bookmarkEnd w:id="652"/>
      <w:r>
        <w:rPr>
          <w:vertAlign w:val="baseline"/>
        </w:rPr>
        <w:t>liability</w:t>
      </w:r>
      <w:r>
        <w:rPr>
          <w:vertAlign w:val="baseline"/>
        </w:rPr>
        <w:t> for breach of contract.” </w:t>
      </w:r>
      <w:r>
        <w:rPr>
          <w:color w:val="005DA1"/>
          <w:u w:val="single" w:color="005DA1"/>
          <w:vertAlign w:val="superscript"/>
        </w:rPr>
        <w:t>394</w:t>
      </w:r>
      <w:r>
        <w:rPr>
          <w:color w:val="005DA1"/>
          <w:vertAlign w:val="baseline"/>
        </w:rPr>
        <w:t> </w:t>
      </w:r>
      <w:r>
        <w:rPr>
          <w:vertAlign w:val="baseline"/>
        </w:rPr>
        <w:t>As B’s exposure to the damages claimed was “the consequence of the landslip” and not “the consequence of the assignment,” </w:t>
      </w:r>
      <w:r>
        <w:rPr>
          <w:color w:val="005DA1"/>
          <w:u w:val="single" w:color="005DA1"/>
          <w:vertAlign w:val="superscript"/>
        </w:rPr>
        <w:t>395</w:t>
      </w:r>
      <w:r>
        <w:rPr>
          <w:color w:val="005DA1"/>
          <w:vertAlign w:val="baseline"/>
        </w:rPr>
        <w:t> </w:t>
      </w:r>
      <w:r>
        <w:rPr>
          <w:vertAlign w:val="baseline"/>
        </w:rPr>
        <w:t>the principle did not protect B, so that C, standing in the shoes of A, recovered substantial damages from B. There is also judicial support</w:t>
      </w:r>
      <w:r>
        <w:rPr>
          <w:spacing w:val="40"/>
          <w:vertAlign w:val="baseline"/>
        </w:rPr>
        <w:t> </w:t>
      </w:r>
      <w:r>
        <w:rPr>
          <w:vertAlign w:val="baseline"/>
        </w:rPr>
        <w:t>for the view that, if the assignee (C) had itself suffered loss as a result of the promisor’s (B’s) breach </w:t>
      </w:r>
      <w:bookmarkStart w:name="_bookmark651" w:id="653"/>
      <w:bookmarkEnd w:id="653"/>
      <w:r>
        <w:rPr>
          <w:vertAlign w:val="baseline"/>
        </w:rPr>
        <w:t>of</w:t>
      </w:r>
      <w:r>
        <w:rPr>
          <w:spacing w:val="-1"/>
          <w:vertAlign w:val="baseline"/>
        </w:rPr>
        <w:t> </w:t>
      </w:r>
      <w:r>
        <w:rPr>
          <w:vertAlign w:val="baseline"/>
        </w:rPr>
        <w:t>its</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assignor</w:t>
      </w:r>
      <w:r>
        <w:rPr>
          <w:spacing w:val="-1"/>
          <w:vertAlign w:val="baseline"/>
        </w:rPr>
        <w:t> </w:t>
      </w:r>
      <w:r>
        <w:rPr>
          <w:vertAlign w:val="baseline"/>
        </w:rPr>
        <w:t>(A),</w:t>
      </w:r>
      <w:r>
        <w:rPr>
          <w:spacing w:val="-1"/>
          <w:vertAlign w:val="baseline"/>
        </w:rPr>
        <w:t> </w:t>
      </w:r>
      <w:r>
        <w:rPr>
          <w:vertAlign w:val="baseline"/>
        </w:rPr>
        <w:t>then</w:t>
      </w:r>
      <w:r>
        <w:rPr>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arguable</w:t>
      </w:r>
      <w:r>
        <w:rPr>
          <w:spacing w:val="-1"/>
          <w:vertAlign w:val="baseline"/>
        </w:rPr>
        <w:t> </w:t>
      </w:r>
      <w:r>
        <w:rPr>
          <w:vertAlign w:val="baseline"/>
        </w:rPr>
        <w:t>that</w:t>
      </w:r>
      <w:r>
        <w:rPr>
          <w:spacing w:val="-1"/>
          <w:vertAlign w:val="baseline"/>
        </w:rPr>
        <w:t> </w:t>
      </w:r>
      <w:r>
        <w:rPr>
          <w:vertAlign w:val="baseline"/>
        </w:rPr>
        <w:t>C</w:t>
      </w:r>
      <w:r>
        <w:rPr>
          <w:spacing w:val="-1"/>
          <w:vertAlign w:val="baseline"/>
        </w:rPr>
        <w:t> </w:t>
      </w:r>
      <w:r>
        <w:rPr>
          <w:vertAlign w:val="baseline"/>
        </w:rPr>
        <w:t>could</w:t>
      </w:r>
      <w:r>
        <w:rPr>
          <w:spacing w:val="-1"/>
          <w:vertAlign w:val="baseline"/>
        </w:rPr>
        <w:t> </w:t>
      </w:r>
      <w:r>
        <w:rPr>
          <w:vertAlign w:val="baseline"/>
        </w:rPr>
        <w:t>recover</w:t>
      </w:r>
      <w:r>
        <w:rPr>
          <w:spacing w:val="-1"/>
          <w:vertAlign w:val="baseline"/>
        </w:rPr>
        <w:t> </w:t>
      </w:r>
      <w:r>
        <w:rPr>
          <w:vertAlign w:val="baseline"/>
        </w:rPr>
        <w:t>damages</w:t>
      </w:r>
      <w:r>
        <w:rPr>
          <w:spacing w:val="-1"/>
          <w:vertAlign w:val="baseline"/>
        </w:rPr>
        <w:t> </w:t>
      </w:r>
      <w:r>
        <w:rPr>
          <w:vertAlign w:val="baseline"/>
        </w:rPr>
        <w:t>from</w:t>
      </w:r>
      <w:r>
        <w:rPr>
          <w:spacing w:val="-1"/>
          <w:vertAlign w:val="baseline"/>
        </w:rPr>
        <w:t> </w:t>
      </w:r>
      <w:r>
        <w:rPr>
          <w:vertAlign w:val="baseline"/>
        </w:rPr>
        <w:t>B</w:t>
      </w:r>
      <w:r>
        <w:rPr>
          <w:spacing w:val="-1"/>
          <w:vertAlign w:val="baseline"/>
        </w:rPr>
        <w:t> </w:t>
      </w:r>
      <w:r>
        <w:rPr>
          <w:vertAlign w:val="baseline"/>
        </w:rPr>
        <w:t>in respect of that loss, even if no loss had been suffered by A. </w:t>
      </w:r>
      <w:r>
        <w:rPr>
          <w:color w:val="005DA1"/>
          <w:u w:val="single" w:color="005DA1"/>
          <w:vertAlign w:val="superscript"/>
        </w:rPr>
        <w:t>396</w:t>
      </w:r>
    </w:p>
    <w:p>
      <w:pPr>
        <w:pStyle w:val="BodyText"/>
      </w:pPr>
    </w:p>
    <w:p>
      <w:pPr>
        <w:pStyle w:val="BodyText"/>
        <w:spacing w:before="31"/>
      </w:pPr>
    </w:p>
    <w:p>
      <w:pPr>
        <w:spacing w:before="0"/>
        <w:ind w:left="165" w:right="0" w:firstLine="0"/>
        <w:jc w:val="both"/>
        <w:rPr>
          <w:rFonts w:ascii="Arial"/>
          <w:b/>
          <w:sz w:val="18"/>
        </w:rPr>
      </w:pPr>
      <w:r>
        <w:rPr>
          <w:rFonts w:ascii="Arial"/>
          <w:b/>
          <w:sz w:val="18"/>
        </w:rPr>
        <w:t>Third party having independent contractual rights against </w:t>
      </w:r>
      <w:r>
        <w:rPr>
          <w:rFonts w:ascii="Arial"/>
          <w:b/>
          <w:spacing w:val="-2"/>
          <w:sz w:val="18"/>
        </w:rPr>
        <w:t>promisor</w:t>
      </w:r>
    </w:p>
    <w:p>
      <w:pPr>
        <w:pStyle w:val="BodyText"/>
        <w:spacing w:before="41"/>
        <w:rPr>
          <w:rFonts w:ascii="Arial"/>
          <w:b/>
          <w:sz w:val="18"/>
        </w:rPr>
      </w:pPr>
    </w:p>
    <w:p>
      <w:pPr>
        <w:pStyle w:val="Heading2"/>
      </w:pPr>
      <w:r>
        <w:rPr/>
        <w:t>18-</w:t>
      </w:r>
      <w:r>
        <w:rPr>
          <w:spacing w:val="-5"/>
        </w:rPr>
        <w:t>060</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52" w:id="654"/>
      <w:bookmarkEnd w:id="654"/>
      <w:r>
        <w:rPr>
          <w:rFonts w:ascii="Times New Roman" w:hAnsi="Times New Roman"/>
          <w:spacing w:val="20"/>
        </w:rPr>
      </w:r>
      <w:r>
        <w:rPr/>
        <w:t>In </w:t>
      </w:r>
      <w:r>
        <w:rPr>
          <w:rFonts w:ascii="Arial" w:hAnsi="Arial"/>
          <w:i/>
        </w:rPr>
        <w:t>Alfred McAlpine Construction Ltd v Panatown Ltd </w:t>
      </w:r>
      <w:r>
        <w:rPr>
          <w:color w:val="005DA1"/>
          <w:u w:val="single" w:color="005DA1"/>
          <w:vertAlign w:val="superscript"/>
        </w:rPr>
        <w:t>397</w:t>
      </w:r>
      <w:r>
        <w:rPr>
          <w:color w:val="005DA1"/>
          <w:vertAlign w:val="baseline"/>
        </w:rPr>
        <w:t> </w:t>
      </w:r>
      <w:r>
        <w:rPr>
          <w:vertAlign w:val="baseline"/>
        </w:rPr>
        <w:t>(the </w:t>
      </w:r>
      <w:r>
        <w:rPr>
          <w:rFonts w:ascii="Arial" w:hAnsi="Arial"/>
          <w:i/>
          <w:vertAlign w:val="baseline"/>
        </w:rPr>
        <w:t>Panatown </w:t>
      </w:r>
      <w:r>
        <w:rPr>
          <w:vertAlign w:val="baseline"/>
        </w:rPr>
        <w:t>case), the facts resembled those of the Darlington case (discussed in para.18-058 above) in that a building contract was again made, not between the building contractor and the company which owned the site (the owner), </w:t>
      </w:r>
      <w:r>
        <w:rPr>
          <w:vertAlign w:val="baseline"/>
        </w:rPr>
        <w:t>but between</w:t>
      </w:r>
      <w:r>
        <w:rPr>
          <w:spacing w:val="-1"/>
          <w:vertAlign w:val="baseline"/>
        </w:rPr>
        <w:t> </w:t>
      </w:r>
      <w:r>
        <w:rPr>
          <w:vertAlign w:val="baseline"/>
        </w:rPr>
        <w:t>that</w:t>
      </w:r>
      <w:r>
        <w:rPr>
          <w:spacing w:val="-1"/>
          <w:vertAlign w:val="baseline"/>
        </w:rPr>
        <w:t> </w:t>
      </w:r>
      <w:r>
        <w:rPr>
          <w:vertAlign w:val="baseline"/>
        </w:rPr>
        <w:t>contractor</w:t>
      </w:r>
      <w:r>
        <w:rPr>
          <w:spacing w:val="-1"/>
          <w:vertAlign w:val="baseline"/>
        </w:rPr>
        <w:t> </w:t>
      </w:r>
      <w:r>
        <w:rPr>
          <w:vertAlign w:val="baseline"/>
        </w:rPr>
        <w:t>and</w:t>
      </w:r>
      <w:r>
        <w:rPr>
          <w:spacing w:val="-1"/>
          <w:vertAlign w:val="baseline"/>
        </w:rPr>
        <w:t> </w:t>
      </w:r>
      <w:r>
        <w:rPr>
          <w:vertAlign w:val="baseline"/>
        </w:rPr>
        <w:t>another</w:t>
      </w:r>
      <w:r>
        <w:rPr>
          <w:spacing w:val="-1"/>
          <w:vertAlign w:val="baseline"/>
        </w:rPr>
        <w:t> </w:t>
      </w:r>
      <w:r>
        <w:rPr>
          <w:vertAlign w:val="baseline"/>
        </w:rPr>
        <w:t>company</w:t>
      </w:r>
      <w:r>
        <w:rPr>
          <w:spacing w:val="-1"/>
          <w:vertAlign w:val="baseline"/>
        </w:rPr>
        <w:t> </w:t>
      </w:r>
      <w:r>
        <w:rPr>
          <w:vertAlign w:val="baseline"/>
        </w:rPr>
        <w:t>(the</w:t>
      </w:r>
      <w:r>
        <w:rPr>
          <w:spacing w:val="-1"/>
          <w:vertAlign w:val="baseline"/>
        </w:rPr>
        <w:t> </w:t>
      </w:r>
      <w:r>
        <w:rPr>
          <w:vertAlign w:val="baseline"/>
        </w:rPr>
        <w:t>employer)</w:t>
      </w:r>
      <w:r>
        <w:rPr>
          <w:spacing w:val="-1"/>
          <w:vertAlign w:val="baseline"/>
        </w:rPr>
        <w:t> </w:t>
      </w:r>
      <w:r>
        <w:rPr>
          <w:vertAlign w:val="baseline"/>
        </w:rPr>
        <w:t>associated</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owner;</w:t>
      </w:r>
      <w:r>
        <w:rPr>
          <w:spacing w:val="-1"/>
          <w:vertAlign w:val="baseline"/>
        </w:rPr>
        <w:t> </w:t>
      </w:r>
      <w:r>
        <w:rPr>
          <w:vertAlign w:val="baseline"/>
        </w:rPr>
        <w:t>the</w:t>
      </w:r>
      <w:r>
        <w:rPr>
          <w:spacing w:val="-1"/>
          <w:vertAlign w:val="baseline"/>
        </w:rPr>
        <w:t> </w:t>
      </w:r>
      <w:r>
        <w:rPr>
          <w:vertAlign w:val="baseline"/>
        </w:rPr>
        <w:t>object</w:t>
      </w:r>
      <w:r>
        <w:rPr>
          <w:spacing w:val="-1"/>
          <w:vertAlign w:val="baseline"/>
        </w:rPr>
        <w:t> </w:t>
      </w:r>
      <w:r>
        <w:rPr>
          <w:vertAlign w:val="baseline"/>
        </w:rPr>
        <w:t>of adopting this tripartite structure was to avoid VAT. On the day on which this contract was made, a separate contract (the “Duty of Care Deed”) was made between the owner and the contractor. The obligations imposed on the contractor by this Deed were not precisely co-terminous with those imposed</w:t>
      </w:r>
      <w:r>
        <w:rPr>
          <w:spacing w:val="-1"/>
          <w:vertAlign w:val="baseline"/>
        </w:rPr>
        <w:t> </w:t>
      </w:r>
      <w:r>
        <w:rPr>
          <w:vertAlign w:val="baseline"/>
        </w:rPr>
        <w:t>on</w:t>
      </w:r>
      <w:r>
        <w:rPr>
          <w:spacing w:val="-1"/>
          <w:vertAlign w:val="baseline"/>
        </w:rPr>
        <w:t> </w:t>
      </w:r>
      <w:r>
        <w:rPr>
          <w:vertAlign w:val="baseline"/>
        </w:rPr>
        <w:t>him</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building</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Deed</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while</w:t>
      </w:r>
      <w:r>
        <w:rPr>
          <w:spacing w:val="-1"/>
          <w:vertAlign w:val="baseline"/>
        </w:rPr>
        <w:t> </w:t>
      </w:r>
      <w:r>
        <w:rPr>
          <w:vertAlign w:val="baseline"/>
        </w:rPr>
        <w:t>the</w:t>
      </w:r>
      <w:r>
        <w:rPr>
          <w:spacing w:val="-1"/>
          <w:vertAlign w:val="baseline"/>
        </w:rPr>
        <w:t> </w:t>
      </w:r>
      <w:r>
        <w:rPr>
          <w:vertAlign w:val="baseline"/>
        </w:rPr>
        <w:t>building</w:t>
      </w:r>
      <w:r>
        <w:rPr>
          <w:spacing w:val="-1"/>
          <w:vertAlign w:val="baseline"/>
        </w:rPr>
        <w:t> </w:t>
      </w:r>
      <w:r>
        <w:rPr>
          <w:vertAlign w:val="baseline"/>
        </w:rPr>
        <w:t>contract</w:t>
      </w:r>
      <w:r>
        <w:rPr>
          <w:spacing w:val="-1"/>
          <w:vertAlign w:val="baseline"/>
        </w:rPr>
        <w:t> </w:t>
      </w:r>
      <w:r>
        <w:rPr>
          <w:vertAlign w:val="baseline"/>
        </w:rPr>
        <w:t>did,</w:t>
      </w:r>
      <w:r>
        <w:rPr>
          <w:spacing w:val="-1"/>
          <w:vertAlign w:val="baseline"/>
        </w:rPr>
        <w:t> </w:t>
      </w:r>
      <w:r>
        <w:rPr>
          <w:vertAlign w:val="baseline"/>
        </w:rPr>
        <w:t>contain an arbitration clause. The employer alleged that the building work was seriously defective and in arbitration proceedings claimed damages from the contractor, who argued that the employer should recover no more than nominal damages since any loss resulting from the alleged defects in the work had been suffered, not by the employer (as the employer had never owned the property), but by the owner. The House of Lords, by a majority, upheld the contractor’s argument and so rejected the </w:t>
      </w:r>
      <w:bookmarkStart w:name="_bookmark653" w:id="655"/>
      <w:bookmarkEnd w:id="655"/>
      <w:r>
        <w:rPr>
          <w:vertAlign w:val="baseline"/>
        </w:rPr>
        <w:t>employer’s</w:t>
      </w:r>
      <w:r>
        <w:rPr>
          <w:vertAlign w:val="baseline"/>
        </w:rPr>
        <w:t> claim for substantial damages in respect of the owner’s loss. It was accepted by the majority </w:t>
      </w:r>
      <w:r>
        <w:rPr>
          <w:color w:val="005DA1"/>
          <w:u w:val="single" w:color="005DA1"/>
          <w:vertAlign w:val="superscript"/>
        </w:rPr>
        <w:t>398</w:t>
      </w:r>
      <w:r>
        <w:rPr>
          <w:color w:val="005DA1"/>
          <w:vertAlign w:val="baseline"/>
        </w:rPr>
        <w:t> </w:t>
      </w:r>
      <w:r>
        <w:rPr>
          <w:vertAlign w:val="baseline"/>
        </w:rPr>
        <w:t>and by one of the dissentients </w:t>
      </w:r>
      <w:r>
        <w:rPr>
          <w:color w:val="005DA1"/>
          <w:u w:val="single" w:color="005DA1"/>
          <w:vertAlign w:val="superscript"/>
        </w:rPr>
        <w:t>399</w:t>
      </w:r>
      <w:r>
        <w:rPr>
          <w:color w:val="005DA1"/>
          <w:vertAlign w:val="baseline"/>
        </w:rPr>
        <w:t> </w:t>
      </w:r>
      <w:r>
        <w:rPr>
          <w:vertAlign w:val="baseline"/>
        </w:rPr>
        <w:t>that, as a general rule, a contracting party could not recover damages in respect of loss suffered, not by himself, but by a third party; and the question </w:t>
      </w:r>
      <w:bookmarkStart w:name="_bookmark654" w:id="656"/>
      <w:bookmarkEnd w:id="656"/>
      <w:r>
        <w:rPr>
          <w:vertAlign w:val="baseline"/>
        </w:rPr>
        <w:t>therefore</w:t>
      </w:r>
      <w:r>
        <w:rPr>
          <w:vertAlign w:val="baseline"/>
        </w:rPr>
        <w:t> arose whether the case could be brought within an exception to that general rule. This raised,</w:t>
      </w:r>
      <w:r>
        <w:rPr>
          <w:spacing w:val="1"/>
          <w:vertAlign w:val="baseline"/>
        </w:rPr>
        <w:t> </w:t>
      </w:r>
      <w:r>
        <w:rPr>
          <w:vertAlign w:val="baseline"/>
        </w:rPr>
        <w:t>in</w:t>
      </w:r>
      <w:r>
        <w:rPr>
          <w:spacing w:val="1"/>
          <w:vertAlign w:val="baseline"/>
        </w:rPr>
        <w:t> </w:t>
      </w:r>
      <w:r>
        <w:rPr>
          <w:vertAlign w:val="baseline"/>
        </w:rPr>
        <w:t>turn,</w:t>
      </w:r>
      <w:r>
        <w:rPr>
          <w:spacing w:val="1"/>
          <w:vertAlign w:val="baseline"/>
        </w:rPr>
        <w:t> </w:t>
      </w:r>
      <w:r>
        <w:rPr>
          <w:vertAlign w:val="baseline"/>
        </w:rPr>
        <w:t>the</w:t>
      </w:r>
      <w:r>
        <w:rPr>
          <w:spacing w:val="1"/>
          <w:vertAlign w:val="baseline"/>
        </w:rPr>
        <w:t> </w:t>
      </w:r>
      <w:r>
        <w:rPr>
          <w:vertAlign w:val="baseline"/>
        </w:rPr>
        <w:t>question</w:t>
      </w:r>
      <w:r>
        <w:rPr>
          <w:spacing w:val="1"/>
          <w:vertAlign w:val="baseline"/>
        </w:rPr>
        <w:t> </w:t>
      </w:r>
      <w:r>
        <w:rPr>
          <w:vertAlign w:val="baseline"/>
        </w:rPr>
        <w:t>whether</w:t>
      </w:r>
      <w:r>
        <w:rPr>
          <w:spacing w:val="1"/>
          <w:vertAlign w:val="baseline"/>
        </w:rPr>
        <w:t> </w:t>
      </w:r>
      <w:r>
        <w:rPr>
          <w:vertAlign w:val="baseline"/>
        </w:rPr>
        <w:t>either</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grounds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decision</w:t>
      </w:r>
      <w:r>
        <w:rPr>
          <w:spacing w:val="1"/>
          <w:vertAlign w:val="baseline"/>
        </w:rPr>
        <w:t> </w:t>
      </w:r>
      <w:r>
        <w:rPr>
          <w:vertAlign w:val="baseline"/>
        </w:rPr>
        <w:t>in</w:t>
      </w:r>
      <w:r>
        <w:rPr>
          <w:spacing w:val="1"/>
          <w:vertAlign w:val="baseline"/>
        </w:rPr>
        <w:t> </w:t>
      </w:r>
      <w:r>
        <w:rPr>
          <w:vertAlign w:val="baseline"/>
        </w:rPr>
        <w:t>the </w:t>
      </w:r>
      <w:r>
        <w:rPr>
          <w:rFonts w:ascii="Arial" w:hAnsi="Arial"/>
          <w:i/>
          <w:vertAlign w:val="baseline"/>
        </w:rPr>
        <w:t>Linden</w:t>
      </w:r>
      <w:r>
        <w:rPr>
          <w:rFonts w:ascii="Arial" w:hAnsi="Arial"/>
          <w:i/>
          <w:spacing w:val="1"/>
          <w:vertAlign w:val="baseline"/>
        </w:rPr>
        <w:t> </w:t>
      </w:r>
      <w:r>
        <w:rPr>
          <w:rFonts w:ascii="Arial" w:hAnsi="Arial"/>
          <w:i/>
          <w:vertAlign w:val="baseline"/>
        </w:rPr>
        <w:t>Gardens</w:t>
      </w:r>
      <w:r>
        <w:rPr>
          <w:rFonts w:ascii="Arial" w:hAnsi="Arial"/>
          <w:i/>
          <w:spacing w:val="1"/>
          <w:vertAlign w:val="baseline"/>
        </w:rPr>
        <w:t> </w:t>
      </w:r>
      <w:r>
        <w:rPr>
          <w:spacing w:val="-4"/>
          <w:vertAlign w:val="baseline"/>
        </w:rPr>
        <w:t>case</w:t>
      </w:r>
    </w:p>
    <w:p>
      <w:pPr>
        <w:pStyle w:val="BodyText"/>
        <w:spacing w:line="235" w:lineRule="auto"/>
        <w:ind w:left="164" w:right="167"/>
        <w:jc w:val="both"/>
      </w:pPr>
      <w:r>
        <w:rPr>
          <w:color w:val="005DA1"/>
          <w:u w:val="single" w:color="005DA1"/>
          <w:vertAlign w:val="superscript"/>
        </w:rPr>
        <w:t>400</w:t>
      </w:r>
      <w:r>
        <w:rPr>
          <w:color w:val="005DA1"/>
          <w:vertAlign w:val="baseline"/>
        </w:rPr>
        <w:t> </w:t>
      </w:r>
      <w:r>
        <w:rPr>
          <w:vertAlign w:val="baseline"/>
        </w:rPr>
        <w:t>supported the employer’s claim. It will be recalled that the “narrow” ground for that decision </w:t>
      </w:r>
      <w:r>
        <w:rPr>
          <w:vertAlign w:val="baseline"/>
        </w:rPr>
        <w:t>was </w:t>
      </w:r>
      <w:bookmarkStart w:name="_bookmark655" w:id="657"/>
      <w:bookmarkEnd w:id="657"/>
      <w:r>
        <w:rPr>
          <w:vertAlign w:val="baseline"/>
        </w:rPr>
        <w:t>derived</w:t>
      </w:r>
      <w:r>
        <w:rPr>
          <w:vertAlign w:val="baseline"/>
        </w:rPr>
        <w:t> from the “</w:t>
      </w:r>
      <w:r>
        <w:rPr>
          <w:spacing w:val="-6"/>
          <w:vertAlign w:val="baseline"/>
        </w:rPr>
        <w:t> </w:t>
      </w:r>
      <w:r>
        <w:rPr>
          <w:rFonts w:ascii="Arial" w:hAnsi="Arial"/>
          <w:i/>
          <w:vertAlign w:val="baseline"/>
        </w:rPr>
        <w:t>Albazero </w:t>
      </w:r>
      <w:r>
        <w:rPr>
          <w:vertAlign w:val="baseline"/>
        </w:rPr>
        <w:t>exception” under which a shipper of goods can sometimes recover </w:t>
      </w:r>
      <w:bookmarkStart w:name="_bookmark656" w:id="658"/>
      <w:bookmarkEnd w:id="658"/>
      <w:r>
        <w:rPr>
          <w:vertAlign w:val="baseline"/>
        </w:rPr>
        <w:t>damages</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third</w:t>
      </w:r>
      <w:r>
        <w:rPr>
          <w:spacing w:val="-2"/>
          <w:vertAlign w:val="baseline"/>
        </w:rPr>
        <w:t> </w:t>
      </w:r>
      <w:r>
        <w:rPr>
          <w:vertAlign w:val="baseline"/>
        </w:rPr>
        <w:t>party’s</w:t>
      </w:r>
      <w:r>
        <w:rPr>
          <w:spacing w:val="-2"/>
          <w:vertAlign w:val="baseline"/>
        </w:rPr>
        <w:t> </w:t>
      </w:r>
      <w:r>
        <w:rPr>
          <w:vertAlign w:val="baseline"/>
        </w:rPr>
        <w:t>loss.</w:t>
      </w:r>
      <w:r>
        <w:rPr>
          <w:spacing w:val="-3"/>
          <w:vertAlign w:val="baseline"/>
        </w:rPr>
        <w:t> </w:t>
      </w:r>
      <w:r>
        <w:rPr>
          <w:color w:val="005DA1"/>
          <w:u w:val="single" w:color="005DA1"/>
          <w:vertAlign w:val="superscript"/>
        </w:rPr>
        <w:t>401</w:t>
      </w:r>
      <w:r>
        <w:rPr>
          <w:color w:val="005DA1"/>
          <w:spacing w:val="-2"/>
          <w:vertAlign w:val="baseline"/>
        </w:rPr>
        <w:t> </w:t>
      </w:r>
      <w:r>
        <w:rPr>
          <w:vertAlign w:val="baseline"/>
        </w:rPr>
        <w:t>That</w:t>
      </w:r>
      <w:r>
        <w:rPr>
          <w:spacing w:val="-2"/>
          <w:vertAlign w:val="baseline"/>
        </w:rPr>
        <w:t> </w:t>
      </w:r>
      <w:r>
        <w:rPr>
          <w:vertAlign w:val="baseline"/>
        </w:rPr>
        <w:t>exception</w:t>
      </w:r>
      <w:r>
        <w:rPr>
          <w:spacing w:val="-2"/>
          <w:vertAlign w:val="baseline"/>
        </w:rPr>
        <w:t> </w:t>
      </w:r>
      <w:r>
        <w:rPr>
          <w:vertAlign w:val="baseline"/>
        </w:rPr>
        <w:t>is,</w:t>
      </w:r>
      <w:r>
        <w:rPr>
          <w:spacing w:val="-2"/>
          <w:vertAlign w:val="baseline"/>
        </w:rPr>
        <w:t> </w:t>
      </w:r>
      <w:r>
        <w:rPr>
          <w:vertAlign w:val="baseline"/>
        </w:rPr>
        <w:t>however,</w:t>
      </w:r>
      <w:r>
        <w:rPr>
          <w:spacing w:val="-2"/>
          <w:vertAlign w:val="baseline"/>
        </w:rPr>
        <w:t> </w:t>
      </w:r>
      <w:r>
        <w:rPr>
          <w:vertAlign w:val="baseline"/>
        </w:rPr>
        <w:t>subject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restriction</w:t>
      </w:r>
      <w:r>
        <w:rPr>
          <w:spacing w:val="-2"/>
          <w:vertAlign w:val="baseline"/>
        </w:rPr>
        <w:t> </w:t>
      </w:r>
      <w:r>
        <w:rPr>
          <w:vertAlign w:val="baseline"/>
        </w:rPr>
        <w:t>that </w:t>
      </w:r>
      <w:bookmarkStart w:name="_bookmark657" w:id="659"/>
      <w:bookmarkEnd w:id="659"/>
      <w:r>
        <w:rPr>
          <w:vertAlign w:val="baseline"/>
        </w:rPr>
        <w:t>it</w:t>
      </w:r>
      <w:r>
        <w:rPr>
          <w:vertAlign w:val="baseline"/>
        </w:rPr>
        <w:t> does not apply where the third party had himself acquired contractual rights against the carrier, </w:t>
      </w:r>
      <w:r>
        <w:rPr>
          <w:color w:val="005DA1"/>
          <w:u w:val="single" w:color="005DA1"/>
          <w:vertAlign w:val="superscript"/>
        </w:rPr>
        <w:t>402</w:t>
      </w:r>
      <w:r>
        <w:rPr>
          <w:color w:val="005DA1"/>
          <w:vertAlign w:val="baseline"/>
        </w:rPr>
        <w:t> </w:t>
      </w:r>
      <w:r>
        <w:rPr>
          <w:vertAlign w:val="baseline"/>
        </w:rPr>
        <w:t>usually by the transfer to the third party of a bill of lading. </w:t>
      </w:r>
      <w:r>
        <w:rPr>
          <w:color w:val="005DA1"/>
          <w:u w:val="single" w:color="005DA1"/>
          <w:vertAlign w:val="superscript"/>
        </w:rPr>
        <w:t>403</w:t>
      </w:r>
      <w:r>
        <w:rPr>
          <w:color w:val="005DA1"/>
          <w:vertAlign w:val="baseline"/>
        </w:rPr>
        <w:t> </w:t>
      </w:r>
      <w:r>
        <w:rPr>
          <w:vertAlign w:val="baseline"/>
        </w:rPr>
        <w:t>In the </w:t>
      </w:r>
      <w:r>
        <w:rPr>
          <w:rFonts w:ascii="Arial" w:hAnsi="Arial"/>
          <w:i/>
          <w:vertAlign w:val="baseline"/>
        </w:rPr>
        <w:t>Panatown </w:t>
      </w:r>
      <w:r>
        <w:rPr>
          <w:vertAlign w:val="baseline"/>
        </w:rPr>
        <w:t>case, the majority held (and the dissentients accepted) that the case fell within this restriction, so that the “ </w:t>
      </w:r>
      <w:r>
        <w:rPr>
          <w:rFonts w:ascii="Arial" w:hAnsi="Arial"/>
          <w:i/>
          <w:vertAlign w:val="baseline"/>
        </w:rPr>
        <w:t>Albazero </w:t>
      </w:r>
      <w:r>
        <w:rPr>
          <w:vertAlign w:val="baseline"/>
        </w:rPr>
        <w:t>exception” (and hence the “narrower ground” in the </w:t>
      </w:r>
      <w:r>
        <w:rPr>
          <w:rFonts w:ascii="Arial" w:hAnsi="Arial"/>
          <w:i/>
          <w:vertAlign w:val="baseline"/>
        </w:rPr>
        <w:t>Linden Gardens </w:t>
      </w:r>
      <w:r>
        <w:rPr>
          <w:vertAlign w:val="baseline"/>
        </w:rPr>
        <w:t>case) did not apply because the Duty</w:t>
      </w:r>
      <w:r>
        <w:rPr>
          <w:spacing w:val="4"/>
          <w:vertAlign w:val="baseline"/>
        </w:rPr>
        <w:t> </w:t>
      </w:r>
      <w:r>
        <w:rPr>
          <w:vertAlign w:val="baseline"/>
        </w:rPr>
        <w:t>of</w:t>
      </w:r>
      <w:r>
        <w:rPr>
          <w:spacing w:val="4"/>
          <w:vertAlign w:val="baseline"/>
        </w:rPr>
        <w:t> </w:t>
      </w:r>
      <w:r>
        <w:rPr>
          <w:vertAlign w:val="baseline"/>
        </w:rPr>
        <w:t>Care</w:t>
      </w:r>
      <w:r>
        <w:rPr>
          <w:spacing w:val="4"/>
          <w:vertAlign w:val="baseline"/>
        </w:rPr>
        <w:t> </w:t>
      </w:r>
      <w:r>
        <w:rPr>
          <w:vertAlign w:val="baseline"/>
        </w:rPr>
        <w:t>Deed</w:t>
      </w:r>
      <w:r>
        <w:rPr>
          <w:spacing w:val="4"/>
          <w:vertAlign w:val="baseline"/>
        </w:rPr>
        <w:t> </w:t>
      </w:r>
      <w:r>
        <w:rPr>
          <w:vertAlign w:val="baseline"/>
        </w:rPr>
        <w:t>gave</w:t>
      </w:r>
      <w:r>
        <w:rPr>
          <w:spacing w:val="4"/>
          <w:vertAlign w:val="baseline"/>
        </w:rPr>
        <w:t> </w:t>
      </w:r>
      <w:r>
        <w:rPr>
          <w:vertAlign w:val="baseline"/>
        </w:rPr>
        <w:t>the</w:t>
      </w:r>
      <w:r>
        <w:rPr>
          <w:spacing w:val="4"/>
          <w:vertAlign w:val="baseline"/>
        </w:rPr>
        <w:t> </w:t>
      </w:r>
      <w:r>
        <w:rPr>
          <w:vertAlign w:val="baseline"/>
        </w:rPr>
        <w:t>owner</w:t>
      </w:r>
      <w:r>
        <w:rPr>
          <w:spacing w:val="4"/>
          <w:vertAlign w:val="baseline"/>
        </w:rPr>
        <w:t> </w:t>
      </w:r>
      <w:r>
        <w:rPr>
          <w:vertAlign w:val="baseline"/>
        </w:rPr>
        <w:t>an</w:t>
      </w:r>
      <w:r>
        <w:rPr>
          <w:spacing w:val="4"/>
          <w:vertAlign w:val="baseline"/>
        </w:rPr>
        <w:t> </w:t>
      </w:r>
      <w:r>
        <w:rPr>
          <w:vertAlign w:val="baseline"/>
        </w:rPr>
        <w:t>independent</w:t>
      </w:r>
      <w:r>
        <w:rPr>
          <w:spacing w:val="4"/>
          <w:vertAlign w:val="baseline"/>
        </w:rPr>
        <w:t> </w:t>
      </w:r>
      <w:r>
        <w:rPr>
          <w:vertAlign w:val="baseline"/>
        </w:rPr>
        <w:t>contractual</w:t>
      </w:r>
      <w:r>
        <w:rPr>
          <w:spacing w:val="4"/>
          <w:vertAlign w:val="baseline"/>
        </w:rPr>
        <w:t> </w:t>
      </w:r>
      <w:r>
        <w:rPr>
          <w:vertAlign w:val="baseline"/>
        </w:rPr>
        <w:t>right</w:t>
      </w:r>
      <w:r>
        <w:rPr>
          <w:spacing w:val="4"/>
          <w:vertAlign w:val="baseline"/>
        </w:rPr>
        <w:t> </w:t>
      </w:r>
      <w:r>
        <w:rPr>
          <w:vertAlign w:val="baseline"/>
        </w:rPr>
        <w:t>against</w:t>
      </w:r>
      <w:r>
        <w:rPr>
          <w:spacing w:val="4"/>
          <w:vertAlign w:val="baseline"/>
        </w:rPr>
        <w:t> </w:t>
      </w:r>
      <w:r>
        <w:rPr>
          <w:vertAlign w:val="baseline"/>
        </w:rPr>
        <w:t>the</w:t>
      </w:r>
      <w:r>
        <w:rPr>
          <w:spacing w:val="4"/>
          <w:vertAlign w:val="baseline"/>
        </w:rPr>
        <w:t> </w:t>
      </w:r>
      <w:r>
        <w:rPr>
          <w:vertAlign w:val="baseline"/>
        </w:rPr>
        <w:t>contractor.</w:t>
      </w:r>
      <w:r>
        <w:rPr>
          <w:spacing w:val="4"/>
          <w:vertAlign w:val="baseline"/>
        </w:rPr>
        <w:t> </w:t>
      </w:r>
      <w:r>
        <w:rPr>
          <w:vertAlign w:val="baseline"/>
        </w:rPr>
        <w:t>This</w:t>
      </w:r>
      <w:r>
        <w:rPr>
          <w:spacing w:val="4"/>
          <w:vertAlign w:val="baseline"/>
        </w:rPr>
        <w:t> </w:t>
      </w:r>
      <w:r>
        <w:rPr>
          <w:spacing w:val="-2"/>
          <w:vertAlign w:val="baseline"/>
        </w:rPr>
        <w:t>point</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658" w:id="660"/>
      <w:bookmarkEnd w:id="660"/>
      <w:r>
        <w:rPr/>
      </w:r>
      <w:r>
        <w:rPr/>
        <w:t>was, moreover, decisive even though that right did not arise under a </w:t>
      </w:r>
      <w:r>
        <w:rPr>
          <w:rFonts w:ascii="Arial"/>
          <w:i/>
        </w:rPr>
        <w:t>building </w:t>
      </w:r>
      <w:r>
        <w:rPr/>
        <w:t>contract, so that in this respect</w:t>
      </w:r>
      <w:r>
        <w:rPr>
          <w:spacing w:val="4"/>
        </w:rPr>
        <w:t> </w:t>
      </w:r>
      <w:r>
        <w:rPr/>
        <w:t>the</w:t>
      </w:r>
      <w:r>
        <w:rPr>
          <w:spacing w:val="4"/>
        </w:rPr>
        <w:t> </w:t>
      </w:r>
      <w:r>
        <w:rPr/>
        <w:t>restriction</w:t>
      </w:r>
      <w:r>
        <w:rPr>
          <w:spacing w:val="4"/>
        </w:rPr>
        <w:t> </w:t>
      </w:r>
      <w:r>
        <w:rPr/>
        <w:t>was</w:t>
      </w:r>
      <w:r>
        <w:rPr>
          <w:spacing w:val="4"/>
        </w:rPr>
        <w:t> </w:t>
      </w:r>
      <w:r>
        <w:rPr/>
        <w:t>somewhat</w:t>
      </w:r>
      <w:r>
        <w:rPr>
          <w:spacing w:val="4"/>
        </w:rPr>
        <w:t> </w:t>
      </w:r>
      <w:r>
        <w:rPr/>
        <w:t>expanded:</w:t>
      </w:r>
      <w:r>
        <w:rPr>
          <w:spacing w:val="4"/>
        </w:rPr>
        <w:t> </w:t>
      </w:r>
      <w:r>
        <w:rPr/>
        <w:t>in</w:t>
      </w:r>
      <w:r>
        <w:rPr>
          <w:spacing w:val="4"/>
        </w:rPr>
        <w:t> </w:t>
      </w:r>
      <w:r>
        <w:rPr/>
        <w:t>the</w:t>
      </w:r>
      <w:r>
        <w:rPr>
          <w:spacing w:val="4"/>
        </w:rPr>
        <w:t> </w:t>
      </w:r>
      <w:r>
        <w:rPr/>
        <w:t>carriage</w:t>
      </w:r>
      <w:r>
        <w:rPr>
          <w:spacing w:val="4"/>
        </w:rPr>
        <w:t> </w:t>
      </w:r>
      <w:r>
        <w:rPr/>
        <w:t>by</w:t>
      </w:r>
      <w:r>
        <w:rPr>
          <w:spacing w:val="4"/>
        </w:rPr>
        <w:t> </w:t>
      </w:r>
      <w:r>
        <w:rPr/>
        <w:t>sea</w:t>
      </w:r>
      <w:r>
        <w:rPr>
          <w:spacing w:val="4"/>
        </w:rPr>
        <w:t> </w:t>
      </w:r>
      <w:r>
        <w:rPr/>
        <w:t>cases,</w:t>
      </w:r>
      <w:r>
        <w:rPr>
          <w:spacing w:val="4"/>
        </w:rPr>
        <w:t> </w:t>
      </w:r>
      <w:r>
        <w:rPr/>
        <w:t>the</w:t>
      </w:r>
      <w:r>
        <w:rPr>
          <w:spacing w:val="4"/>
        </w:rPr>
        <w:t> </w:t>
      </w:r>
      <w:r>
        <w:rPr/>
        <w:t>restriction</w:t>
      </w:r>
      <w:r>
        <w:rPr>
          <w:spacing w:val="4"/>
        </w:rPr>
        <w:t> </w:t>
      </w:r>
      <w:r>
        <w:rPr>
          <w:spacing w:val="-2"/>
        </w:rPr>
        <w:t>normally</w:t>
      </w:r>
    </w:p>
    <w:p>
      <w:pPr>
        <w:pStyle w:val="BodyText"/>
        <w:spacing w:line="235" w:lineRule="auto"/>
        <w:ind w:left="165" w:right="167"/>
        <w:jc w:val="both"/>
      </w:pPr>
      <w:r>
        <w:rPr>
          <w:color w:val="005DA1"/>
          <w:u w:val="single" w:color="005DA1"/>
          <w:vertAlign w:val="superscript"/>
        </w:rPr>
        <w:t>404</w:t>
      </w:r>
      <w:r>
        <w:rPr>
          <w:color w:val="005DA1"/>
          <w:vertAlign w:val="baseline"/>
        </w:rPr>
        <w:t> </w:t>
      </w:r>
      <w:r>
        <w:rPr>
          <w:vertAlign w:val="baseline"/>
        </w:rPr>
        <w:t>came into operation because the third party had acquired rights under a contract </w:t>
      </w:r>
      <w:r>
        <w:rPr>
          <w:rFonts w:ascii="Arial" w:hAnsi="Arial"/>
          <w:i/>
          <w:vertAlign w:val="baseline"/>
        </w:rPr>
        <w:t>of carriage</w:t>
      </w:r>
      <w:r>
        <w:rPr>
          <w:vertAlign w:val="baseline"/>
        </w:rPr>
        <w:t>. Nevertheless, it is respectfully submitted that this aspect of the </w:t>
      </w:r>
      <w:r>
        <w:rPr>
          <w:rFonts w:ascii="Arial" w:hAnsi="Arial"/>
          <w:i/>
          <w:vertAlign w:val="baseline"/>
        </w:rPr>
        <w:t>Panatown </w:t>
      </w:r>
      <w:r>
        <w:rPr>
          <w:vertAlign w:val="baseline"/>
        </w:rPr>
        <w:t>case is consistent with </w:t>
      </w:r>
      <w:r>
        <w:rPr>
          <w:vertAlign w:val="baseline"/>
        </w:rPr>
        <w:t>the rationale of the restriction. In the carriage by sea cases, this could and did apply even though the </w:t>
      </w:r>
      <w:bookmarkStart w:name="_bookmark659" w:id="661"/>
      <w:bookmarkEnd w:id="661"/>
      <w:r>
        <w:rPr>
          <w:vertAlign w:val="baseline"/>
        </w:rPr>
      </w:r>
      <w:r>
        <w:rPr>
          <w:rFonts w:ascii="Arial" w:hAnsi="Arial"/>
          <w:i/>
          <w:vertAlign w:val="baseline"/>
        </w:rPr>
        <w:t>content</w:t>
      </w:r>
      <w:r>
        <w:rPr>
          <w:rFonts w:ascii="Arial" w:hAnsi="Arial"/>
          <w:i/>
          <w:spacing w:val="43"/>
          <w:vertAlign w:val="baseline"/>
        </w:rPr>
        <w:t> </w:t>
      </w:r>
      <w:r>
        <w:rPr>
          <w:vertAlign w:val="baseline"/>
        </w:rPr>
        <w:t>of</w:t>
      </w:r>
      <w:r>
        <w:rPr>
          <w:spacing w:val="43"/>
          <w:vertAlign w:val="baseline"/>
        </w:rPr>
        <w:t> </w:t>
      </w:r>
      <w:r>
        <w:rPr>
          <w:vertAlign w:val="baseline"/>
        </w:rPr>
        <w:t>the</w:t>
      </w:r>
      <w:r>
        <w:rPr>
          <w:spacing w:val="43"/>
          <w:vertAlign w:val="baseline"/>
        </w:rPr>
        <w:t> </w:t>
      </w:r>
      <w:r>
        <w:rPr>
          <w:vertAlign w:val="baseline"/>
        </w:rPr>
        <w:t>third</w:t>
      </w:r>
      <w:r>
        <w:rPr>
          <w:spacing w:val="43"/>
          <w:vertAlign w:val="baseline"/>
        </w:rPr>
        <w:t> </w:t>
      </w:r>
      <w:r>
        <w:rPr>
          <w:vertAlign w:val="baseline"/>
        </w:rPr>
        <w:t>party’s</w:t>
      </w:r>
      <w:r>
        <w:rPr>
          <w:spacing w:val="43"/>
          <w:vertAlign w:val="baseline"/>
        </w:rPr>
        <w:t> </w:t>
      </w:r>
      <w:r>
        <w:rPr>
          <w:vertAlign w:val="baseline"/>
        </w:rPr>
        <w:t>contractual</w:t>
      </w:r>
      <w:r>
        <w:rPr>
          <w:spacing w:val="43"/>
          <w:vertAlign w:val="baseline"/>
        </w:rPr>
        <w:t> </w:t>
      </w:r>
      <w:r>
        <w:rPr>
          <w:vertAlign w:val="baseline"/>
        </w:rPr>
        <w:t>right</w:t>
      </w:r>
      <w:r>
        <w:rPr>
          <w:spacing w:val="43"/>
          <w:vertAlign w:val="baseline"/>
        </w:rPr>
        <w:t> </w:t>
      </w:r>
      <w:r>
        <w:rPr>
          <w:vertAlign w:val="baseline"/>
        </w:rPr>
        <w:t>against</w:t>
      </w:r>
      <w:r>
        <w:rPr>
          <w:spacing w:val="43"/>
          <w:vertAlign w:val="baseline"/>
        </w:rPr>
        <w:t> </w:t>
      </w:r>
      <w:r>
        <w:rPr>
          <w:vertAlign w:val="baseline"/>
        </w:rPr>
        <w:t>the</w:t>
      </w:r>
      <w:r>
        <w:rPr>
          <w:spacing w:val="43"/>
          <w:vertAlign w:val="baseline"/>
        </w:rPr>
        <w:t> </w:t>
      </w:r>
      <w:r>
        <w:rPr>
          <w:vertAlign w:val="baseline"/>
        </w:rPr>
        <w:t>carrier</w:t>
      </w:r>
      <w:r>
        <w:rPr>
          <w:spacing w:val="43"/>
          <w:vertAlign w:val="baseline"/>
        </w:rPr>
        <w:t> </w:t>
      </w:r>
      <w:r>
        <w:rPr>
          <w:vertAlign w:val="baseline"/>
        </w:rPr>
        <w:t>was</w:t>
      </w:r>
      <w:r>
        <w:rPr>
          <w:spacing w:val="43"/>
          <w:vertAlign w:val="baseline"/>
        </w:rPr>
        <w:t> </w:t>
      </w:r>
      <w:r>
        <w:rPr>
          <w:vertAlign w:val="baseline"/>
        </w:rPr>
        <w:t>not</w:t>
      </w:r>
      <w:r>
        <w:rPr>
          <w:spacing w:val="43"/>
          <w:vertAlign w:val="baseline"/>
        </w:rPr>
        <w:t> </w:t>
      </w:r>
      <w:r>
        <w:rPr>
          <w:vertAlign w:val="baseline"/>
        </w:rPr>
        <w:t>the</w:t>
      </w:r>
      <w:r>
        <w:rPr>
          <w:spacing w:val="43"/>
          <w:vertAlign w:val="baseline"/>
        </w:rPr>
        <w:t> </w:t>
      </w:r>
      <w:r>
        <w:rPr>
          <w:vertAlign w:val="baseline"/>
        </w:rPr>
        <w:t>same</w:t>
      </w:r>
      <w:r>
        <w:rPr>
          <w:spacing w:val="43"/>
          <w:vertAlign w:val="baseline"/>
        </w:rPr>
        <w:t> </w:t>
      </w:r>
      <w:r>
        <w:rPr>
          <w:vertAlign w:val="baseline"/>
        </w:rPr>
        <w:t>as</w:t>
      </w:r>
      <w:r>
        <w:rPr>
          <w:spacing w:val="43"/>
          <w:vertAlign w:val="baseline"/>
        </w:rPr>
        <w:t> </w:t>
      </w:r>
      <w:r>
        <w:rPr>
          <w:vertAlign w:val="baseline"/>
        </w:rPr>
        <w:t>that</w:t>
      </w:r>
      <w:r>
        <w:rPr>
          <w:spacing w:val="43"/>
          <w:vertAlign w:val="baseline"/>
        </w:rPr>
        <w:t> </w:t>
      </w:r>
      <w:r>
        <w:rPr>
          <w:vertAlign w:val="baseline"/>
        </w:rPr>
        <w:t>of</w:t>
      </w:r>
      <w:r>
        <w:rPr>
          <w:spacing w:val="43"/>
          <w:vertAlign w:val="baseline"/>
        </w:rPr>
        <w:t> </w:t>
      </w:r>
      <w:r>
        <w:rPr>
          <w:spacing w:val="-5"/>
          <w:vertAlign w:val="baseline"/>
        </w:rPr>
        <w:t>the</w:t>
      </w:r>
    </w:p>
    <w:p>
      <w:pPr>
        <w:pStyle w:val="BodyText"/>
        <w:spacing w:line="235" w:lineRule="auto" w:before="117"/>
        <w:ind w:left="164" w:right="167"/>
        <w:jc w:val="both"/>
      </w:pPr>
      <w:bookmarkStart w:name="_bookmark660" w:id="662"/>
      <w:bookmarkEnd w:id="662"/>
      <w:r>
        <w:rPr/>
      </w:r>
      <w:r>
        <w:rPr/>
        <w:t>shipper’s right </w:t>
      </w:r>
      <w:r>
        <w:rPr>
          <w:color w:val="005DA1"/>
          <w:u w:val="single" w:color="005DA1"/>
          <w:vertAlign w:val="superscript"/>
        </w:rPr>
        <w:t>405</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vertAlign w:val="baseline"/>
        </w:rPr>
        <w:t>; and it was based on the reasoning that, where the third party had its own contractual rights against the carrier, the exception did not apply “because it was not needed.” </w:t>
      </w:r>
      <w:r>
        <w:rPr>
          <w:color w:val="005DA1"/>
          <w:u w:val="single" w:color="005DA1"/>
          <w:vertAlign w:val="superscript"/>
        </w:rPr>
        <w:t>406</w:t>
      </w:r>
      <w:r>
        <w:rPr>
          <w:color w:val="005DA1"/>
          <w:vertAlign w:val="baseline"/>
        </w:rPr>
        <w:t> </w:t>
      </w:r>
      <w:r>
        <w:rPr>
          <w:vertAlign w:val="baseline"/>
        </w:rPr>
        <w:t>It </w:t>
      </w:r>
      <w:bookmarkStart w:name="_bookmark661" w:id="663"/>
      <w:bookmarkEnd w:id="663"/>
      <w:r>
        <w:rPr>
          <w:vertAlign w:val="baseline"/>
        </w:rPr>
        <w:t>was</w:t>
      </w:r>
      <w:r>
        <w:rPr>
          <w:vertAlign w:val="baseline"/>
        </w:rPr>
        <w:t> not needed because, where the third party had its own contractual rights against the party in </w:t>
      </w:r>
      <w:bookmarkStart w:name="_bookmark662" w:id="664"/>
      <w:bookmarkEnd w:id="664"/>
      <w:r>
        <w:rPr>
          <w:vertAlign w:val="baseline"/>
        </w:rPr>
        <w:t>breach,</w:t>
      </w:r>
      <w:r>
        <w:rPr>
          <w:spacing w:val="6"/>
          <w:vertAlign w:val="baseline"/>
        </w:rPr>
        <w:t> </w:t>
      </w:r>
      <w:r>
        <w:rPr>
          <w:vertAlign w:val="baseline"/>
        </w:rPr>
        <w:t>there</w:t>
      </w:r>
      <w:r>
        <w:rPr>
          <w:spacing w:val="6"/>
          <w:vertAlign w:val="baseline"/>
        </w:rPr>
        <w:t> </w:t>
      </w:r>
      <w:r>
        <w:rPr>
          <w:vertAlign w:val="baseline"/>
        </w:rPr>
        <w:t>was</w:t>
      </w:r>
      <w:r>
        <w:rPr>
          <w:spacing w:val="6"/>
          <w:vertAlign w:val="baseline"/>
        </w:rPr>
        <w:t> </w:t>
      </w:r>
      <w:r>
        <w:rPr>
          <w:vertAlign w:val="baseline"/>
        </w:rPr>
        <w:t>no</w:t>
      </w:r>
      <w:r>
        <w:rPr>
          <w:spacing w:val="6"/>
          <w:vertAlign w:val="baseline"/>
        </w:rPr>
        <w:t> </w:t>
      </w:r>
      <w:r>
        <w:rPr>
          <w:vertAlign w:val="baseline"/>
        </w:rPr>
        <w:t>risk</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“legal</w:t>
      </w:r>
      <w:r>
        <w:rPr>
          <w:spacing w:val="6"/>
          <w:vertAlign w:val="baseline"/>
        </w:rPr>
        <w:t> </w:t>
      </w:r>
      <w:r>
        <w:rPr>
          <w:vertAlign w:val="baseline"/>
        </w:rPr>
        <w:t>black</w:t>
      </w:r>
      <w:r>
        <w:rPr>
          <w:spacing w:val="6"/>
          <w:vertAlign w:val="baseline"/>
        </w:rPr>
        <w:t> </w:t>
      </w:r>
      <w:r>
        <w:rPr>
          <w:vertAlign w:val="baseline"/>
        </w:rPr>
        <w:t>hole”</w:t>
      </w:r>
      <w:r>
        <w:rPr>
          <w:spacing w:val="5"/>
          <w:vertAlign w:val="baseline"/>
        </w:rPr>
        <w:t> </w:t>
      </w:r>
      <w:r>
        <w:rPr>
          <w:color w:val="005DA1"/>
          <w:u w:val="single" w:color="005DA1"/>
          <w:vertAlign w:val="superscript"/>
        </w:rPr>
        <w:t>407</w:t>
      </w:r>
      <w:r>
        <w:rPr>
          <w:color w:val="005DA1"/>
          <w:spacing w:val="6"/>
          <w:vertAlign w:val="baseline"/>
        </w:rPr>
        <w:t> </w:t>
      </w:r>
      <w:r>
        <w:rPr>
          <w:vertAlign w:val="baseline"/>
        </w:rPr>
        <w:t>which</w:t>
      </w:r>
      <w:r>
        <w:rPr>
          <w:spacing w:val="6"/>
          <w:vertAlign w:val="baseline"/>
        </w:rPr>
        <w:t> </w:t>
      </w:r>
      <w:r>
        <w:rPr>
          <w:vertAlign w:val="baseline"/>
        </w:rPr>
        <w:t>had</w:t>
      </w:r>
      <w:r>
        <w:rPr>
          <w:spacing w:val="6"/>
          <w:vertAlign w:val="baseline"/>
        </w:rPr>
        <w:t> </w:t>
      </w:r>
      <w:r>
        <w:rPr>
          <w:vertAlign w:val="baseline"/>
        </w:rPr>
        <w:t>driven</w:t>
      </w:r>
      <w:r>
        <w:rPr>
          <w:spacing w:val="6"/>
          <w:vertAlign w:val="baseline"/>
        </w:rPr>
        <w:t> </w:t>
      </w:r>
      <w:r>
        <w:rPr>
          <w:vertAlign w:val="baseline"/>
        </w:rPr>
        <w:t>judges</w:t>
      </w:r>
      <w:r>
        <w:rPr>
          <w:spacing w:val="6"/>
          <w:vertAlign w:val="baseline"/>
        </w:rPr>
        <w:t> </w:t>
      </w:r>
      <w:r>
        <w:rPr>
          <w:vertAlign w:val="baseline"/>
        </w:rPr>
        <w:t>to</w:t>
      </w:r>
      <w:r>
        <w:rPr>
          <w:spacing w:val="6"/>
          <w:vertAlign w:val="baseline"/>
        </w:rPr>
        <w:t> </w:t>
      </w:r>
      <w:r>
        <w:rPr>
          <w:vertAlign w:val="baseline"/>
        </w:rPr>
        <w:t>create</w:t>
      </w:r>
      <w:r>
        <w:rPr>
          <w:spacing w:val="6"/>
          <w:vertAlign w:val="baseline"/>
        </w:rPr>
        <w:t> </w:t>
      </w:r>
      <w:r>
        <w:rPr>
          <w:vertAlign w:val="baseline"/>
        </w:rPr>
        <w:t>exceptions</w:t>
      </w:r>
      <w:r>
        <w:rPr>
          <w:spacing w:val="6"/>
          <w:vertAlign w:val="baseline"/>
        </w:rPr>
        <w:t> </w:t>
      </w:r>
      <w:r>
        <w:rPr>
          <w:spacing w:val="-5"/>
          <w:vertAlign w:val="baseline"/>
        </w:rPr>
        <w:t>to</w:t>
      </w:r>
    </w:p>
    <w:p>
      <w:pPr>
        <w:pStyle w:val="BodyText"/>
        <w:spacing w:before="115"/>
        <w:ind w:left="164"/>
        <w:jc w:val="both"/>
        <w:rPr>
          <w:position w:val="-2"/>
        </w:rPr>
      </w:pPr>
      <w:r>
        <w:rPr/>
        <w:t>the general rule that a contracting party can recover damages only in respect of his own loss. </w:t>
      </w:r>
      <w:r>
        <w:rPr>
          <w:color w:val="005DA1"/>
          <w:u w:val="single" w:color="005DA1"/>
          <w:vertAlign w:val="superscript"/>
        </w:rPr>
        <w:t>408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pStyle w:val="Heading2"/>
      </w:pPr>
      <w:r>
        <w:rPr/>
        <w:t>18-</w:t>
      </w:r>
      <w:r>
        <w:rPr>
          <w:spacing w:val="-5"/>
        </w:rPr>
        <w:t>061</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majority in the </w:t>
      </w:r>
      <w:r>
        <w:rPr>
          <w:rFonts w:ascii="Arial" w:hAnsi="Arial"/>
          <w:i/>
        </w:rPr>
        <w:t>Panatown </w:t>
      </w:r>
      <w:r>
        <w:rPr/>
        <w:t>case further held that the existence of the third party’s rights </w:t>
      </w:r>
      <w:r>
        <w:rPr/>
        <w:t>against </w:t>
      </w:r>
      <w:bookmarkStart w:name="_bookmark663" w:id="665"/>
      <w:bookmarkEnd w:id="665"/>
      <w:r>
        <w:rPr/>
        <w:t>the</w:t>
      </w:r>
      <w:r>
        <w:rPr/>
        <w:t> contractor under the Duty of Care Deed also precluded the employer from recovering damages under the “broader ground” </w:t>
      </w:r>
      <w:r>
        <w:rPr>
          <w:color w:val="005DA1"/>
          <w:u w:val="single" w:color="005DA1"/>
          <w:vertAlign w:val="superscript"/>
        </w:rPr>
        <w:t>409</w:t>
      </w:r>
      <w:r>
        <w:rPr>
          <w:color w:val="005DA1"/>
          <w:vertAlign w:val="baseline"/>
        </w:rPr>
        <w:t> </w:t>
      </w:r>
      <w:r>
        <w:rPr>
          <w:vertAlign w:val="baseline"/>
        </w:rPr>
        <w:t>given by Lord Griffiths in the </w:t>
      </w:r>
      <w:r>
        <w:rPr>
          <w:rFonts w:ascii="Arial" w:hAnsi="Arial"/>
          <w:i/>
          <w:vertAlign w:val="baseline"/>
        </w:rPr>
        <w:t>Linden Gardens </w:t>
      </w:r>
      <w:r>
        <w:rPr>
          <w:vertAlign w:val="baseline"/>
        </w:rPr>
        <w:t>case. In view of the </w:t>
      </w:r>
      <w:bookmarkStart w:name="_bookmark664" w:id="666"/>
      <w:bookmarkEnd w:id="666"/>
      <w:r>
        <w:rPr>
          <w:vertAlign w:val="baseline"/>
        </w:rPr>
        <w:t>existence</w:t>
      </w:r>
      <w:r>
        <w:rPr>
          <w:vertAlign w:val="baseline"/>
        </w:rPr>
        <w:t> of those rights, the employer had no pecuniary interest in curing the defects in the contractor’s work. </w:t>
      </w:r>
      <w:r>
        <w:rPr>
          <w:color w:val="005DA1"/>
          <w:u w:val="single" w:color="005DA1"/>
          <w:vertAlign w:val="superscript"/>
        </w:rPr>
        <w:t>410</w:t>
      </w:r>
      <w:r>
        <w:rPr>
          <w:color w:val="005DA1"/>
          <w:vertAlign w:val="baseline"/>
        </w:rPr>
        <w:t> </w:t>
      </w:r>
      <w:r>
        <w:rPr>
          <w:vertAlign w:val="baseline"/>
        </w:rPr>
        <w:t>Hence he had not suffered, nor would he suffer, any loss of his own, in consequence of the contractor’s breach, and under the “broader ground” it is in respect of his </w:t>
      </w:r>
      <w:r>
        <w:rPr>
          <w:rFonts w:ascii="Arial" w:hAnsi="Arial"/>
          <w:i/>
          <w:vertAlign w:val="baseline"/>
        </w:rPr>
        <w:t>own</w:t>
      </w:r>
      <w:r>
        <w:rPr>
          <w:rFonts w:ascii="Arial" w:hAnsi="Arial"/>
          <w:i/>
          <w:spacing w:val="40"/>
          <w:vertAlign w:val="baseline"/>
        </w:rPr>
        <w:t> </w:t>
      </w:r>
      <w:r>
        <w:rPr>
          <w:vertAlign w:val="baseline"/>
        </w:rPr>
        <w:t>(not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third</w:t>
      </w:r>
      <w:r>
        <w:rPr>
          <w:spacing w:val="-2"/>
          <w:vertAlign w:val="baseline"/>
        </w:rPr>
        <w:t> </w:t>
      </w:r>
      <w:r>
        <w:rPr>
          <w:vertAlign w:val="baseline"/>
        </w:rPr>
        <w:t>party’s)</w:t>
      </w:r>
      <w:r>
        <w:rPr>
          <w:spacing w:val="-2"/>
          <w:vertAlign w:val="baseline"/>
        </w:rPr>
        <w:t> </w:t>
      </w:r>
      <w:r>
        <w:rPr>
          <w:vertAlign w:val="baseline"/>
        </w:rPr>
        <w:t>loss</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promisee</w:t>
      </w:r>
      <w:r>
        <w:rPr>
          <w:spacing w:val="-2"/>
          <w:vertAlign w:val="baseline"/>
        </w:rPr>
        <w:t> </w:t>
      </w:r>
      <w:r>
        <w:rPr>
          <w:vertAlign w:val="baseline"/>
        </w:rPr>
        <w:t>recovers</w:t>
      </w:r>
      <w:r>
        <w:rPr>
          <w:spacing w:val="-2"/>
          <w:vertAlign w:val="baseline"/>
        </w:rPr>
        <w:t> </w:t>
      </w:r>
      <w:r>
        <w:rPr>
          <w:vertAlign w:val="baseline"/>
        </w:rPr>
        <w:t>damages.</w:t>
      </w:r>
      <w:r>
        <w:rPr>
          <w:spacing w:val="-2"/>
          <w:vertAlign w:val="baseline"/>
        </w:rPr>
        <w:t> </w:t>
      </w:r>
      <w:r>
        <w:rPr>
          <w:vertAlign w:val="baseline"/>
        </w:rPr>
        <w:t>This</w:t>
      </w:r>
      <w:r>
        <w:rPr>
          <w:spacing w:val="-2"/>
          <w:vertAlign w:val="baseline"/>
        </w:rPr>
        <w:t> </w:t>
      </w:r>
      <w:r>
        <w:rPr>
          <w:vertAlign w:val="baseline"/>
        </w:rPr>
        <w:t>conclusion</w:t>
      </w:r>
      <w:r>
        <w:rPr>
          <w:spacing w:val="-2"/>
          <w:vertAlign w:val="baseline"/>
        </w:rPr>
        <w:t> </w:t>
      </w:r>
      <w:r>
        <w:rPr>
          <w:vertAlign w:val="baseline"/>
        </w:rPr>
        <w:t>can,</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facts</w:t>
      </w:r>
      <w:r>
        <w:rPr>
          <w:spacing w:val="-2"/>
          <w:vertAlign w:val="baseline"/>
        </w:rPr>
        <w:t> </w:t>
      </w:r>
      <w:r>
        <w:rPr>
          <w:vertAlign w:val="baseline"/>
        </w:rPr>
        <w:t>of the </w:t>
      </w:r>
      <w:r>
        <w:rPr>
          <w:rFonts w:ascii="Arial" w:hAnsi="Arial"/>
          <w:i/>
          <w:vertAlign w:val="baseline"/>
        </w:rPr>
        <w:t>Panatown </w:t>
      </w:r>
      <w:r>
        <w:rPr>
          <w:vertAlign w:val="baseline"/>
        </w:rPr>
        <w:t>case, be supported for two further reasons. First, the creation or extension of </w:t>
      </w:r>
      <w:bookmarkStart w:name="_bookmark665" w:id="667"/>
      <w:bookmarkEnd w:id="667"/>
      <w:r>
        <w:rPr>
          <w:vertAlign w:val="baseline"/>
        </w:rPr>
        <w:t>exceptions</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general</w:t>
      </w:r>
      <w:r>
        <w:rPr>
          <w:spacing w:val="21"/>
          <w:vertAlign w:val="baseline"/>
        </w:rPr>
        <w:t> </w:t>
      </w:r>
      <w:r>
        <w:rPr>
          <w:vertAlign w:val="baseline"/>
        </w:rPr>
        <w:t>rule</w:t>
      </w:r>
      <w:r>
        <w:rPr>
          <w:spacing w:val="21"/>
          <w:vertAlign w:val="baseline"/>
        </w:rPr>
        <w:t> </w:t>
      </w:r>
      <w:r>
        <w:rPr>
          <w:vertAlign w:val="baseline"/>
        </w:rPr>
        <w:t>that</w:t>
      </w:r>
      <w:r>
        <w:rPr>
          <w:spacing w:val="21"/>
          <w:vertAlign w:val="baseline"/>
        </w:rPr>
        <w:t> </w:t>
      </w:r>
      <w:r>
        <w:rPr>
          <w:vertAlign w:val="baseline"/>
        </w:rPr>
        <w:t>a</w:t>
      </w:r>
      <w:r>
        <w:rPr>
          <w:spacing w:val="21"/>
          <w:vertAlign w:val="baseline"/>
        </w:rPr>
        <w:t> </w:t>
      </w:r>
      <w:r>
        <w:rPr>
          <w:vertAlign w:val="baseline"/>
        </w:rPr>
        <w:t>party</w:t>
      </w:r>
      <w:r>
        <w:rPr>
          <w:spacing w:val="21"/>
          <w:vertAlign w:val="baseline"/>
        </w:rPr>
        <w:t> </w:t>
      </w:r>
      <w:r>
        <w:rPr>
          <w:vertAlign w:val="baseline"/>
        </w:rPr>
        <w:t>can</w:t>
      </w:r>
      <w:r>
        <w:rPr>
          <w:spacing w:val="21"/>
          <w:vertAlign w:val="baseline"/>
        </w:rPr>
        <w:t> </w:t>
      </w:r>
      <w:r>
        <w:rPr>
          <w:vertAlign w:val="baseline"/>
        </w:rPr>
        <w:t>recover</w:t>
      </w:r>
      <w:r>
        <w:rPr>
          <w:spacing w:val="21"/>
          <w:vertAlign w:val="baseline"/>
        </w:rPr>
        <w:t> </w:t>
      </w:r>
      <w:r>
        <w:rPr>
          <w:vertAlign w:val="baseline"/>
        </w:rPr>
        <w:t>damages</w:t>
      </w:r>
      <w:r>
        <w:rPr>
          <w:spacing w:val="21"/>
          <w:vertAlign w:val="baseline"/>
        </w:rPr>
        <w:t> </w:t>
      </w:r>
      <w:r>
        <w:rPr>
          <w:vertAlign w:val="baseline"/>
        </w:rPr>
        <w:t>only</w:t>
      </w:r>
      <w:r>
        <w:rPr>
          <w:spacing w:val="21"/>
          <w:vertAlign w:val="baseline"/>
        </w:rPr>
        <w:t> </w:t>
      </w:r>
      <w:r>
        <w:rPr>
          <w:vertAlign w:val="baseline"/>
        </w:rPr>
        <w:t>in</w:t>
      </w:r>
      <w:r>
        <w:rPr>
          <w:spacing w:val="21"/>
          <w:vertAlign w:val="baseline"/>
        </w:rPr>
        <w:t> </w:t>
      </w:r>
      <w:r>
        <w:rPr>
          <w:vertAlign w:val="baseline"/>
        </w:rPr>
        <w:t>respect</w:t>
      </w:r>
      <w:r>
        <w:rPr>
          <w:spacing w:val="21"/>
          <w:vertAlign w:val="baseline"/>
        </w:rPr>
        <w:t> </w:t>
      </w:r>
      <w:r>
        <w:rPr>
          <w:vertAlign w:val="baseline"/>
        </w:rPr>
        <w:t>of</w:t>
      </w:r>
      <w:r>
        <w:rPr>
          <w:spacing w:val="21"/>
          <w:vertAlign w:val="baseline"/>
        </w:rPr>
        <w:t> </w:t>
      </w:r>
      <w:r>
        <w:rPr>
          <w:vertAlign w:val="baseline"/>
        </w:rPr>
        <w:t>his</w:t>
      </w:r>
      <w:r>
        <w:rPr>
          <w:spacing w:val="21"/>
          <w:vertAlign w:val="baseline"/>
        </w:rPr>
        <w:t> </w:t>
      </w:r>
      <w:r>
        <w:rPr>
          <w:vertAlign w:val="baseline"/>
        </w:rPr>
        <w:t>own</w:t>
      </w:r>
      <w:r>
        <w:rPr>
          <w:spacing w:val="21"/>
          <w:vertAlign w:val="baseline"/>
        </w:rPr>
        <w:t> </w:t>
      </w:r>
      <w:r>
        <w:rPr>
          <w:vertAlign w:val="baseline"/>
        </w:rPr>
        <w:t>loss</w:t>
      </w:r>
      <w:r>
        <w:rPr>
          <w:spacing w:val="21"/>
          <w:vertAlign w:val="baseline"/>
        </w:rPr>
        <w:t> </w:t>
      </w:r>
      <w:r>
        <w:rPr>
          <w:spacing w:val="-5"/>
          <w:vertAlign w:val="baseline"/>
        </w:rPr>
        <w:t>is,</w:t>
      </w:r>
    </w:p>
    <w:p>
      <w:pPr>
        <w:pStyle w:val="BodyText"/>
        <w:spacing w:line="235" w:lineRule="auto" w:before="117"/>
        <w:ind w:left="164" w:right="167"/>
        <w:jc w:val="both"/>
      </w:pPr>
      <w:r>
        <w:rPr/>
        <w:t>and should be, driven and limited by necessity </w:t>
      </w:r>
      <w:r>
        <w:rPr>
          <w:color w:val="005DA1"/>
          <w:u w:val="single" w:color="005DA1"/>
          <w:vertAlign w:val="superscript"/>
        </w:rPr>
        <w:t>411</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vertAlign w:val="baseline"/>
        </w:rPr>
        <w:t>: that is, by the need to guard against the risk of </w:t>
      </w:r>
      <w:bookmarkStart w:name="_bookmark666" w:id="668"/>
      <w:bookmarkEnd w:id="668"/>
      <w:r>
        <w:rPr>
          <w:vertAlign w:val="baseline"/>
        </w:rPr>
        <w:t>“legal</w:t>
      </w:r>
      <w:r>
        <w:rPr>
          <w:vertAlign w:val="baseline"/>
        </w:rPr>
        <w:t> black holes” of the kind described in para.18-053 above; and in the </w:t>
      </w:r>
      <w:r>
        <w:rPr>
          <w:rFonts w:ascii="Arial" w:hAnsi="Arial"/>
          <w:i/>
          <w:vertAlign w:val="baseline"/>
        </w:rPr>
        <w:t>Panatown </w:t>
      </w:r>
      <w:r>
        <w:rPr>
          <w:vertAlign w:val="baseline"/>
        </w:rPr>
        <w:t>case there was no such risk. </w:t>
      </w:r>
      <w:r>
        <w:rPr>
          <w:color w:val="005DA1"/>
          <w:u w:val="single" w:color="005DA1"/>
          <w:vertAlign w:val="superscript"/>
        </w:rPr>
        <w:t>412</w:t>
      </w:r>
      <w:r>
        <w:rPr>
          <w:color w:val="005DA1"/>
          <w:vertAlign w:val="baseline"/>
        </w:rPr>
        <w:t> </w:t>
      </w:r>
      <w:r>
        <w:rPr>
          <w:vertAlign w:val="baseline"/>
        </w:rPr>
        <w:t>Secondly, the decision gives effect to the “contractual scheme” </w:t>
      </w:r>
      <w:r>
        <w:rPr>
          <w:color w:val="005DA1"/>
          <w:u w:val="single" w:color="005DA1"/>
          <w:vertAlign w:val="superscript"/>
        </w:rPr>
        <w:t>413</w:t>
      </w:r>
      <w:r>
        <w:rPr>
          <w:color w:val="005DA1"/>
          <w:vertAlign w:val="baseline"/>
        </w:rPr>
        <w:t> </w:t>
      </w:r>
      <w:r>
        <w:rPr>
          <w:vertAlign w:val="baseline"/>
        </w:rPr>
        <w:t>created by the parties;</w:t>
      </w:r>
      <w:r>
        <w:rPr>
          <w:spacing w:val="-1"/>
          <w:vertAlign w:val="baseline"/>
        </w:rPr>
        <w:t> </w:t>
      </w:r>
      <w:r>
        <w:rPr>
          <w:vertAlign w:val="baseline"/>
        </w:rPr>
        <w:t>and</w:t>
      </w:r>
      <w:r>
        <w:rPr>
          <w:spacing w:val="-1"/>
          <w:vertAlign w:val="baseline"/>
        </w:rPr>
        <w:t> </w:t>
      </w:r>
      <w:r>
        <w:rPr>
          <w:vertAlign w:val="baseline"/>
        </w:rPr>
        <w:t>this</w:t>
      </w:r>
      <w:r>
        <w:rPr>
          <w:spacing w:val="-1"/>
          <w:vertAlign w:val="baseline"/>
        </w:rPr>
        <w:t> </w:t>
      </w:r>
      <w:r>
        <w:rPr>
          <w:vertAlign w:val="baseline"/>
        </w:rPr>
        <w:t>point,</w:t>
      </w:r>
      <w:r>
        <w:rPr>
          <w:spacing w:val="-1"/>
          <w:vertAlign w:val="baseline"/>
        </w:rPr>
        <w:t> </w:t>
      </w:r>
      <w:r>
        <w:rPr>
          <w:vertAlign w:val="baseline"/>
        </w:rPr>
        <w:t>so</w:t>
      </w:r>
      <w:r>
        <w:rPr>
          <w:spacing w:val="-1"/>
          <w:vertAlign w:val="baseline"/>
        </w:rPr>
        <w:t> </w:t>
      </w:r>
      <w:r>
        <w:rPr>
          <w:vertAlign w:val="baseline"/>
        </w:rPr>
        <w:t>far</w:t>
      </w:r>
      <w:r>
        <w:rPr>
          <w:spacing w:val="-1"/>
          <w:vertAlign w:val="baseline"/>
        </w:rPr>
        <w:t> </w:t>
      </w:r>
      <w:r>
        <w:rPr>
          <w:vertAlign w:val="baseline"/>
        </w:rPr>
        <w:t>from</w:t>
      </w:r>
      <w:r>
        <w:rPr>
          <w:spacing w:val="-1"/>
          <w:vertAlign w:val="baseline"/>
        </w:rPr>
        <w:t> </w:t>
      </w:r>
      <w:r>
        <w:rPr>
          <w:vertAlign w:val="baseline"/>
        </w:rPr>
        <w:t>being</w:t>
      </w:r>
      <w:r>
        <w:rPr>
          <w:spacing w:val="-1"/>
          <w:vertAlign w:val="baseline"/>
        </w:rPr>
        <w:t> </w:t>
      </w:r>
      <w:r>
        <w:rPr>
          <w:vertAlign w:val="baseline"/>
        </w:rPr>
        <w:t>undermined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contractor’s</w:t>
      </w:r>
      <w:r>
        <w:rPr>
          <w:spacing w:val="-1"/>
          <w:vertAlign w:val="baseline"/>
        </w:rPr>
        <w:t> </w:t>
      </w:r>
      <w:r>
        <w:rPr>
          <w:vertAlign w:val="baseline"/>
        </w:rPr>
        <w:t>obligations</w:t>
      </w:r>
      <w:r>
        <w:rPr>
          <w:spacing w:val="-1"/>
          <w:vertAlign w:val="baseline"/>
        </w:rPr>
        <w:t> </w:t>
      </w:r>
      <w:r>
        <w:rPr>
          <w:vertAlign w:val="baseline"/>
        </w:rPr>
        <w:t>to</w:t>
      </w:r>
      <w:r>
        <w:rPr>
          <w:spacing w:val="-1"/>
          <w:vertAlign w:val="baseline"/>
        </w:rPr>
        <w:t> </w:t>
      </w:r>
      <w:r>
        <w:rPr>
          <w:vertAlign w:val="baseline"/>
        </w:rPr>
        <w:t>the owner under the Duty of Care Deed were not precisely co-terminous with his obligations to </w:t>
      </w:r>
      <w:r>
        <w:rPr>
          <w:vertAlign w:val="baseline"/>
        </w:rPr>
        <w:t>the </w:t>
      </w:r>
      <w:bookmarkStart w:name="_bookmark667" w:id="669"/>
      <w:bookmarkEnd w:id="669"/>
      <w:r>
        <w:rPr>
          <w:vertAlign w:val="baseline"/>
        </w:rPr>
        <w:t>employer</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building</w:t>
      </w:r>
      <w:r>
        <w:rPr>
          <w:spacing w:val="-1"/>
          <w:vertAlign w:val="baseline"/>
        </w:rPr>
        <w:t> </w:t>
      </w:r>
      <w:r>
        <w:rPr>
          <w:vertAlign w:val="baseline"/>
        </w:rPr>
        <w:t>contract,</w:t>
      </w:r>
      <w:r>
        <w:rPr>
          <w:spacing w:val="-1"/>
          <w:vertAlign w:val="baseline"/>
        </w:rPr>
        <w:t> </w:t>
      </w:r>
      <w:r>
        <w:rPr>
          <w:vertAlign w:val="baseline"/>
        </w:rPr>
        <w:t>is</w:t>
      </w:r>
      <w:r>
        <w:rPr>
          <w:spacing w:val="-1"/>
          <w:vertAlign w:val="baseline"/>
        </w:rPr>
        <w:t> </w:t>
      </w:r>
      <w:r>
        <w:rPr>
          <w:vertAlign w:val="baseline"/>
        </w:rPr>
        <w:t>reinforced</w:t>
      </w:r>
      <w:r>
        <w:rPr>
          <w:spacing w:val="-1"/>
          <w:vertAlign w:val="baseline"/>
        </w:rPr>
        <w:t> </w:t>
      </w:r>
      <w:r>
        <w:rPr>
          <w:vertAlign w:val="baseline"/>
        </w:rPr>
        <w:t>by</w:t>
      </w:r>
      <w:r>
        <w:rPr>
          <w:spacing w:val="-1"/>
          <w:vertAlign w:val="baseline"/>
        </w:rPr>
        <w:t> </w:t>
      </w:r>
      <w:r>
        <w:rPr>
          <w:vertAlign w:val="baseline"/>
        </w:rPr>
        <w:t>this</w:t>
      </w:r>
      <w:r>
        <w:rPr>
          <w:spacing w:val="-1"/>
          <w:vertAlign w:val="baseline"/>
        </w:rPr>
        <w:t> </w:t>
      </w:r>
      <w:r>
        <w:rPr>
          <w:vertAlign w:val="baseline"/>
        </w:rPr>
        <w:t>fact.</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had</w:t>
      </w:r>
      <w:r>
        <w:rPr>
          <w:spacing w:val="-1"/>
          <w:vertAlign w:val="baseline"/>
        </w:rPr>
        <w:t> </w:t>
      </w:r>
      <w:r>
        <w:rPr>
          <w:vertAlign w:val="baseline"/>
        </w:rPr>
        <w:t>taken</w:t>
      </w:r>
      <w:r>
        <w:rPr>
          <w:spacing w:val="-1"/>
          <w:vertAlign w:val="baseline"/>
        </w:rPr>
        <w:t> </w:t>
      </w:r>
      <w:r>
        <w:rPr>
          <w:vertAlign w:val="baseline"/>
        </w:rPr>
        <w:t>the</w:t>
      </w:r>
      <w:r>
        <w:rPr>
          <w:spacing w:val="-1"/>
          <w:vertAlign w:val="baseline"/>
        </w:rPr>
        <w:t> </w:t>
      </w:r>
      <w:r>
        <w:rPr>
          <w:vertAlign w:val="baseline"/>
        </w:rPr>
        <w:t>“plain</w:t>
      </w:r>
      <w:r>
        <w:rPr>
          <w:spacing w:val="-1"/>
          <w:vertAlign w:val="baseline"/>
        </w:rPr>
        <w:t> </w:t>
      </w:r>
      <w:r>
        <w:rPr>
          <w:vertAlign w:val="baseline"/>
        </w:rPr>
        <w:t>and deliberate</w:t>
      </w:r>
      <w:r>
        <w:rPr>
          <w:spacing w:val="-3"/>
          <w:vertAlign w:val="baseline"/>
        </w:rPr>
        <w:t> </w:t>
      </w:r>
      <w:r>
        <w:rPr>
          <w:vertAlign w:val="baseline"/>
        </w:rPr>
        <w:t>course”</w:t>
      </w:r>
      <w:r>
        <w:rPr>
          <w:spacing w:val="-4"/>
          <w:vertAlign w:val="baseline"/>
        </w:rPr>
        <w:t> </w:t>
      </w:r>
      <w:r>
        <w:rPr>
          <w:color w:val="005DA1"/>
          <w:u w:val="single" w:color="005DA1"/>
          <w:vertAlign w:val="superscript"/>
        </w:rPr>
        <w:t>414</w:t>
      </w:r>
      <w:r>
        <w:rPr>
          <w:color w:val="005DA1"/>
          <w:spacing w:val="-3"/>
          <w:vertAlign w:val="baseline"/>
        </w:rPr>
        <w:t> </w:t>
      </w:r>
      <w:r>
        <w:rPr>
          <w:vertAlign w:val="baseline"/>
        </w:rPr>
        <w:t>of</w:t>
      </w:r>
      <w:r>
        <w:rPr>
          <w:spacing w:val="-3"/>
          <w:vertAlign w:val="baseline"/>
        </w:rPr>
        <w:t> </w:t>
      </w:r>
      <w:r>
        <w:rPr>
          <w:vertAlign w:val="baseline"/>
        </w:rPr>
        <w:t>giving</w:t>
      </w:r>
      <w:r>
        <w:rPr>
          <w:spacing w:val="-3"/>
          <w:vertAlign w:val="baseline"/>
        </w:rPr>
        <w:t> </w:t>
      </w:r>
      <w:r>
        <w:rPr>
          <w:vertAlign w:val="baseline"/>
        </w:rPr>
        <w:t>the</w:t>
      </w:r>
      <w:r>
        <w:rPr>
          <w:spacing w:val="-3"/>
          <w:vertAlign w:val="baseline"/>
        </w:rPr>
        <w:t> </w:t>
      </w:r>
      <w:r>
        <w:rPr>
          <w:vertAlign w:val="baseline"/>
        </w:rPr>
        <w:t>owner</w:t>
      </w:r>
      <w:r>
        <w:rPr>
          <w:spacing w:val="-3"/>
          <w:vertAlign w:val="baseline"/>
        </w:rPr>
        <w:t> </w:t>
      </w:r>
      <w:r>
        <w:rPr>
          <w:vertAlign w:val="baseline"/>
        </w:rPr>
        <w:t>a</w:t>
      </w:r>
      <w:r>
        <w:rPr>
          <w:spacing w:val="-3"/>
          <w:vertAlign w:val="baseline"/>
        </w:rPr>
        <w:t> </w:t>
      </w:r>
      <w:r>
        <w:rPr>
          <w:vertAlign w:val="baseline"/>
        </w:rPr>
        <w:t>“distinct</w:t>
      </w:r>
      <w:r>
        <w:rPr>
          <w:spacing w:val="-3"/>
          <w:vertAlign w:val="baseline"/>
        </w:rPr>
        <w:t> </w:t>
      </w:r>
      <w:r>
        <w:rPr>
          <w:vertAlign w:val="baseline"/>
        </w:rPr>
        <w:t>entitlement”</w:t>
      </w:r>
      <w:r>
        <w:rPr>
          <w:spacing w:val="-4"/>
          <w:vertAlign w:val="baseline"/>
        </w:rPr>
        <w:t> </w:t>
      </w:r>
      <w:r>
        <w:rPr>
          <w:color w:val="005DA1"/>
          <w:u w:val="single" w:color="005DA1"/>
          <w:vertAlign w:val="superscript"/>
        </w:rPr>
        <w:t>415</w:t>
      </w:r>
      <w:r>
        <w:rPr>
          <w:color w:val="005DA1"/>
          <w:spacing w:val="-3"/>
          <w:vertAlign w:val="baseline"/>
        </w:rPr>
        <w:t> </w:t>
      </w:r>
      <w:r>
        <w:rPr>
          <w:vertAlign w:val="baseline"/>
        </w:rPr>
        <w:t>against</w:t>
      </w:r>
      <w:r>
        <w:rPr>
          <w:spacing w:val="-3"/>
          <w:vertAlign w:val="baseline"/>
        </w:rPr>
        <w:t> </w:t>
      </w:r>
      <w:r>
        <w:rPr>
          <w:vertAlign w:val="baseline"/>
        </w:rPr>
        <w:t>the</w:t>
      </w:r>
      <w:r>
        <w:rPr>
          <w:spacing w:val="-3"/>
          <w:vertAlign w:val="baseline"/>
        </w:rPr>
        <w:t> </w:t>
      </w:r>
      <w:r>
        <w:rPr>
          <w:vertAlign w:val="baseline"/>
        </w:rPr>
        <w:t>contractor</w:t>
      </w:r>
      <w:r>
        <w:rPr>
          <w:spacing w:val="-3"/>
          <w:vertAlign w:val="baseline"/>
        </w:rPr>
        <w:t> </w:t>
      </w:r>
      <w:r>
        <w:rPr>
          <w:vertAlign w:val="baseline"/>
        </w:rPr>
        <w:t>in</w:t>
      </w:r>
      <w:r>
        <w:rPr>
          <w:spacing w:val="-3"/>
          <w:vertAlign w:val="baseline"/>
        </w:rPr>
        <w:t> </w:t>
      </w:r>
      <w:r>
        <w:rPr>
          <w:vertAlign w:val="baseline"/>
        </w:rPr>
        <w:t>respect</w:t>
      </w:r>
      <w:r>
        <w:rPr>
          <w:spacing w:val="-3"/>
          <w:vertAlign w:val="baseline"/>
        </w:rPr>
        <w:t> </w:t>
      </w:r>
      <w:r>
        <w:rPr>
          <w:vertAlign w:val="baseline"/>
        </w:rPr>
        <w:t>of defects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work,</w:t>
      </w:r>
      <w:r>
        <w:rPr>
          <w:spacing w:val="-1"/>
          <w:vertAlign w:val="baseline"/>
        </w:rPr>
        <w:t> </w:t>
      </w:r>
      <w:r>
        <w:rPr>
          <w:vertAlign w:val="baseline"/>
        </w:rPr>
        <w:t>and</w:t>
      </w:r>
      <w:r>
        <w:rPr>
          <w:spacing w:val="-1"/>
          <w:vertAlign w:val="baseline"/>
        </w:rPr>
        <w:t> </w:t>
      </w:r>
      <w:r>
        <w:rPr>
          <w:vertAlign w:val="baseline"/>
        </w:rPr>
        <w:t>as</w:t>
      </w:r>
      <w:r>
        <w:rPr>
          <w:spacing w:val="-1"/>
          <w:vertAlign w:val="baseline"/>
        </w:rPr>
        <w:t> </w:t>
      </w:r>
      <w:r>
        <w:rPr>
          <w:vertAlign w:val="baseline"/>
        </w:rPr>
        <w:t>this</w:t>
      </w:r>
      <w:r>
        <w:rPr>
          <w:spacing w:val="-1"/>
          <w:vertAlign w:val="baseline"/>
        </w:rPr>
        <w:t> </w:t>
      </w:r>
      <w:r>
        <w:rPr>
          <w:vertAlign w:val="baseline"/>
        </w:rPr>
        <w:t>entitlement</w:t>
      </w:r>
      <w:r>
        <w:rPr>
          <w:spacing w:val="-1"/>
          <w:vertAlign w:val="baseline"/>
        </w:rPr>
        <w:t> </w:t>
      </w:r>
      <w:r>
        <w:rPr>
          <w:vertAlign w:val="baseline"/>
        </w:rPr>
        <w:t>was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governed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terms</w:t>
      </w:r>
      <w:r>
        <w:rPr>
          <w:spacing w:val="-1"/>
          <w:vertAlign w:val="baseline"/>
        </w:rPr>
        <w:t> </w:t>
      </w:r>
      <w:r>
        <w:rPr>
          <w:vertAlign w:val="baseline"/>
        </w:rPr>
        <w:t>of</w:t>
      </w:r>
      <w:r>
        <w:rPr>
          <w:spacing w:val="-1"/>
          <w:vertAlign w:val="baseline"/>
        </w:rPr>
        <w:t> </w:t>
      </w:r>
      <w:r>
        <w:rPr>
          <w:vertAlign w:val="baseline"/>
        </w:rPr>
        <w:t>one</w:t>
      </w:r>
      <w:r>
        <w:rPr>
          <w:spacing w:val="-1"/>
          <w:vertAlign w:val="baseline"/>
        </w:rPr>
        <w:t> </w:t>
      </w:r>
      <w:r>
        <w:rPr>
          <w:vertAlign w:val="baseline"/>
        </w:rPr>
        <w:t>contract</w:t>
      </w:r>
      <w:r>
        <w:rPr>
          <w:spacing w:val="-1"/>
          <w:vertAlign w:val="baseline"/>
        </w:rPr>
        <w:t> </w:t>
      </w:r>
      <w:r>
        <w:rPr>
          <w:vertAlign w:val="baseline"/>
        </w:rPr>
        <w:t>(the</w:t>
      </w:r>
      <w:r>
        <w:rPr>
          <w:spacing w:val="-1"/>
          <w:vertAlign w:val="baseline"/>
        </w:rPr>
        <w:t> </w:t>
      </w:r>
      <w:r>
        <w:rPr>
          <w:vertAlign w:val="baseline"/>
        </w:rPr>
        <w:t>Duty of Care Deed), it followed that there was no good practical reason for holding the contractor liable in respect of the same defects on the terms of another contract (the building contract) for substantial damages to the employer, to whom these defects had caused no loss of his own. The fact that the “general rule” stated in para.18-051 above has been the subject of frequent judicial disapproval no doubt gives rise to the temptation to continue the process of eroding it by creating new or extending existing exceptions to it. But that criticism has occurred mainly in cases in which the third party problem was an inescapable consequence of normal commercial factors such as those which existed in the </w:t>
      </w:r>
      <w:r>
        <w:rPr>
          <w:rFonts w:ascii="Arial" w:hAnsi="Arial"/>
          <w:i/>
          <w:vertAlign w:val="baseline"/>
        </w:rPr>
        <w:t>Linden Gardens </w:t>
      </w:r>
      <w:r>
        <w:rPr>
          <w:vertAlign w:val="baseline"/>
        </w:rPr>
        <w:t>case. The pressure for eroding the unpopular general rule is much less strong </w:t>
      </w:r>
      <w:bookmarkStart w:name="_bookmark668" w:id="670"/>
      <w:bookmarkEnd w:id="670"/>
      <w:r>
        <w:rPr>
          <w:vertAlign w:val="baseline"/>
        </w:rPr>
        <w:t>where</w:t>
      </w:r>
      <w:r>
        <w:rPr>
          <w:vertAlign w:val="baseline"/>
        </w:rPr>
        <w:t> the third party problem is, so to speak, manufactured by the parties for an ulterior motive, such as avoiding Government restrictions on borrowing, as in the </w:t>
      </w:r>
      <w:r>
        <w:rPr>
          <w:rFonts w:ascii="Arial" w:hAnsi="Arial"/>
          <w:i/>
          <w:vertAlign w:val="baseline"/>
        </w:rPr>
        <w:t>Darlington </w:t>
      </w:r>
      <w:r>
        <w:rPr>
          <w:vertAlign w:val="baseline"/>
        </w:rPr>
        <w:t>case, or avoiding tax, </w:t>
      </w:r>
      <w:r>
        <w:rPr>
          <w:color w:val="005DA1"/>
          <w:u w:val="single" w:color="005DA1"/>
          <w:vertAlign w:val="superscript"/>
        </w:rPr>
        <w:t>416</w:t>
      </w:r>
      <w:r>
        <w:rPr>
          <w:color w:val="005DA1"/>
          <w:vertAlign w:val="baseline"/>
        </w:rPr>
        <w:t> </w:t>
      </w:r>
      <w:r>
        <w:rPr>
          <w:vertAlign w:val="baseline"/>
        </w:rPr>
        <w:t>as in the </w:t>
      </w:r>
      <w:r>
        <w:rPr>
          <w:rFonts w:ascii="Arial" w:hAnsi="Arial"/>
          <w:i/>
          <w:vertAlign w:val="baseline"/>
        </w:rPr>
        <w:t>Panatown </w:t>
      </w:r>
      <w:r>
        <w:rPr>
          <w:vertAlign w:val="baseline"/>
        </w:rPr>
        <w:t>case, where, in the view of the majority, any such pressure was eliminated for the further reason that the third party had his own contractual remedy against the party in breach under a separate contract between these parties.</w:t>
      </w:r>
    </w:p>
    <w:p>
      <w:pPr>
        <w:pStyle w:val="BodyText"/>
      </w:pPr>
    </w:p>
    <w:p>
      <w:pPr>
        <w:pStyle w:val="BodyText"/>
        <w:spacing w:before="30"/>
      </w:pPr>
    </w:p>
    <w:p>
      <w:pPr>
        <w:spacing w:before="0"/>
        <w:ind w:left="164" w:right="0" w:firstLine="0"/>
        <w:jc w:val="both"/>
        <w:rPr>
          <w:rFonts w:ascii="Arial"/>
          <w:b/>
          <w:sz w:val="18"/>
        </w:rPr>
      </w:pPr>
      <w:r>
        <w:rPr>
          <w:rFonts w:ascii="Arial"/>
          <w:b/>
          <w:sz w:val="18"/>
        </w:rPr>
        <w:t>Outstanding </w:t>
      </w:r>
      <w:r>
        <w:rPr>
          <w:rFonts w:ascii="Arial"/>
          <w:b/>
          <w:spacing w:val="-2"/>
          <w:sz w:val="18"/>
        </w:rPr>
        <w:t>problems</w:t>
      </w:r>
    </w:p>
    <w:p>
      <w:pPr>
        <w:pStyle w:val="BodyText"/>
        <w:spacing w:before="41"/>
        <w:rPr>
          <w:rFonts w:ascii="Arial"/>
          <w:b/>
          <w:sz w:val="18"/>
        </w:rPr>
      </w:pPr>
    </w:p>
    <w:p>
      <w:pPr>
        <w:pStyle w:val="Heading2"/>
        <w:spacing w:before="1"/>
        <w:ind w:left="164"/>
      </w:pPr>
      <w:r>
        <w:rPr/>
        <w:t>18-</w:t>
      </w:r>
      <w:r>
        <w:rPr>
          <w:spacing w:val="-5"/>
        </w:rPr>
        <w:t>062</w:t>
      </w:r>
    </w:p>
    <w:p>
      <w:pPr>
        <w:pStyle w:val="BodyText"/>
        <w:spacing w:line="235" w:lineRule="auto" w:before="202"/>
        <w:ind w:left="164" w:right="167"/>
        <w:jc w:val="both"/>
      </w:pPr>
      <w:r>
        <w:rPr/>
        <w:t>The </w:t>
      </w:r>
      <w:r>
        <w:rPr>
          <w:rFonts w:ascii="Arial"/>
          <w:i/>
        </w:rPr>
        <w:t>Panatown </w:t>
      </w:r>
      <w:r>
        <w:rPr/>
        <w:t>case is significant not only for the points it decides, but also for those which it leaves open. Some of these are discussed in paras 18-063 to 18-073 below.</w:t>
      </w:r>
    </w:p>
    <w:p>
      <w:pPr>
        <w:pStyle w:val="BodyText"/>
      </w:pPr>
    </w:p>
    <w:p>
      <w:pPr>
        <w:pStyle w:val="BodyText"/>
        <w:spacing w:before="38"/>
      </w:pPr>
    </w:p>
    <w:p>
      <w:pPr>
        <w:spacing w:before="0"/>
        <w:ind w:left="164" w:right="0" w:firstLine="0"/>
        <w:jc w:val="left"/>
        <w:rPr>
          <w:rFonts w:ascii="Arial" w:hAnsi="Arial"/>
          <w:b/>
          <w:sz w:val="18"/>
        </w:rPr>
      </w:pPr>
      <w:r>
        <w:rPr>
          <w:rFonts w:ascii="Arial" w:hAnsi="Arial"/>
          <w:b/>
          <w:sz w:val="18"/>
        </w:rPr>
        <w:t>Status of the “broader </w:t>
      </w:r>
      <w:r>
        <w:rPr>
          <w:rFonts w:ascii="Arial" w:hAnsi="Arial"/>
          <w:b/>
          <w:spacing w:val="-2"/>
          <w:sz w:val="18"/>
        </w:rPr>
        <w:t>ground”</w:t>
      </w:r>
    </w:p>
    <w:p>
      <w:pPr>
        <w:pStyle w:val="BodyText"/>
        <w:spacing w:before="41"/>
        <w:rPr>
          <w:rFonts w:ascii="Arial"/>
          <w:b/>
          <w:sz w:val="18"/>
        </w:rPr>
      </w:pPr>
    </w:p>
    <w:p>
      <w:pPr>
        <w:pStyle w:val="Heading2"/>
        <w:ind w:left="164"/>
      </w:pPr>
      <w:r>
        <w:rPr/>
        <w:t>18-</w:t>
      </w:r>
      <w:r>
        <w:rPr>
          <w:spacing w:val="-5"/>
        </w:rPr>
        <w:t>063</w:t>
      </w:r>
    </w:p>
    <w:p>
      <w:pPr>
        <w:pStyle w:val="Heading2"/>
        <w:spacing w:after="0"/>
        <w:sectPr>
          <w:pgSz w:w="11900" w:h="16840"/>
          <w:pgMar w:header="971" w:footer="0" w:top="1160" w:bottom="280" w:left="1275" w:right="1275"/>
        </w:sectPr>
      </w:pPr>
    </w:p>
    <w:p>
      <w:pPr>
        <w:pStyle w:val="BodyText"/>
        <w:spacing w:before="124"/>
        <w:rPr>
          <w:rFonts w:ascii="Arial"/>
          <w:b/>
        </w:rPr>
      </w:pPr>
    </w:p>
    <w:p>
      <w:pPr>
        <w:pStyle w:val="BodyText"/>
        <w:spacing w:line="235" w:lineRule="auto" w:before="1"/>
        <w:ind w:left="164" w:right="167"/>
        <w:jc w:val="both"/>
      </w:pPr>
      <w:bookmarkStart w:name="_bookmark669" w:id="671"/>
      <w:bookmarkEnd w:id="671"/>
      <w:r>
        <w:rPr/>
      </w:r>
      <w:bookmarkStart w:name="_bookmark670" w:id="672"/>
      <w:bookmarkEnd w:id="672"/>
      <w:r>
        <w:rPr/>
      </w:r>
      <w:r>
        <w:rPr/>
        <w:t>The first such point relates to the effect of the </w:t>
      </w:r>
      <w:r>
        <w:rPr>
          <w:rFonts w:ascii="Arial" w:hAnsi="Arial"/>
          <w:i/>
        </w:rPr>
        <w:t>Panatown </w:t>
      </w:r>
      <w:r>
        <w:rPr/>
        <w:t>case </w:t>
      </w:r>
      <w:r>
        <w:rPr>
          <w:color w:val="005DA1"/>
          <w:u w:val="single" w:color="005DA1"/>
          <w:vertAlign w:val="superscript"/>
        </w:rPr>
        <w:t>417</w:t>
      </w:r>
      <w:r>
        <w:rPr>
          <w:color w:val="005DA1"/>
          <w:vertAlign w:val="baseline"/>
        </w:rPr>
        <w:t> </w:t>
      </w:r>
      <w:r>
        <w:rPr>
          <w:vertAlign w:val="baseline"/>
        </w:rPr>
        <w:t>on the status of Lord Griffiths’ </w:t>
      </w:r>
      <w:bookmarkStart w:name="_bookmark671" w:id="673"/>
      <w:bookmarkEnd w:id="673"/>
      <w:r>
        <w:rPr>
          <w:vertAlign w:val="baseline"/>
        </w:rPr>
        <w:t>“broader</w:t>
      </w:r>
      <w:r>
        <w:rPr>
          <w:vertAlign w:val="baseline"/>
        </w:rPr>
        <w:t> ground” in the </w:t>
      </w:r>
      <w:r>
        <w:rPr>
          <w:rFonts w:ascii="Arial" w:hAnsi="Arial"/>
          <w:i/>
          <w:vertAlign w:val="baseline"/>
        </w:rPr>
        <w:t>Linden Gardens </w:t>
      </w:r>
      <w:r>
        <w:rPr>
          <w:vertAlign w:val="baseline"/>
        </w:rPr>
        <w:t>case. </w:t>
      </w:r>
      <w:r>
        <w:rPr>
          <w:color w:val="005DA1"/>
          <w:u w:val="single" w:color="005DA1"/>
          <w:vertAlign w:val="superscript"/>
        </w:rPr>
        <w:t>418</w:t>
      </w:r>
      <w:r>
        <w:rPr>
          <w:color w:val="005DA1"/>
          <w:vertAlign w:val="baseline"/>
        </w:rPr>
        <w:t> </w:t>
      </w:r>
      <w:r>
        <w:rPr>
          <w:vertAlign w:val="baseline"/>
        </w:rPr>
        <w:t>This ground forms the basis of the two dissenting </w:t>
      </w:r>
      <w:bookmarkStart w:name="_bookmark672" w:id="674"/>
      <w:bookmarkEnd w:id="674"/>
      <w:r>
        <w:rPr>
          <w:vertAlign w:val="baseline"/>
        </w:rPr>
        <w:t>speeches</w:t>
      </w:r>
      <w:r>
        <w:rPr>
          <w:vertAlign w:val="baseline"/>
        </w:rPr>
        <w:t> </w:t>
      </w:r>
      <w:r>
        <w:rPr>
          <w:color w:val="005DA1"/>
          <w:u w:val="single" w:color="005DA1"/>
          <w:vertAlign w:val="superscript"/>
        </w:rPr>
        <w:t>419</w:t>
      </w:r>
      <w:r>
        <w:rPr>
          <w:color w:val="005DA1"/>
          <w:vertAlign w:val="baseline"/>
        </w:rPr>
        <w:t> </w:t>
      </w:r>
      <w:r>
        <w:rPr>
          <w:vertAlign w:val="baseline"/>
        </w:rPr>
        <w:t>in the </w:t>
      </w:r>
      <w:r>
        <w:rPr>
          <w:rFonts w:ascii="Arial" w:hAnsi="Arial"/>
          <w:i/>
          <w:vertAlign w:val="baseline"/>
        </w:rPr>
        <w:t>Panatown </w:t>
      </w:r>
      <w:r>
        <w:rPr>
          <w:vertAlign w:val="baseline"/>
        </w:rPr>
        <w:t>case, and it is not the subject of any adverse comment from </w:t>
      </w:r>
      <w:r>
        <w:rPr>
          <w:vertAlign w:val="baseline"/>
        </w:rPr>
        <w:t>the majority, </w:t>
      </w:r>
      <w:r>
        <w:rPr>
          <w:color w:val="005DA1"/>
          <w:u w:val="single" w:color="005DA1"/>
          <w:vertAlign w:val="superscript"/>
        </w:rPr>
        <w:t>420</w:t>
      </w:r>
      <w:r>
        <w:rPr>
          <w:color w:val="005DA1"/>
          <w:vertAlign w:val="baseline"/>
        </w:rPr>
        <w:t> </w:t>
      </w:r>
      <w:r>
        <w:rPr>
          <w:vertAlign w:val="baseline"/>
        </w:rPr>
        <w:t>whose speeches do not rule out the possibility of its being applied in the, perhaps more common, situation in which the third party has </w:t>
      </w:r>
      <w:r>
        <w:rPr>
          <w:rFonts w:ascii="Arial" w:hAnsi="Arial"/>
          <w:i/>
          <w:vertAlign w:val="baseline"/>
        </w:rPr>
        <w:t>no </w:t>
      </w:r>
      <w:r>
        <w:rPr>
          <w:vertAlign w:val="baseline"/>
        </w:rPr>
        <w:t>contractual rights of his own against the promisor in respect of loss suffered by him in consequence of the defective services rendered under the contract between promisor and promisee. It seems that, even in such a situation, the majority would deny the </w:t>
      </w:r>
      <w:bookmarkStart w:name="_bookmark673" w:id="675"/>
      <w:bookmarkEnd w:id="675"/>
      <w:r>
        <w:rPr>
          <w:vertAlign w:val="baseline"/>
        </w:rPr>
        <w:t>employer’s</w:t>
      </w:r>
      <w:r>
        <w:rPr>
          <w:vertAlign w:val="baseline"/>
        </w:rPr>
        <w:t> right to recover substantial damages under the “broader ground” unless </w:t>
      </w:r>
      <w:r>
        <w:rPr>
          <w:rFonts w:ascii="Arial" w:hAnsi="Arial"/>
          <w:i/>
          <w:vertAlign w:val="baseline"/>
        </w:rPr>
        <w:t>either </w:t>
      </w:r>
      <w:r>
        <w:rPr>
          <w:vertAlign w:val="baseline"/>
        </w:rPr>
        <w:t>the condition</w:t>
      </w:r>
      <w:r>
        <w:rPr>
          <w:spacing w:val="1"/>
          <w:vertAlign w:val="baseline"/>
        </w:rPr>
        <w:t> </w:t>
      </w:r>
      <w:r>
        <w:rPr>
          <w:vertAlign w:val="baseline"/>
        </w:rPr>
        <w:t>stated</w:t>
      </w:r>
      <w:r>
        <w:rPr>
          <w:spacing w:val="1"/>
          <w:vertAlign w:val="baseline"/>
        </w:rPr>
        <w:t> </w:t>
      </w:r>
      <w:r>
        <w:rPr>
          <w:vertAlign w:val="baseline"/>
        </w:rPr>
        <w:t>by</w:t>
      </w:r>
      <w:r>
        <w:rPr>
          <w:spacing w:val="1"/>
          <w:vertAlign w:val="baseline"/>
        </w:rPr>
        <w:t> </w:t>
      </w:r>
      <w:r>
        <w:rPr>
          <w:vertAlign w:val="baseline"/>
        </w:rPr>
        <w:t>Lord</w:t>
      </w:r>
      <w:r>
        <w:rPr>
          <w:spacing w:val="1"/>
          <w:vertAlign w:val="baseline"/>
        </w:rPr>
        <w:t> </w:t>
      </w:r>
      <w:r>
        <w:rPr>
          <w:vertAlign w:val="baseline"/>
        </w:rPr>
        <w:t>Griffiths</w:t>
      </w:r>
      <w:r>
        <w:rPr>
          <w:spacing w:val="1"/>
          <w:vertAlign w:val="baseline"/>
        </w:rPr>
        <w:t> </w:t>
      </w:r>
      <w:r>
        <w:rPr>
          <w:vertAlign w:val="baseline"/>
        </w:rPr>
        <w:t>is</w:t>
      </w:r>
      <w:r>
        <w:rPr>
          <w:spacing w:val="1"/>
          <w:vertAlign w:val="baseline"/>
        </w:rPr>
        <w:t> </w:t>
      </w:r>
      <w:r>
        <w:rPr>
          <w:vertAlign w:val="baseline"/>
        </w:rPr>
        <w:t>satisfied,</w:t>
      </w:r>
      <w:r>
        <w:rPr>
          <w:spacing w:val="1"/>
          <w:vertAlign w:val="baseline"/>
        </w:rPr>
        <w:t> </w:t>
      </w:r>
      <w:r>
        <w:rPr>
          <w:vertAlign w:val="baseline"/>
        </w:rPr>
        <w:t>i.e.</w:t>
      </w:r>
      <w:r>
        <w:rPr>
          <w:spacing w:val="1"/>
          <w:vertAlign w:val="baseline"/>
        </w:rPr>
        <w:t> </w:t>
      </w:r>
      <w:r>
        <w:rPr>
          <w:vertAlign w:val="baseline"/>
        </w:rPr>
        <w:t>“the</w:t>
      </w:r>
      <w:r>
        <w:rPr>
          <w:spacing w:val="1"/>
          <w:vertAlign w:val="baseline"/>
        </w:rPr>
        <w:t> </w:t>
      </w:r>
      <w:r>
        <w:rPr>
          <w:vertAlign w:val="baseline"/>
        </w:rPr>
        <w:t>repairs</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or</w:t>
      </w:r>
      <w:r>
        <w:rPr>
          <w:spacing w:val="1"/>
          <w:vertAlign w:val="baseline"/>
        </w:rPr>
        <w:t> </w:t>
      </w:r>
      <w:r>
        <w:rPr>
          <w:vertAlign w:val="baseline"/>
        </w:rPr>
        <w:t>are</w:t>
      </w:r>
      <w:r>
        <w:rPr>
          <w:spacing w:val="1"/>
          <w:vertAlign w:val="baseline"/>
        </w:rPr>
        <w:t> </w:t>
      </w:r>
      <w:r>
        <w:rPr>
          <w:vertAlign w:val="baseline"/>
        </w:rPr>
        <w:t>likely</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carried</w:t>
      </w:r>
      <w:r>
        <w:rPr>
          <w:spacing w:val="1"/>
          <w:vertAlign w:val="baseline"/>
        </w:rPr>
        <w:t> </w:t>
      </w:r>
      <w:r>
        <w:rPr>
          <w:spacing w:val="-2"/>
          <w:vertAlign w:val="baseline"/>
        </w:rPr>
        <w:t>out,”</w:t>
      </w:r>
    </w:p>
    <w:p>
      <w:pPr>
        <w:pStyle w:val="BodyText"/>
        <w:spacing w:line="235" w:lineRule="auto"/>
        <w:ind w:left="165" w:right="167"/>
        <w:jc w:val="both"/>
      </w:pPr>
      <w:r>
        <w:rPr>
          <w:color w:val="005DA1"/>
          <w:u w:val="single" w:color="005DA1"/>
          <w:vertAlign w:val="superscript"/>
        </w:rPr>
        <w:t>421</w:t>
      </w:r>
      <w:r>
        <w:rPr>
          <w:color w:val="005DA1"/>
          <w:vertAlign w:val="baseline"/>
        </w:rPr>
        <w:t> </w:t>
      </w:r>
      <w:bookmarkStart w:name="_bookmark674" w:id="676"/>
      <w:bookmarkEnd w:id="676"/>
      <w:r>
        <w:rPr>
          <w:color w:val="005DA1"/>
          <w:spacing w:val="15"/>
          <w:vertAlign w:val="baseline"/>
        </w:rPr>
      </w:r>
      <w:r>
        <w:rPr>
          <w:rFonts w:ascii="Arial" w:hAnsi="Arial"/>
          <w:i/>
          <w:vertAlign w:val="baseline"/>
        </w:rPr>
        <w:t>or </w:t>
      </w:r>
      <w:r>
        <w:rPr>
          <w:vertAlign w:val="baseline"/>
        </w:rPr>
        <w:t>the employer has entered into a separate contract with the owner (the third party) undertaking liability in respect of defects in the contractor’s work. </w:t>
      </w:r>
      <w:r>
        <w:rPr>
          <w:color w:val="005DA1"/>
          <w:u w:val="single" w:color="005DA1"/>
          <w:vertAlign w:val="superscript"/>
        </w:rPr>
        <w:t>422</w:t>
      </w:r>
      <w:r>
        <w:rPr>
          <w:color w:val="005DA1"/>
          <w:vertAlign w:val="baseline"/>
        </w:rPr>
        <w:t> </w:t>
      </w:r>
      <w:r>
        <w:rPr>
          <w:vertAlign w:val="baseline"/>
        </w:rPr>
        <w:t>Where neither of these requirements </w:t>
      </w:r>
      <w:r>
        <w:rPr>
          <w:vertAlign w:val="baseline"/>
        </w:rPr>
        <w:t>is satisfied, the result of allowing the promisee (the employer) to recover the cost of repairs as damages </w:t>
      </w:r>
      <w:bookmarkStart w:name="_bookmark675" w:id="677"/>
      <w:bookmarkEnd w:id="677"/>
      <w:r>
        <w:rPr>
          <w:vertAlign w:val="baseline"/>
        </w:rPr>
        <w:t>for</w:t>
      </w:r>
      <w:r>
        <w:rPr>
          <w:vertAlign w:val="baseline"/>
        </w:rPr>
        <w:t> his own loss would be “unattractive” in that it would enable him to “put the money in his own </w:t>
      </w:r>
      <w:bookmarkStart w:name="_bookmark676" w:id="678"/>
      <w:bookmarkEnd w:id="678"/>
      <w:r>
        <w:rPr>
          <w:vertAlign w:val="baseline"/>
        </w:rPr>
        <w:t>pocket”</w:t>
      </w:r>
      <w:r>
        <w:rPr>
          <w:vertAlign w:val="baseline"/>
        </w:rPr>
        <w:t> </w:t>
      </w:r>
      <w:r>
        <w:rPr>
          <w:color w:val="005DA1"/>
          <w:u w:val="single" w:color="005DA1"/>
          <w:vertAlign w:val="superscript"/>
        </w:rPr>
        <w:t>423</w:t>
      </w:r>
      <w:r>
        <w:rPr>
          <w:color w:val="005DA1"/>
          <w:vertAlign w:val="baseline"/>
        </w:rPr>
        <w:t> </w:t>
      </w:r>
      <w:r>
        <w:rPr>
          <w:vertAlign w:val="baseline"/>
        </w:rPr>
        <w:t>without carrying out or paying for the repairs: the technique of requiring him to hold the damages for the third party applies, on the authorities, </w:t>
      </w:r>
      <w:r>
        <w:rPr>
          <w:color w:val="005DA1"/>
          <w:u w:val="single" w:color="005DA1"/>
          <w:vertAlign w:val="superscript"/>
        </w:rPr>
        <w:t>424</w:t>
      </w:r>
      <w:r>
        <w:rPr>
          <w:color w:val="005DA1"/>
          <w:vertAlign w:val="baseline"/>
        </w:rPr>
        <w:t> </w:t>
      </w:r>
      <w:r>
        <w:rPr>
          <w:vertAlign w:val="baseline"/>
        </w:rPr>
        <w:t>only where damages are recovered (under </w:t>
      </w:r>
      <w:bookmarkStart w:name="_bookmark677" w:id="679"/>
      <w:bookmarkEnd w:id="679"/>
      <w:r>
        <w:rPr>
          <w:vertAlign w:val="baseline"/>
        </w:rPr>
        <w:t>one</w:t>
      </w:r>
      <w:r>
        <w:rPr>
          <w:vertAlign w:val="baseline"/>
        </w:rPr>
        <w:t> of the exceptions to the general rule) in respect of the </w:t>
      </w:r>
      <w:r>
        <w:rPr>
          <w:rFonts w:ascii="Arial" w:hAnsi="Arial"/>
          <w:i/>
          <w:vertAlign w:val="baseline"/>
        </w:rPr>
        <w:t>third party’s</w:t>
      </w:r>
      <w:r>
        <w:rPr>
          <w:vertAlign w:val="baseline"/>
        </w:rPr>
        <w:t>, not in respect of the promisee’s </w:t>
      </w:r>
      <w:r>
        <w:rPr>
          <w:rFonts w:ascii="Arial" w:hAnsi="Arial"/>
          <w:i/>
          <w:vertAlign w:val="baseline"/>
        </w:rPr>
        <w:t>own </w:t>
      </w:r>
      <w:r>
        <w:rPr>
          <w:vertAlign w:val="baseline"/>
        </w:rPr>
        <w:t>loss. It follows that the requirements stated above </w:t>
      </w:r>
      <w:r>
        <w:rPr>
          <w:color w:val="005DA1"/>
          <w:u w:val="single" w:color="005DA1"/>
          <w:vertAlign w:val="superscript"/>
        </w:rPr>
        <w:t>425</w:t>
      </w:r>
      <w:r>
        <w:rPr>
          <w:color w:val="005DA1"/>
          <w:vertAlign w:val="baseline"/>
        </w:rPr>
        <w:t> </w:t>
      </w:r>
      <w:r>
        <w:rPr>
          <w:vertAlign w:val="baseline"/>
        </w:rPr>
        <w:t>do not apply where the promisee’s claim can succeed on the “narrow ground”: in this respect, that ground is, paradoxically, broader than the “broader ground”.</w:t>
      </w:r>
    </w:p>
    <w:p>
      <w:pPr>
        <w:pStyle w:val="BodyText"/>
      </w:pPr>
    </w:p>
    <w:p>
      <w:pPr>
        <w:pStyle w:val="BodyText"/>
        <w:spacing w:before="31"/>
      </w:pPr>
    </w:p>
    <w:p>
      <w:pPr>
        <w:spacing w:before="0"/>
        <w:ind w:left="165" w:right="0" w:firstLine="0"/>
        <w:jc w:val="both"/>
        <w:rPr>
          <w:rFonts w:ascii="Arial" w:hAnsi="Arial"/>
          <w:b/>
          <w:sz w:val="18"/>
        </w:rPr>
      </w:pPr>
      <w:r>
        <w:rPr>
          <w:rFonts w:ascii="Arial" w:hAnsi="Arial"/>
          <w:b/>
          <w:sz w:val="18"/>
        </w:rPr>
        <w:t>Scope of the “broader </w:t>
      </w:r>
      <w:r>
        <w:rPr>
          <w:rFonts w:ascii="Arial" w:hAnsi="Arial"/>
          <w:b/>
          <w:spacing w:val="-2"/>
          <w:sz w:val="18"/>
        </w:rPr>
        <w:t>ground”</w:t>
      </w:r>
    </w:p>
    <w:p>
      <w:pPr>
        <w:pStyle w:val="BodyText"/>
        <w:spacing w:before="41"/>
        <w:rPr>
          <w:rFonts w:ascii="Arial"/>
          <w:b/>
          <w:sz w:val="18"/>
        </w:rPr>
      </w:pPr>
    </w:p>
    <w:p>
      <w:pPr>
        <w:pStyle w:val="Heading2"/>
      </w:pPr>
      <w:r>
        <w:rPr/>
        <w:t>18-</w:t>
      </w:r>
      <w:r>
        <w:rPr>
          <w:spacing w:val="-5"/>
        </w:rPr>
        <w:t>064</w:t>
      </w:r>
    </w:p>
    <w:p>
      <w:pPr>
        <w:pStyle w:val="BodyText"/>
        <w:spacing w:line="235" w:lineRule="auto" w:before="203"/>
        <w:ind w:left="164" w:right="167"/>
        <w:jc w:val="both"/>
      </w:pPr>
      <w:r>
        <w:rPr/>
        <w:t>If the “broader ground” is accepted for cases in which the third party has </w:t>
      </w:r>
      <w:r>
        <w:rPr>
          <w:rFonts w:ascii="Arial" w:hAnsi="Arial"/>
          <w:i/>
        </w:rPr>
        <w:t>no </w:t>
      </w:r>
      <w:r>
        <w:rPr/>
        <w:t>contractual rights of </w:t>
      </w:r>
      <w:r>
        <w:rPr/>
        <w:t>his own against the promisor, then a further problem arises as to its scope. The example given by Lord </w:t>
      </w:r>
      <w:bookmarkStart w:name="_bookmark678" w:id="680"/>
      <w:bookmarkEnd w:id="680"/>
      <w:r>
        <w:rPr/>
        <w:t>Griffiths</w:t>
      </w:r>
      <w:r>
        <w:rPr/>
        <w:t> in support of the “broader ground” is one in which loss is caused by reason of the </w:t>
      </w:r>
      <w:r>
        <w:rPr>
          <w:rFonts w:ascii="Arial" w:hAnsi="Arial"/>
          <w:i/>
        </w:rPr>
        <w:t>defective </w:t>
      </w:r>
      <w:r>
        <w:rPr/>
        <w:t>performance of a contract to render </w:t>
      </w:r>
      <w:r>
        <w:rPr>
          <w:rFonts w:ascii="Arial" w:hAnsi="Arial"/>
          <w:i/>
        </w:rPr>
        <w:t>services</w:t>
      </w:r>
      <w:r>
        <w:rPr/>
        <w:t>. </w:t>
      </w:r>
      <w:r>
        <w:rPr>
          <w:color w:val="005DA1"/>
          <w:u w:val="single" w:color="005DA1"/>
          <w:vertAlign w:val="superscript"/>
        </w:rPr>
        <w:t>426</w:t>
      </w:r>
      <w:r>
        <w:rPr>
          <w:color w:val="005DA1"/>
          <w:vertAlign w:val="baseline"/>
        </w:rPr>
        <w:t> </w:t>
      </w:r>
      <w:r>
        <w:rPr>
          <w:vertAlign w:val="baseline"/>
        </w:rPr>
        <w:t>The case put by him </w:t>
      </w:r>
      <w:r>
        <w:rPr>
          <w:color w:val="005DA1"/>
          <w:u w:val="single" w:color="005DA1"/>
          <w:vertAlign w:val="superscript"/>
        </w:rPr>
        <w:t>427</w:t>
      </w:r>
      <w:r>
        <w:rPr>
          <w:color w:val="005DA1"/>
          <w:vertAlign w:val="baseline"/>
        </w:rPr>
        <w:t> </w:t>
      </w:r>
      <w:r>
        <w:rPr>
          <w:vertAlign w:val="baseline"/>
        </w:rPr>
        <w:t>is that of a husband who contracts with a builder to have his wife’s house repaired; if the builder does the work defectively the husband is (so long as the other requirements of the “broader ground” are satisfied) entitled (in the example) to substantial damages, i.e., to the cost of putting the defects right. Two questions then arise. The first is whether the rationale of the “broader ground” applies to cases in which the breach consists of a simple </w:t>
      </w:r>
      <w:r>
        <w:rPr>
          <w:rFonts w:ascii="Arial" w:hAnsi="Arial"/>
          <w:i/>
          <w:vertAlign w:val="baseline"/>
        </w:rPr>
        <w:t>failure </w:t>
      </w:r>
      <w:r>
        <w:rPr>
          <w:vertAlign w:val="baseline"/>
        </w:rPr>
        <w:t>or </w:t>
      </w:r>
      <w:r>
        <w:rPr>
          <w:rFonts w:ascii="Arial" w:hAnsi="Arial"/>
          <w:i/>
          <w:vertAlign w:val="baseline"/>
        </w:rPr>
        <w:t>refusal </w:t>
      </w:r>
      <w:r>
        <w:rPr>
          <w:vertAlign w:val="baseline"/>
        </w:rPr>
        <w:t>to perform (as opposed to cases of defective performance). And the second is whether it applies where the obligation which is not performed is one to do something other than to render services. The two questions come together in a case where, for a consideration provided or to be provided by A, a promise is made by B to A to pay a sum of money to C and B fails </w:t>
      </w:r>
      <w:bookmarkStart w:name="_bookmark679" w:id="681"/>
      <w:bookmarkEnd w:id="681"/>
      <w:r>
        <w:rPr>
          <w:vertAlign w:val="baseline"/>
        </w:rPr>
        <w:t>or</w:t>
      </w:r>
      <w:r>
        <w:rPr>
          <w:spacing w:val="-2"/>
          <w:vertAlign w:val="baseline"/>
        </w:rPr>
        <w:t> </w:t>
      </w:r>
      <w:r>
        <w:rPr>
          <w:vertAlign w:val="baseline"/>
        </w:rPr>
        <w:t>refuses,</w:t>
      </w:r>
      <w:r>
        <w:rPr>
          <w:spacing w:val="-2"/>
          <w:vertAlign w:val="baseline"/>
        </w:rPr>
        <w:t> </w:t>
      </w:r>
      <w:r>
        <w:rPr>
          <w:vertAlign w:val="baseline"/>
        </w:rPr>
        <w:t>wholly</w:t>
      </w:r>
      <w:r>
        <w:rPr>
          <w:spacing w:val="-2"/>
          <w:vertAlign w:val="baseline"/>
        </w:rPr>
        <w:t> </w:t>
      </w:r>
      <w:r>
        <w:rPr>
          <w:vertAlign w:val="baseline"/>
        </w:rPr>
        <w:t>or</w:t>
      </w:r>
      <w:r>
        <w:rPr>
          <w:spacing w:val="-2"/>
          <w:vertAlign w:val="baseline"/>
        </w:rPr>
        <w:t> </w:t>
      </w:r>
      <w:r>
        <w:rPr>
          <w:vertAlign w:val="baseline"/>
        </w:rPr>
        <w:t>in</w:t>
      </w:r>
      <w:r>
        <w:rPr>
          <w:spacing w:val="-2"/>
          <w:vertAlign w:val="baseline"/>
        </w:rPr>
        <w:t> </w:t>
      </w:r>
      <w:r>
        <w:rPr>
          <w:vertAlign w:val="baseline"/>
        </w:rPr>
        <w:t>part,</w:t>
      </w:r>
      <w:r>
        <w:rPr>
          <w:spacing w:val="-2"/>
          <w:vertAlign w:val="baseline"/>
        </w:rPr>
        <w:t> </w:t>
      </w:r>
      <w:r>
        <w:rPr>
          <w:vertAlign w:val="baseline"/>
        </w:rPr>
        <w:t>to</w:t>
      </w:r>
      <w:r>
        <w:rPr>
          <w:spacing w:val="-2"/>
          <w:vertAlign w:val="baseline"/>
        </w:rPr>
        <w:t> </w:t>
      </w:r>
      <w:r>
        <w:rPr>
          <w:vertAlign w:val="baseline"/>
        </w:rPr>
        <w:t>perform</w:t>
      </w:r>
      <w:r>
        <w:rPr>
          <w:spacing w:val="-2"/>
          <w:vertAlign w:val="baseline"/>
        </w:rPr>
        <w:t> </w:t>
      </w:r>
      <w:r>
        <w:rPr>
          <w:vertAlign w:val="baseline"/>
        </w:rPr>
        <w:t>that</w:t>
      </w:r>
      <w:r>
        <w:rPr>
          <w:spacing w:val="-2"/>
          <w:vertAlign w:val="baseline"/>
        </w:rPr>
        <w:t> </w:t>
      </w:r>
      <w:r>
        <w:rPr>
          <w:vertAlign w:val="baseline"/>
        </w:rPr>
        <w:t>promise.</w:t>
      </w:r>
      <w:r>
        <w:rPr>
          <w:spacing w:val="-2"/>
          <w:vertAlign w:val="baseline"/>
        </w:rPr>
        <w:t> </w:t>
      </w:r>
      <w:r>
        <w:rPr>
          <w:vertAlign w:val="baseline"/>
        </w:rPr>
        <w:t>Those</w:t>
      </w:r>
      <w:r>
        <w:rPr>
          <w:spacing w:val="-2"/>
          <w:vertAlign w:val="baseline"/>
        </w:rPr>
        <w:t> </w:t>
      </w:r>
      <w:r>
        <w:rPr>
          <w:vertAlign w:val="baseline"/>
        </w:rPr>
        <w:t>were,</w:t>
      </w:r>
      <w:r>
        <w:rPr>
          <w:spacing w:val="-2"/>
          <w:vertAlign w:val="baseline"/>
        </w:rPr>
        <w:t> </w:t>
      </w:r>
      <w:r>
        <w:rPr>
          <w:vertAlign w:val="baseline"/>
        </w:rPr>
        <w:t>in</w:t>
      </w:r>
      <w:r>
        <w:rPr>
          <w:spacing w:val="-2"/>
          <w:vertAlign w:val="baseline"/>
        </w:rPr>
        <w:t> </w:t>
      </w:r>
      <w:r>
        <w:rPr>
          <w:vertAlign w:val="baseline"/>
        </w:rPr>
        <w:t>substance,</w:t>
      </w:r>
      <w:r>
        <w:rPr>
          <w:spacing w:val="-2"/>
          <w:vertAlign w:val="baseline"/>
        </w:rPr>
        <w:t> </w:t>
      </w:r>
      <w:r>
        <w:rPr>
          <w:vertAlign w:val="baseline"/>
        </w:rPr>
        <w:t>the</w:t>
      </w:r>
      <w:r>
        <w:rPr>
          <w:spacing w:val="-2"/>
          <w:vertAlign w:val="baseline"/>
        </w:rPr>
        <w:t> </w:t>
      </w:r>
      <w:r>
        <w:rPr>
          <w:vertAlign w:val="baseline"/>
        </w:rPr>
        <w:t>facts</w:t>
      </w:r>
      <w:r>
        <w:rPr>
          <w:spacing w:val="-2"/>
          <w:vertAlign w:val="baseline"/>
        </w:rPr>
        <w:t> </w:t>
      </w:r>
      <w:r>
        <w:rPr>
          <w:vertAlign w:val="baseline"/>
        </w:rPr>
        <w:t>of</w:t>
      </w:r>
      <w:r>
        <w:rPr>
          <w:spacing w:val="-3"/>
          <w:vertAlign w:val="baseline"/>
        </w:rPr>
        <w:t> </w:t>
      </w:r>
      <w:r>
        <w:rPr>
          <w:rFonts w:ascii="Arial" w:hAnsi="Arial"/>
          <w:i/>
          <w:vertAlign w:val="baseline"/>
        </w:rPr>
        <w:t>Beswick</w:t>
      </w:r>
      <w:r>
        <w:rPr>
          <w:rFonts w:ascii="Arial" w:hAnsi="Arial"/>
          <w:i/>
          <w:spacing w:val="-2"/>
          <w:vertAlign w:val="baseline"/>
        </w:rPr>
        <w:t> </w:t>
      </w:r>
      <w:r>
        <w:rPr>
          <w:rFonts w:ascii="Arial" w:hAnsi="Arial"/>
          <w:i/>
          <w:vertAlign w:val="baseline"/>
        </w:rPr>
        <w:t>v Beswick </w:t>
      </w:r>
      <w:r>
        <w:rPr>
          <w:color w:val="005DA1"/>
          <w:u w:val="single" w:color="005DA1"/>
          <w:vertAlign w:val="superscript"/>
        </w:rPr>
        <w:t>428</w:t>
      </w:r>
      <w:r>
        <w:rPr>
          <w:color w:val="005DA1"/>
          <w:vertAlign w:val="baseline"/>
        </w:rPr>
        <w:t> </w:t>
      </w:r>
      <w:r>
        <w:rPr>
          <w:vertAlign w:val="baseline"/>
        </w:rPr>
        <w:t>where the majority of the House of Lords took the view that the damages recoverable by the estate would be no more than nominal. That may not, indeed, amount to a direct rejection of the “broader ground” in such cases. The reason given in </w:t>
      </w:r>
      <w:r>
        <w:rPr>
          <w:rFonts w:ascii="Arial" w:hAnsi="Arial"/>
          <w:i/>
          <w:vertAlign w:val="baseline"/>
        </w:rPr>
        <w:t>Beswick v Beswick </w:t>
      </w:r>
      <w:r>
        <w:rPr>
          <w:vertAlign w:val="baseline"/>
        </w:rPr>
        <w:t>for the view that the </w:t>
      </w:r>
      <w:bookmarkStart w:name="_bookmark680" w:id="682"/>
      <w:bookmarkEnd w:id="682"/>
      <w:r>
        <w:rPr>
          <w:vertAlign w:val="baseline"/>
        </w:rPr>
        <w:t>promisee’s</w:t>
      </w:r>
      <w:r>
        <w:rPr>
          <w:vertAlign w:val="baseline"/>
        </w:rPr>
        <w:t> damages would there have been merely nominal was that A’s estate had no assets out of which it could make the payments to C which B had promised, but failed, to make. </w:t>
      </w:r>
      <w:r>
        <w:rPr>
          <w:color w:val="005DA1"/>
          <w:u w:val="single" w:color="005DA1"/>
          <w:vertAlign w:val="superscript"/>
        </w:rPr>
        <w:t>429</w:t>
      </w:r>
      <w:r>
        <w:rPr>
          <w:color w:val="005DA1"/>
          <w:vertAlign w:val="baseline"/>
        </w:rPr>
        <w:t> </w:t>
      </w:r>
      <w:r>
        <w:rPr>
          <w:vertAlign w:val="baseline"/>
        </w:rPr>
        <w:t>But it is not</w:t>
      </w:r>
      <w:r>
        <w:rPr>
          <w:spacing w:val="40"/>
          <w:vertAlign w:val="baseline"/>
        </w:rPr>
        <w:t> </w:t>
      </w:r>
      <w:r>
        <w:rPr>
          <w:vertAlign w:val="baseline"/>
        </w:rPr>
        <w:t>clear whether in substance that reasoning is inconsistent with the “broader ground”; for, if the cost to</w:t>
      </w:r>
      <w:r>
        <w:rPr>
          <w:spacing w:val="40"/>
          <w:vertAlign w:val="baseline"/>
        </w:rPr>
        <w:t> </w:t>
      </w:r>
      <w:r>
        <w:rPr>
          <w:vertAlign w:val="baseline"/>
        </w:rPr>
        <w:t>A of securing the benefit intended for C is to be defrayed </w:t>
      </w:r>
      <w:r>
        <w:rPr>
          <w:rFonts w:ascii="Arial" w:hAnsi="Arial"/>
          <w:i/>
          <w:vertAlign w:val="baseline"/>
        </w:rPr>
        <w:t>out of the damages</w:t>
      </w:r>
      <w:r>
        <w:rPr>
          <w:vertAlign w:val="baseline"/>
        </w:rPr>
        <w:t>, then it should not</w:t>
      </w:r>
      <w:r>
        <w:rPr>
          <w:spacing w:val="40"/>
          <w:vertAlign w:val="baseline"/>
        </w:rPr>
        <w:t> </w:t>
      </w:r>
      <w:r>
        <w:rPr>
          <w:vertAlign w:val="baseline"/>
        </w:rPr>
        <w:t>matter that A cannot provide that benefit out of his </w:t>
      </w:r>
      <w:r>
        <w:rPr>
          <w:rFonts w:ascii="Arial" w:hAnsi="Arial"/>
          <w:i/>
          <w:vertAlign w:val="baseline"/>
        </w:rPr>
        <w:t>other </w:t>
      </w:r>
      <w:r>
        <w:rPr>
          <w:vertAlign w:val="baseline"/>
        </w:rPr>
        <w:t>assets, at least so long as A is solvent. The views expressed in </w:t>
      </w:r>
      <w:r>
        <w:rPr>
          <w:rFonts w:ascii="Arial" w:hAnsi="Arial"/>
          <w:i/>
          <w:vertAlign w:val="baseline"/>
        </w:rPr>
        <w:t>Beswick v Beswick </w:t>
      </w:r>
      <w:r>
        <w:rPr>
          <w:vertAlign w:val="baseline"/>
        </w:rPr>
        <w:t>on the question of damages recoverable by the estate should, </w:t>
      </w:r>
      <w:bookmarkStart w:name="_bookmark681" w:id="683"/>
      <w:bookmarkEnd w:id="683"/>
      <w:r>
        <w:rPr>
          <w:vertAlign w:val="baseline"/>
        </w:rPr>
        <w:t>it</w:t>
      </w:r>
      <w:r>
        <w:rPr>
          <w:vertAlign w:val="baseline"/>
        </w:rPr>
        <w:t> is submitted, now be read subject to developments of the law as to damages in respect of a third </w:t>
      </w:r>
      <w:bookmarkStart w:name="_bookmark682" w:id="684"/>
      <w:bookmarkEnd w:id="684"/>
      <w:r>
        <w:rPr>
          <w:vertAlign w:val="baseline"/>
        </w:rPr>
        <w:t>party’s</w:t>
      </w:r>
      <w:r>
        <w:rPr>
          <w:vertAlign w:val="baseline"/>
        </w:rPr>
        <w:t> loss in a number of later cases. The most directly relevant of these is the </w:t>
      </w:r>
      <w:r>
        <w:rPr>
          <w:rFonts w:ascii="Arial" w:hAnsi="Arial"/>
          <w:i/>
          <w:vertAlign w:val="baseline"/>
        </w:rPr>
        <w:t>Woodar </w:t>
      </w:r>
      <w:r>
        <w:rPr>
          <w:vertAlign w:val="baseline"/>
        </w:rPr>
        <w:t>case </w:t>
      </w:r>
      <w:r>
        <w:rPr>
          <w:color w:val="005DA1"/>
          <w:u w:val="single" w:color="005DA1"/>
          <w:vertAlign w:val="superscript"/>
        </w:rPr>
        <w:t>430</w:t>
      </w:r>
      <w:r>
        <w:rPr>
          <w:color w:val="005DA1"/>
          <w:vertAlign w:val="baseline"/>
        </w:rPr>
        <w:t> </w:t>
      </w:r>
      <w:r>
        <w:rPr>
          <w:vertAlign w:val="baseline"/>
        </w:rPr>
        <w:t>where</w:t>
      </w:r>
      <w:r>
        <w:rPr>
          <w:spacing w:val="-3"/>
          <w:vertAlign w:val="baseline"/>
        </w:rPr>
        <w:t> </w:t>
      </w:r>
      <w:r>
        <w:rPr>
          <w:vertAlign w:val="baseline"/>
        </w:rPr>
        <w:t>it</w:t>
      </w:r>
      <w:r>
        <w:rPr>
          <w:spacing w:val="-3"/>
          <w:vertAlign w:val="baseline"/>
        </w:rPr>
        <w:t> </w:t>
      </w:r>
      <w:r>
        <w:rPr>
          <w:vertAlign w:val="baseline"/>
        </w:rPr>
        <w:t>appears</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assumed</w:t>
      </w:r>
      <w:r>
        <w:rPr>
          <w:spacing w:val="-3"/>
          <w:vertAlign w:val="baseline"/>
        </w:rPr>
        <w:t> </w:t>
      </w:r>
      <w:r>
        <w:rPr>
          <w:vertAlign w:val="baseline"/>
        </w:rPr>
        <w:t>that,</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general</w:t>
      </w:r>
      <w:r>
        <w:rPr>
          <w:spacing w:val="-3"/>
          <w:vertAlign w:val="baseline"/>
        </w:rPr>
        <w:t> </w:t>
      </w:r>
      <w:r>
        <w:rPr>
          <w:vertAlign w:val="baseline"/>
        </w:rPr>
        <w:t>rule</w:t>
      </w:r>
      <w:r>
        <w:rPr>
          <w:spacing w:val="-4"/>
          <w:vertAlign w:val="baseline"/>
        </w:rPr>
        <w:t> </w:t>
      </w:r>
      <w:r>
        <w:rPr>
          <w:color w:val="005DA1"/>
          <w:u w:val="single" w:color="005DA1"/>
          <w:vertAlign w:val="superscript"/>
        </w:rPr>
        <w:t>431</w:t>
      </w:r>
      <w:r>
        <w:rPr>
          <w:color w:val="005DA1"/>
          <w:spacing w:val="-3"/>
          <w:vertAlign w:val="baseline"/>
        </w:rPr>
        <w:t> </w:t>
      </w:r>
      <w:r>
        <w:rPr>
          <w:vertAlign w:val="baseline"/>
        </w:rPr>
        <w:t>A</w:t>
      </w:r>
      <w:r>
        <w:rPr>
          <w:spacing w:val="-3"/>
          <w:vertAlign w:val="baseline"/>
        </w:rPr>
        <w:t> </w:t>
      </w:r>
      <w:r>
        <w:rPr>
          <w:vertAlign w:val="baseline"/>
        </w:rPr>
        <w:t>cannot</w:t>
      </w:r>
      <w:r>
        <w:rPr>
          <w:spacing w:val="-3"/>
          <w:vertAlign w:val="baseline"/>
        </w:rPr>
        <w:t> </w:t>
      </w:r>
      <w:r>
        <w:rPr>
          <w:vertAlign w:val="baseline"/>
        </w:rPr>
        <w:t>recover</w:t>
      </w:r>
      <w:r>
        <w:rPr>
          <w:spacing w:val="-3"/>
          <w:vertAlign w:val="baseline"/>
        </w:rPr>
        <w:t> </w:t>
      </w:r>
      <w:r>
        <w:rPr>
          <w:vertAlign w:val="baseline"/>
        </w:rPr>
        <w:t>substantial</w:t>
      </w:r>
      <w:r>
        <w:rPr>
          <w:spacing w:val="-3"/>
          <w:vertAlign w:val="baseline"/>
        </w:rPr>
        <w:t> </w:t>
      </w:r>
      <w:r>
        <w:rPr>
          <w:vertAlign w:val="baseline"/>
        </w:rPr>
        <w:t>damages</w:t>
      </w:r>
      <w:r>
        <w:rPr>
          <w:spacing w:val="-3"/>
          <w:vertAlign w:val="baseline"/>
        </w:rPr>
        <w:t> </w:t>
      </w:r>
      <w:r>
        <w:rPr>
          <w:vertAlign w:val="baseline"/>
        </w:rPr>
        <w:t>from B for B’s failure to perform his promise to A to pay a sum of money to C. This conclusion seems to be based on the assumptions that the loss is C’s and that A cannot generally recover damages in</w:t>
      </w:r>
      <w:r>
        <w:rPr>
          <w:spacing w:val="40"/>
          <w:vertAlign w:val="baseline"/>
        </w:rPr>
        <w:t> </w:t>
      </w:r>
      <w:r>
        <w:rPr>
          <w:vertAlign w:val="baseline"/>
        </w:rPr>
        <w:t>respect of C’s loss. It does not seem to preclude the possibility of A’s recovering damages in respect of any loss which he himself might have suffered in consequence of B’s breach: e.g. because A was </w:t>
      </w:r>
      <w:bookmarkStart w:name="_bookmark683" w:id="685"/>
      <w:bookmarkEnd w:id="685"/>
      <w:r>
        <w:rPr>
          <w:vertAlign w:val="baseline"/>
        </w:rPr>
        <w:t>under</w:t>
      </w:r>
      <w:r>
        <w:rPr>
          <w:vertAlign w:val="baseline"/>
        </w:rPr>
        <w:t> a contractual obligation to procure the payment to C or because A, acting reasonably, has </w:t>
      </w:r>
      <w:bookmarkStart w:name="_bookmark684" w:id="686"/>
      <w:bookmarkEnd w:id="686"/>
      <w:r>
        <w:rPr>
          <w:vertAlign w:val="baseline"/>
        </w:rPr>
        <w:t>made</w:t>
      </w:r>
      <w:r>
        <w:rPr>
          <w:vertAlign w:val="baseline"/>
        </w:rPr>
        <w:t> alternative provision for C. </w:t>
      </w:r>
      <w:r>
        <w:rPr>
          <w:color w:val="005DA1"/>
          <w:u w:val="single" w:color="005DA1"/>
          <w:vertAlign w:val="superscript"/>
        </w:rPr>
        <w:t>432</w:t>
      </w:r>
      <w:r>
        <w:rPr>
          <w:color w:val="005DA1"/>
          <w:vertAlign w:val="baseline"/>
        </w:rPr>
        <w:t> </w:t>
      </w:r>
      <w:r>
        <w:rPr>
          <w:vertAlign w:val="baseline"/>
        </w:rPr>
        <w:t>Even in the absence of such factors, it is submitted that, in the light of the developments since the </w:t>
      </w:r>
      <w:r>
        <w:rPr>
          <w:rFonts w:ascii="Arial" w:hAnsi="Arial"/>
          <w:i/>
          <w:vertAlign w:val="baseline"/>
        </w:rPr>
        <w:t>Woodar </w:t>
      </w:r>
      <w:r>
        <w:rPr>
          <w:vertAlign w:val="baseline"/>
        </w:rPr>
        <w:t>case, </w:t>
      </w:r>
      <w:r>
        <w:rPr>
          <w:color w:val="005DA1"/>
          <w:u w:val="single" w:color="005DA1"/>
          <w:vertAlign w:val="superscript"/>
        </w:rPr>
        <w:t>433</w:t>
      </w:r>
      <w:r>
        <w:rPr>
          <w:color w:val="005DA1"/>
          <w:vertAlign w:val="baseline"/>
        </w:rPr>
        <w:t> </w:t>
      </w:r>
      <w:r>
        <w:rPr>
          <w:vertAlign w:val="baseline"/>
        </w:rPr>
        <w:t>the law should take account of the possibility </w:t>
      </w:r>
      <w:bookmarkStart w:name="_bookmark685" w:id="687"/>
      <w:bookmarkEnd w:id="687"/>
      <w:r>
        <w:rPr>
          <w:vertAlign w:val="baseline"/>
        </w:rPr>
        <w:t>that,</w:t>
      </w:r>
      <w:r>
        <w:rPr>
          <w:vertAlign w:val="baseline"/>
        </w:rPr>
        <w:t> unless B were held liable for substantial damages to A, then he might be under no substantial liability</w:t>
      </w:r>
      <w:r>
        <w:rPr>
          <w:spacing w:val="-1"/>
          <w:vertAlign w:val="baseline"/>
        </w:rPr>
        <w:t> </w:t>
      </w:r>
      <w:r>
        <w:rPr>
          <w:vertAlign w:val="baseline"/>
        </w:rPr>
        <w:t>at</w:t>
      </w:r>
      <w:r>
        <w:rPr>
          <w:spacing w:val="-1"/>
          <w:vertAlign w:val="baseline"/>
        </w:rPr>
        <w:t> </w:t>
      </w:r>
      <w:r>
        <w:rPr>
          <w:vertAlign w:val="baseline"/>
        </w:rPr>
        <w:t>all:</w:t>
      </w:r>
      <w:r>
        <w:rPr>
          <w:spacing w:val="-1"/>
          <w:vertAlign w:val="baseline"/>
        </w:rPr>
        <w:t> </w:t>
      </w:r>
      <w:r>
        <w:rPr>
          <w:vertAlign w:val="baseline"/>
        </w:rPr>
        <w:t>in</w:t>
      </w:r>
      <w:r>
        <w:rPr>
          <w:spacing w:val="-1"/>
          <w:vertAlign w:val="baseline"/>
        </w:rPr>
        <w:t> </w:t>
      </w:r>
      <w:r>
        <w:rPr>
          <w:vertAlign w:val="baseline"/>
        </w:rPr>
        <w:t>other</w:t>
      </w:r>
      <w:r>
        <w:rPr>
          <w:spacing w:val="-1"/>
          <w:vertAlign w:val="baseline"/>
        </w:rPr>
        <w:t> </w:t>
      </w:r>
      <w:r>
        <w:rPr>
          <w:vertAlign w:val="baseline"/>
        </w:rPr>
        <w:t>words,</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a</w:t>
      </w:r>
      <w:r>
        <w:rPr>
          <w:spacing w:val="-1"/>
          <w:vertAlign w:val="baseline"/>
        </w:rPr>
        <w:t> </w:t>
      </w:r>
      <w:r>
        <w:rPr>
          <w:vertAlign w:val="baseline"/>
        </w:rPr>
        <w:t>“legal</w:t>
      </w:r>
      <w:r>
        <w:rPr>
          <w:spacing w:val="-1"/>
          <w:vertAlign w:val="baseline"/>
        </w:rPr>
        <w:t> </w:t>
      </w:r>
      <w:r>
        <w:rPr>
          <w:vertAlign w:val="baseline"/>
        </w:rPr>
        <w:t>black</w:t>
      </w:r>
      <w:r>
        <w:rPr>
          <w:spacing w:val="-1"/>
          <w:vertAlign w:val="baseline"/>
        </w:rPr>
        <w:t> </w:t>
      </w:r>
      <w:r>
        <w:rPr>
          <w:vertAlign w:val="baseline"/>
        </w:rPr>
        <w:t>hole.”</w:t>
      </w:r>
      <w:r>
        <w:rPr>
          <w:spacing w:val="-2"/>
          <w:vertAlign w:val="baseline"/>
        </w:rPr>
        <w:t> </w:t>
      </w:r>
      <w:r>
        <w:rPr>
          <w:color w:val="005DA1"/>
          <w:u w:val="single" w:color="005DA1"/>
          <w:vertAlign w:val="superscript"/>
        </w:rPr>
        <w:t>434</w:t>
      </w:r>
      <w:r>
        <w:rPr>
          <w:color w:val="005DA1"/>
          <w:spacing w:val="-1"/>
          <w:vertAlign w:val="baseline"/>
        </w:rPr>
        <w:t> </w:t>
      </w:r>
      <w:r>
        <w:rPr>
          <w:vertAlign w:val="baseline"/>
        </w:rPr>
        <w:t>In</w:t>
      </w:r>
      <w:r>
        <w:rPr>
          <w:spacing w:val="-1"/>
          <w:vertAlign w:val="baseline"/>
        </w:rPr>
        <w:t> </w:t>
      </w:r>
      <w:r>
        <w:rPr>
          <w:rFonts w:ascii="Arial" w:hAnsi="Arial"/>
          <w:i/>
          <w:vertAlign w:val="baseline"/>
        </w:rPr>
        <w:t>Beswick</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Beswick</w:t>
      </w:r>
      <w:r>
        <w:rPr>
          <w:rFonts w:ascii="Arial" w:hAnsi="Arial"/>
          <w:i/>
          <w:spacing w:val="-1"/>
          <w:vertAlign w:val="baseline"/>
        </w:rPr>
        <w:t> </w:t>
      </w:r>
      <w:r>
        <w:rPr>
          <w:vertAlign w:val="baseline"/>
        </w:rPr>
        <w:t>and</w:t>
      </w:r>
      <w:r>
        <w:rPr>
          <w:spacing w:val="-1"/>
          <w:vertAlign w:val="baseline"/>
        </w:rPr>
        <w:t> </w:t>
      </w:r>
      <w:r>
        <w:rPr>
          <w:vertAlign w:val="baseline"/>
        </w:rPr>
        <w:t>the </w:t>
      </w:r>
      <w:bookmarkStart w:name="_bookmark686" w:id="688"/>
      <w:bookmarkEnd w:id="688"/>
      <w:r>
        <w:rPr>
          <w:vertAlign w:val="baseline"/>
        </w:rPr>
      </w:r>
      <w:r>
        <w:rPr>
          <w:rFonts w:ascii="Arial" w:hAnsi="Arial"/>
          <w:i/>
          <w:vertAlign w:val="baseline"/>
        </w:rPr>
        <w:t>Panatown </w:t>
      </w:r>
      <w:r>
        <w:rPr>
          <w:vertAlign w:val="baseline"/>
        </w:rPr>
        <w:t>case there were no such “black holes”: in the former case, because of the availability of a satisfactory</w:t>
      </w:r>
      <w:r>
        <w:rPr>
          <w:spacing w:val="26"/>
          <w:vertAlign w:val="baseline"/>
        </w:rPr>
        <w:t> </w:t>
      </w:r>
      <w:r>
        <w:rPr>
          <w:vertAlign w:val="baseline"/>
        </w:rPr>
        <w:t>remedy</w:t>
      </w:r>
      <w:r>
        <w:rPr>
          <w:spacing w:val="26"/>
          <w:vertAlign w:val="baseline"/>
        </w:rPr>
        <w:t> </w:t>
      </w:r>
      <w:r>
        <w:rPr>
          <w:vertAlign w:val="baseline"/>
        </w:rPr>
        <w:t>for</w:t>
      </w:r>
      <w:r>
        <w:rPr>
          <w:spacing w:val="26"/>
          <w:vertAlign w:val="baseline"/>
        </w:rPr>
        <w:t> </w:t>
      </w:r>
      <w:r>
        <w:rPr>
          <w:vertAlign w:val="baseline"/>
        </w:rPr>
        <w:t>A</w:t>
      </w:r>
      <w:r>
        <w:rPr>
          <w:spacing w:val="26"/>
          <w:vertAlign w:val="baseline"/>
        </w:rPr>
        <w:t> </w:t>
      </w:r>
      <w:r>
        <w:rPr>
          <w:vertAlign w:val="baseline"/>
        </w:rPr>
        <w:t>against</w:t>
      </w:r>
      <w:r>
        <w:rPr>
          <w:spacing w:val="26"/>
          <w:vertAlign w:val="baseline"/>
        </w:rPr>
        <w:t> </w:t>
      </w:r>
      <w:r>
        <w:rPr>
          <w:vertAlign w:val="baseline"/>
        </w:rPr>
        <w:t>B</w:t>
      </w:r>
      <w:r>
        <w:rPr>
          <w:spacing w:val="26"/>
          <w:vertAlign w:val="baseline"/>
        </w:rPr>
        <w:t> </w:t>
      </w:r>
      <w:r>
        <w:rPr>
          <w:vertAlign w:val="baseline"/>
        </w:rPr>
        <w:t>by</w:t>
      </w:r>
      <w:r>
        <w:rPr>
          <w:spacing w:val="26"/>
          <w:vertAlign w:val="baseline"/>
        </w:rPr>
        <w:t> </w:t>
      </w:r>
      <w:r>
        <w:rPr>
          <w:vertAlign w:val="baseline"/>
        </w:rPr>
        <w:t>way</w:t>
      </w:r>
      <w:r>
        <w:rPr>
          <w:spacing w:val="26"/>
          <w:vertAlign w:val="baseline"/>
        </w:rPr>
        <w:t> </w:t>
      </w:r>
      <w:r>
        <w:rPr>
          <w:vertAlign w:val="baseline"/>
        </w:rPr>
        <w:t>of</w:t>
      </w:r>
      <w:r>
        <w:rPr>
          <w:spacing w:val="26"/>
          <w:vertAlign w:val="baseline"/>
        </w:rPr>
        <w:t> </w:t>
      </w:r>
      <w:r>
        <w:rPr>
          <w:vertAlign w:val="baseline"/>
        </w:rPr>
        <w:t>specific</w:t>
      </w:r>
      <w:r>
        <w:rPr>
          <w:spacing w:val="26"/>
          <w:vertAlign w:val="baseline"/>
        </w:rPr>
        <w:t> </w:t>
      </w:r>
      <w:r>
        <w:rPr>
          <w:vertAlign w:val="baseline"/>
        </w:rPr>
        <w:t>performance</w:t>
      </w:r>
      <w:r>
        <w:rPr>
          <w:spacing w:val="26"/>
          <w:vertAlign w:val="baseline"/>
        </w:rPr>
        <w:t> </w:t>
      </w:r>
      <w:r>
        <w:rPr>
          <w:vertAlign w:val="baseline"/>
        </w:rPr>
        <w:t>in</w:t>
      </w:r>
      <w:r>
        <w:rPr>
          <w:spacing w:val="26"/>
          <w:vertAlign w:val="baseline"/>
        </w:rPr>
        <w:t> </w:t>
      </w:r>
      <w:r>
        <w:rPr>
          <w:vertAlign w:val="baseline"/>
        </w:rPr>
        <w:t>favour</w:t>
      </w:r>
      <w:r>
        <w:rPr>
          <w:spacing w:val="26"/>
          <w:vertAlign w:val="baseline"/>
        </w:rPr>
        <w:t> </w:t>
      </w:r>
      <w:r>
        <w:rPr>
          <w:vertAlign w:val="baseline"/>
        </w:rPr>
        <w:t>of</w:t>
      </w:r>
      <w:r>
        <w:rPr>
          <w:spacing w:val="26"/>
          <w:vertAlign w:val="baseline"/>
        </w:rPr>
        <w:t> </w:t>
      </w:r>
      <w:r>
        <w:rPr>
          <w:vertAlign w:val="baseline"/>
        </w:rPr>
        <w:t>C,</w:t>
      </w:r>
      <w:r>
        <w:rPr>
          <w:spacing w:val="26"/>
          <w:vertAlign w:val="baseline"/>
        </w:rPr>
        <w:t> </w:t>
      </w:r>
      <w:r>
        <w:rPr>
          <w:color w:val="005DA1"/>
          <w:u w:val="single" w:color="005DA1"/>
          <w:vertAlign w:val="superscript"/>
        </w:rPr>
        <w:t>435</w:t>
      </w:r>
      <w:r>
        <w:rPr>
          <w:color w:val="005DA1"/>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spacing w:val="-2"/>
          <w:vertAlign w:val="baseline"/>
        </w:rPr>
        <w:t>latter</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687" w:id="689"/>
      <w:bookmarkEnd w:id="689"/>
      <w:r>
        <w:rPr/>
      </w:r>
      <w:r>
        <w:rPr/>
        <w:t>because of the availability of a satisfactory remedy for C against B in damages under the separate </w:t>
      </w:r>
      <w:bookmarkStart w:name="_bookmark688" w:id="690"/>
      <w:bookmarkEnd w:id="690"/>
      <w:r>
        <w:rPr/>
        <w:t>contract</w:t>
      </w:r>
      <w:r>
        <w:rPr/>
        <w:t> between these parties. </w:t>
      </w:r>
      <w:r>
        <w:rPr>
          <w:color w:val="005DA1"/>
          <w:u w:val="single" w:color="005DA1"/>
          <w:vertAlign w:val="superscript"/>
        </w:rPr>
        <w:t>436</w:t>
      </w:r>
      <w:r>
        <w:rPr>
          <w:color w:val="005DA1"/>
          <w:vertAlign w:val="baseline"/>
        </w:rPr>
        <w:t> </w:t>
      </w:r>
      <w:r>
        <w:rPr>
          <w:vertAlign w:val="baseline"/>
        </w:rPr>
        <w:t>If there is no such remedy and if the conditions in which A can (under</w:t>
      </w:r>
      <w:r>
        <w:rPr>
          <w:spacing w:val="-2"/>
          <w:vertAlign w:val="baseline"/>
        </w:rPr>
        <w:t> </w:t>
      </w:r>
      <w:r>
        <w:rPr>
          <w:vertAlign w:val="baseline"/>
        </w:rPr>
        <w:t>the</w:t>
      </w:r>
      <w:r>
        <w:rPr>
          <w:spacing w:val="-2"/>
          <w:vertAlign w:val="baseline"/>
        </w:rPr>
        <w:t> </w:t>
      </w:r>
      <w:r>
        <w:rPr>
          <w:vertAlign w:val="baseline"/>
        </w:rPr>
        <w:t>“broader</w:t>
      </w:r>
      <w:r>
        <w:rPr>
          <w:spacing w:val="-2"/>
          <w:vertAlign w:val="baseline"/>
        </w:rPr>
        <w:t> </w:t>
      </w:r>
      <w:r>
        <w:rPr>
          <w:vertAlign w:val="baseline"/>
        </w:rPr>
        <w:t>ground”)</w:t>
      </w:r>
      <w:r>
        <w:rPr>
          <w:spacing w:val="-2"/>
          <w:vertAlign w:val="baseline"/>
        </w:rPr>
        <w:t> </w:t>
      </w:r>
      <w:r>
        <w:rPr>
          <w:vertAlign w:val="baseline"/>
        </w:rPr>
        <w:t>recover</w:t>
      </w:r>
      <w:r>
        <w:rPr>
          <w:spacing w:val="-2"/>
          <w:vertAlign w:val="baseline"/>
        </w:rPr>
        <w:t> </w:t>
      </w:r>
      <w:r>
        <w:rPr>
          <w:vertAlign w:val="baseline"/>
        </w:rPr>
        <w:t>damages</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rFonts w:ascii="Arial" w:hAnsi="Arial"/>
          <w:i/>
          <w:vertAlign w:val="baseline"/>
        </w:rPr>
        <w:t>own</w:t>
      </w:r>
      <w:r>
        <w:rPr>
          <w:rFonts w:ascii="Arial" w:hAnsi="Arial"/>
          <w:i/>
          <w:spacing w:val="-2"/>
          <w:vertAlign w:val="baseline"/>
        </w:rPr>
        <w:t> </w:t>
      </w:r>
      <w:r>
        <w:rPr>
          <w:vertAlign w:val="baseline"/>
        </w:rPr>
        <w:t>loss</w:t>
      </w:r>
      <w:r>
        <w:rPr>
          <w:spacing w:val="-2"/>
          <w:vertAlign w:val="baseline"/>
        </w:rPr>
        <w:t> </w:t>
      </w:r>
      <w:r>
        <w:rPr>
          <w:vertAlign w:val="baseline"/>
        </w:rPr>
        <w:t>are</w:t>
      </w:r>
      <w:r>
        <w:rPr>
          <w:spacing w:val="-2"/>
          <w:vertAlign w:val="baseline"/>
        </w:rPr>
        <w:t> </w:t>
      </w:r>
      <w:r>
        <w:rPr>
          <w:vertAlign w:val="baseline"/>
        </w:rPr>
        <w:t>not</w:t>
      </w:r>
      <w:r>
        <w:rPr>
          <w:spacing w:val="-2"/>
          <w:vertAlign w:val="baseline"/>
        </w:rPr>
        <w:t> </w:t>
      </w:r>
      <w:r>
        <w:rPr>
          <w:vertAlign w:val="baseline"/>
        </w:rPr>
        <w:t>satisfied,</w:t>
      </w:r>
      <w:r>
        <w:rPr>
          <w:spacing w:val="-2"/>
          <w:vertAlign w:val="baseline"/>
        </w:rPr>
        <w:t> </w:t>
      </w:r>
      <w:r>
        <w:rPr>
          <w:color w:val="005DA1"/>
          <w:u w:val="single" w:color="005DA1"/>
          <w:vertAlign w:val="superscript"/>
        </w:rPr>
        <w:t>437</w:t>
      </w:r>
      <w:r>
        <w:rPr>
          <w:color w:val="005DA1"/>
          <w:spacing w:val="-2"/>
          <w:vertAlign w:val="baseline"/>
        </w:rPr>
        <w:t> </w:t>
      </w:r>
      <w:r>
        <w:rPr>
          <w:vertAlign w:val="baseline"/>
        </w:rPr>
        <w:t>then</w:t>
      </w:r>
      <w:r>
        <w:rPr>
          <w:spacing w:val="-2"/>
          <w:vertAlign w:val="baseline"/>
        </w:rPr>
        <w:t> </w:t>
      </w:r>
      <w:r>
        <w:rPr>
          <w:vertAlign w:val="baseline"/>
        </w:rPr>
        <w:t>the lack of any such remedy should, it is submitted be a ground for allowing A to claim damages in </w:t>
      </w:r>
      <w:bookmarkStart w:name="_bookmark689" w:id="691"/>
      <w:bookmarkEnd w:id="691"/>
      <w:r>
        <w:rPr>
          <w:vertAlign w:val="baseline"/>
        </w:rPr>
        <w:t>respect</w:t>
      </w:r>
      <w:r>
        <w:rPr>
          <w:vertAlign w:val="baseline"/>
        </w:rPr>
        <w:t> of C’s loss. The need to avoid the legal “black hole” should generate this remedy; and </w:t>
      </w:r>
      <w:r>
        <w:rPr>
          <w:vertAlign w:val="baseline"/>
        </w:rPr>
        <w:t>this view is supported by </w:t>
      </w:r>
      <w:r>
        <w:rPr>
          <w:rFonts w:ascii="Arial" w:hAnsi="Arial"/>
          <w:i/>
          <w:vertAlign w:val="baseline"/>
        </w:rPr>
        <w:t>Offer-Hoar v Larkstore Ltd </w:t>
      </w:r>
      <w:r>
        <w:rPr>
          <w:color w:val="005DA1"/>
          <w:u w:val="single" w:color="005DA1"/>
          <w:vertAlign w:val="superscript"/>
        </w:rPr>
        <w:t>438</w:t>
      </w:r>
      <w:r>
        <w:rPr>
          <w:color w:val="005DA1"/>
          <w:vertAlign w:val="baseline"/>
        </w:rPr>
        <w:t> </w:t>
      </w:r>
      <w:r>
        <w:rPr>
          <w:vertAlign w:val="baseline"/>
        </w:rPr>
        <w:t>where, as noted in paragraph 18-059 above, C, </w:t>
      </w:r>
      <w:bookmarkStart w:name="_bookmark690" w:id="692"/>
      <w:bookmarkEnd w:id="692"/>
      <w:r>
        <w:rPr>
          <w:vertAlign w:val="baseline"/>
        </w:rPr>
        <w:t>suing</w:t>
      </w:r>
      <w:r>
        <w:rPr>
          <w:vertAlign w:val="baseline"/>
        </w:rPr>
        <w:t> as A’s assignee, recovered substantial damages in respect loss suffered by C. Mummery L.J. justified</w:t>
      </w:r>
      <w:r>
        <w:rPr>
          <w:spacing w:val="-2"/>
          <w:vertAlign w:val="baseline"/>
        </w:rPr>
        <w:t> </w:t>
      </w:r>
      <w:r>
        <w:rPr>
          <w:vertAlign w:val="baseline"/>
        </w:rPr>
        <w:t>this</w:t>
      </w:r>
      <w:r>
        <w:rPr>
          <w:spacing w:val="-2"/>
          <w:vertAlign w:val="baseline"/>
        </w:rPr>
        <w:t> </w:t>
      </w:r>
      <w:r>
        <w:rPr>
          <w:vertAlign w:val="baseline"/>
        </w:rPr>
        <w:t>conclusion</w:t>
      </w:r>
      <w:r>
        <w:rPr>
          <w:spacing w:val="-2"/>
          <w:vertAlign w:val="baseline"/>
        </w:rPr>
        <w:t> </w:t>
      </w:r>
      <w:r>
        <w:rPr>
          <w:vertAlign w:val="baseline"/>
        </w:rPr>
        <w:t>by</w:t>
      </w:r>
      <w:r>
        <w:rPr>
          <w:spacing w:val="-2"/>
          <w:vertAlign w:val="baseline"/>
        </w:rPr>
        <w:t> </w:t>
      </w:r>
      <w:r>
        <w:rPr>
          <w:vertAlign w:val="baseline"/>
        </w:rPr>
        <w:t>saying</w:t>
      </w:r>
      <w:r>
        <w:rPr>
          <w:spacing w:val="-3"/>
          <w:vertAlign w:val="baseline"/>
        </w:rPr>
        <w:t> </w:t>
      </w:r>
      <w:r>
        <w:rPr>
          <w:color w:val="005DA1"/>
          <w:u w:val="single" w:color="005DA1"/>
          <w:vertAlign w:val="superscript"/>
        </w:rPr>
        <w:t>439</w:t>
      </w:r>
      <w:r>
        <w:rPr>
          <w:color w:val="005DA1"/>
          <w:spacing w:val="-3"/>
          <w:vertAlign w:val="baseline"/>
        </w:rPr>
        <w:t> </w:t>
      </w:r>
      <w:r>
        <w:rPr>
          <w:vertAlign w:val="baseline"/>
        </w:rPr>
        <w:t>that,</w:t>
      </w:r>
      <w:r>
        <w:rPr>
          <w:spacing w:val="-2"/>
          <w:vertAlign w:val="baseline"/>
        </w:rPr>
        <w:t> </w:t>
      </w:r>
      <w:r>
        <w:rPr>
          <w:vertAlign w:val="baseline"/>
        </w:rPr>
        <w:t>if</w:t>
      </w:r>
      <w:r>
        <w:rPr>
          <w:spacing w:val="-2"/>
          <w:vertAlign w:val="baseline"/>
        </w:rPr>
        <w:t> </w:t>
      </w:r>
      <w:r>
        <w:rPr>
          <w:vertAlign w:val="baseline"/>
        </w:rPr>
        <w:t>B’s</w:t>
      </w:r>
      <w:r>
        <w:rPr>
          <w:spacing w:val="-2"/>
          <w:vertAlign w:val="baseline"/>
        </w:rPr>
        <w:t> </w:t>
      </w:r>
      <w:r>
        <w:rPr>
          <w:vertAlign w:val="baseline"/>
        </w:rPr>
        <w:t>contrary</w:t>
      </w:r>
      <w:r>
        <w:rPr>
          <w:spacing w:val="-2"/>
          <w:vertAlign w:val="baseline"/>
        </w:rPr>
        <w:t> </w:t>
      </w:r>
      <w:r>
        <w:rPr>
          <w:vertAlign w:val="baseline"/>
        </w:rPr>
        <w:t>argument</w:t>
      </w:r>
      <w:r>
        <w:rPr>
          <w:spacing w:val="-2"/>
          <w:vertAlign w:val="baseline"/>
        </w:rPr>
        <w:t> </w:t>
      </w:r>
      <w:r>
        <w:rPr>
          <w:vertAlign w:val="baseline"/>
        </w:rPr>
        <w:t>had</w:t>
      </w:r>
      <w:r>
        <w:rPr>
          <w:spacing w:val="-2"/>
          <w:vertAlign w:val="baseline"/>
        </w:rPr>
        <w:t> </w:t>
      </w:r>
      <w:r>
        <w:rPr>
          <w:vertAlign w:val="baseline"/>
        </w:rPr>
        <w:t>succeeded,</w:t>
      </w:r>
      <w:r>
        <w:rPr>
          <w:spacing w:val="-2"/>
          <w:vertAlign w:val="baseline"/>
        </w:rPr>
        <w:t> </w:t>
      </w:r>
      <w:r>
        <w:rPr>
          <w:vertAlign w:val="baseline"/>
        </w:rPr>
        <w:t>then</w:t>
      </w:r>
      <w:r>
        <w:rPr>
          <w:spacing w:val="-2"/>
          <w:vertAlign w:val="baseline"/>
        </w:rPr>
        <w:t> </w:t>
      </w:r>
      <w:r>
        <w:rPr>
          <w:vertAlign w:val="baseline"/>
        </w:rPr>
        <w:t>B</w:t>
      </w:r>
      <w:r>
        <w:rPr>
          <w:spacing w:val="-2"/>
          <w:vertAlign w:val="baseline"/>
        </w:rPr>
        <w:t> </w:t>
      </w:r>
      <w:r>
        <w:rPr>
          <w:vertAlign w:val="baseline"/>
        </w:rPr>
        <w:t>would</w:t>
      </w:r>
      <w:r>
        <w:rPr>
          <w:spacing w:val="-2"/>
          <w:vertAlign w:val="baseline"/>
        </w:rPr>
        <w:t> </w:t>
      </w:r>
      <w:r>
        <w:rPr>
          <w:vertAlign w:val="baseline"/>
        </w:rPr>
        <w:t>have been liable to no-one for its breach, a conclusion which was evidently regarded as reducing that </w:t>
      </w:r>
      <w:bookmarkStart w:name="_bookmark691" w:id="693"/>
      <w:bookmarkEnd w:id="693"/>
      <w:r>
        <w:rPr>
          <w:vertAlign w:val="baseline"/>
        </w:rPr>
        <w:t>argument</w:t>
      </w:r>
      <w:r>
        <w:rPr>
          <w:vertAlign w:val="baseline"/>
        </w:rPr>
        <w:t> ad absurdum. Rix L.J. similarly said that the courts were willing to develop the law “to prevent the loss caused by the defendant’s breach from disappearing into the proverbial black hole” </w:t>
      </w:r>
      <w:r>
        <w:rPr>
          <w:color w:val="005DA1"/>
          <w:u w:val="single" w:color="005DA1"/>
          <w:vertAlign w:val="superscript"/>
        </w:rPr>
        <w:t>440</w:t>
      </w:r>
      <w:r>
        <w:rPr>
          <w:color w:val="005DA1"/>
          <w:spacing w:val="-2"/>
          <w:vertAlign w:val="baseline"/>
        </w:rPr>
        <w:t> </w:t>
      </w:r>
      <w:r>
        <w:rPr>
          <w:vertAlign w:val="baseline"/>
        </w:rPr>
        <w:t>and</w:t>
      </w:r>
      <w:r>
        <w:rPr>
          <w:spacing w:val="-2"/>
          <w:vertAlign w:val="baseline"/>
        </w:rPr>
        <w:t> </w:t>
      </w:r>
      <w:r>
        <w:rPr>
          <w:vertAlign w:val="baseline"/>
        </w:rPr>
        <w:t>that</w:t>
      </w:r>
      <w:r>
        <w:rPr>
          <w:spacing w:val="-2"/>
          <w:vertAlign w:val="baseline"/>
        </w:rPr>
        <w:t> </w:t>
      </w:r>
      <w:r>
        <w:rPr>
          <w:vertAlign w:val="baseline"/>
        </w:rPr>
        <w:t>they</w:t>
      </w:r>
      <w:r>
        <w:rPr>
          <w:spacing w:val="-2"/>
          <w:vertAlign w:val="baseline"/>
        </w:rPr>
        <w:t> </w:t>
      </w:r>
      <w:r>
        <w:rPr>
          <w:vertAlign w:val="baseline"/>
        </w:rPr>
        <w:t>were</w:t>
      </w:r>
      <w:r>
        <w:rPr>
          <w:spacing w:val="-2"/>
          <w:vertAlign w:val="baseline"/>
        </w:rPr>
        <w:t> </w:t>
      </w:r>
      <w:r>
        <w:rPr>
          <w:vertAlign w:val="baseline"/>
        </w:rPr>
        <w:t>“anxious</w:t>
      </w:r>
      <w:r>
        <w:rPr>
          <w:spacing w:val="-2"/>
          <w:vertAlign w:val="baseline"/>
        </w:rPr>
        <w:t> </w:t>
      </w:r>
      <w:r>
        <w:rPr>
          <w:vertAlign w:val="baseline"/>
        </w:rPr>
        <w:t>to</w:t>
      </w:r>
      <w:r>
        <w:rPr>
          <w:spacing w:val="-2"/>
          <w:vertAlign w:val="baseline"/>
        </w:rPr>
        <w:t> </w:t>
      </w:r>
      <w:r>
        <w:rPr>
          <w:vertAlign w:val="baseline"/>
        </w:rPr>
        <w:t>see,</w:t>
      </w:r>
      <w:r>
        <w:rPr>
          <w:spacing w:val="-2"/>
          <w:vertAlign w:val="baseline"/>
        </w:rPr>
        <w:t> </w:t>
      </w:r>
      <w:r>
        <w:rPr>
          <w:vertAlign w:val="baseline"/>
        </w:rPr>
        <w:t>if</w:t>
      </w:r>
      <w:r>
        <w:rPr>
          <w:spacing w:val="-2"/>
          <w:vertAlign w:val="baseline"/>
        </w:rPr>
        <w:t> </w:t>
      </w:r>
      <w:r>
        <w:rPr>
          <w:vertAlign w:val="baseline"/>
        </w:rPr>
        <w:t>possible,</w:t>
      </w:r>
      <w:r>
        <w:rPr>
          <w:spacing w:val="-2"/>
          <w:vertAlign w:val="baseline"/>
        </w:rPr>
        <w:t> </w:t>
      </w:r>
      <w:r>
        <w:rPr>
          <w:vertAlign w:val="baseline"/>
        </w:rPr>
        <w:t>that</w:t>
      </w:r>
      <w:r>
        <w:rPr>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real</w:t>
      </w:r>
      <w:r>
        <w:rPr>
          <w:spacing w:val="-2"/>
          <w:vertAlign w:val="baseline"/>
        </w:rPr>
        <w:t> </w:t>
      </w:r>
      <w:r>
        <w:rPr>
          <w:vertAlign w:val="baseline"/>
        </w:rPr>
        <w:t>loss</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suffered,</w:t>
      </w:r>
      <w:r>
        <w:rPr>
          <w:spacing w:val="-2"/>
          <w:vertAlign w:val="baseline"/>
        </w:rPr>
        <w:t> </w:t>
      </w:r>
      <w:r>
        <w:rPr>
          <w:vertAlign w:val="baseline"/>
        </w:rPr>
        <w:t>then</w:t>
      </w:r>
      <w:r>
        <w:rPr>
          <w:spacing w:val="-2"/>
          <w:vertAlign w:val="baseline"/>
        </w:rPr>
        <w:t> </w:t>
      </w:r>
      <w:r>
        <w:rPr>
          <w:vertAlign w:val="baseline"/>
        </w:rPr>
        <w:t>there </w:t>
      </w:r>
      <w:bookmarkStart w:name="_bookmark692" w:id="694"/>
      <w:bookmarkEnd w:id="694"/>
      <w:r>
        <w:rPr>
          <w:vertAlign w:val="baseline"/>
        </w:rPr>
        <w:t>should,</w:t>
      </w:r>
      <w:r>
        <w:rPr>
          <w:vertAlign w:val="baseline"/>
        </w:rPr>
        <w:t> if at all possible, be a real remedy which directs recovery from the defendant to the party which has suffered the loss.” </w:t>
      </w:r>
      <w:r>
        <w:rPr>
          <w:color w:val="005DA1"/>
          <w:u w:val="single" w:color="005DA1"/>
          <w:vertAlign w:val="superscript"/>
        </w:rPr>
        <w:t>441</w:t>
      </w:r>
      <w:r>
        <w:rPr>
          <w:color w:val="005DA1"/>
          <w:vertAlign w:val="baseline"/>
        </w:rPr>
        <w:t> </w:t>
      </w:r>
      <w:r>
        <w:rPr>
          <w:vertAlign w:val="baseline"/>
        </w:rPr>
        <w:t>That party, in the situation here under discussion, is C; and where A has suffered no loss himself, the result of allowing him to recover damages in respect of C’s loss </w:t>
      </w:r>
      <w:bookmarkStart w:name="_bookmark693" w:id="695"/>
      <w:bookmarkEnd w:id="695"/>
      <w:r>
        <w:rPr>
          <w:vertAlign w:val="baseline"/>
        </w:rPr>
        <w:t>would</w:t>
      </w:r>
      <w:r>
        <w:rPr>
          <w:vertAlign w:val="baseline"/>
        </w:rPr>
        <w:t> also have the advantage of ensuring that these damages (as opposed to damages in respect</w:t>
      </w:r>
      <w:r>
        <w:rPr>
          <w:spacing w:val="80"/>
          <w:vertAlign w:val="baseline"/>
        </w:rPr>
        <w:t> </w:t>
      </w:r>
      <w:bookmarkStart w:name="_bookmark694" w:id="696"/>
      <w:bookmarkEnd w:id="696"/>
      <w:r>
        <w:rPr>
          <w:vertAlign w:val="baseline"/>
        </w:rPr>
        <w:t>of</w:t>
      </w:r>
      <w:r>
        <w:rPr>
          <w:vertAlign w:val="baseline"/>
        </w:rPr>
        <w:t> loss suffered by A himself) were to be held for C, </w:t>
      </w:r>
      <w:r>
        <w:rPr>
          <w:color w:val="005DA1"/>
          <w:u w:val="single" w:color="005DA1"/>
          <w:vertAlign w:val="superscript"/>
        </w:rPr>
        <w:t>442</w:t>
      </w:r>
      <w:r>
        <w:rPr>
          <w:color w:val="005DA1"/>
          <w:vertAlign w:val="baseline"/>
        </w:rPr>
        <w:t> </w:t>
      </w:r>
      <w:r>
        <w:rPr>
          <w:vertAlign w:val="baseline"/>
        </w:rPr>
        <w:t>thus avoiding the “unattractive” result of allowing A to “put the money in his own pocket.” </w:t>
      </w:r>
      <w:r>
        <w:rPr>
          <w:color w:val="005DA1"/>
          <w:u w:val="single" w:color="005DA1"/>
          <w:vertAlign w:val="superscript"/>
        </w:rPr>
        <w:t>443</w:t>
      </w:r>
    </w:p>
    <w:p>
      <w:pPr>
        <w:pStyle w:val="BodyText"/>
        <w:spacing w:before="74"/>
      </w:pPr>
    </w:p>
    <w:p>
      <w:pPr>
        <w:pStyle w:val="Heading2"/>
      </w:pPr>
      <w:r>
        <w:rPr/>
        <w:t>18-</w:t>
      </w:r>
      <w:r>
        <w:rPr>
          <w:spacing w:val="-5"/>
        </w:rPr>
        <w:t>065</w:t>
      </w:r>
    </w:p>
    <w:p>
      <w:pPr>
        <w:pStyle w:val="BodyText"/>
        <w:spacing w:line="235" w:lineRule="auto" w:before="203"/>
        <w:ind w:left="164" w:right="167"/>
        <w:jc w:val="both"/>
      </w:pPr>
      <w:r>
        <w:rPr/>
        <w:t>It is submitted that the same approach is also appropriate to the case where the contract between A </w:t>
      </w:r>
      <w:bookmarkStart w:name="_bookmark695" w:id="697"/>
      <w:bookmarkEnd w:id="697"/>
      <w:r>
        <w:rPr/>
        <w:t>and</w:t>
      </w:r>
      <w:r>
        <w:rPr>
          <w:spacing w:val="-2"/>
        </w:rPr>
        <w:t> </w:t>
      </w:r>
      <w:r>
        <w:rPr/>
        <w:t>B</w:t>
      </w:r>
      <w:r>
        <w:rPr>
          <w:spacing w:val="-2"/>
        </w:rPr>
        <w:t> </w:t>
      </w:r>
      <w:r>
        <w:rPr/>
        <w:t>is</w:t>
      </w:r>
      <w:r>
        <w:rPr>
          <w:spacing w:val="-2"/>
        </w:rPr>
        <w:t> </w:t>
      </w:r>
      <w:r>
        <w:rPr/>
        <w:t>one</w:t>
      </w:r>
      <w:r>
        <w:rPr>
          <w:spacing w:val="-2"/>
        </w:rPr>
        <w:t> </w:t>
      </w:r>
      <w:r>
        <w:rPr/>
        <w:t>for</w:t>
      </w:r>
      <w:r>
        <w:rPr>
          <w:spacing w:val="-2"/>
        </w:rPr>
        <w:t> </w:t>
      </w:r>
      <w:r>
        <w:rPr/>
        <w:t>services</w:t>
      </w:r>
      <w:r>
        <w:rPr>
          <w:spacing w:val="-2"/>
        </w:rPr>
        <w:t> </w:t>
      </w:r>
      <w:r>
        <w:rPr/>
        <w:t>to</w:t>
      </w:r>
      <w:r>
        <w:rPr>
          <w:spacing w:val="-2"/>
        </w:rPr>
        <w:t> </w:t>
      </w:r>
      <w:r>
        <w:rPr/>
        <w:t>be</w:t>
      </w:r>
      <w:r>
        <w:rPr>
          <w:spacing w:val="-2"/>
        </w:rPr>
        <w:t> </w:t>
      </w:r>
      <w:r>
        <w:rPr/>
        <w:t>rendered</w:t>
      </w:r>
      <w:r>
        <w:rPr>
          <w:spacing w:val="-2"/>
        </w:rPr>
        <w:t> </w:t>
      </w:r>
      <w:r>
        <w:rPr/>
        <w:t>by</w:t>
      </w:r>
      <w:r>
        <w:rPr>
          <w:spacing w:val="-2"/>
        </w:rPr>
        <w:t> </w:t>
      </w:r>
      <w:r>
        <w:rPr/>
        <w:t>B</w:t>
      </w:r>
      <w:r>
        <w:rPr>
          <w:spacing w:val="-2"/>
        </w:rPr>
        <w:t> </w:t>
      </w:r>
      <w:r>
        <w:rPr/>
        <w:t>to,</w:t>
      </w:r>
      <w:r>
        <w:rPr>
          <w:spacing w:val="-2"/>
        </w:rPr>
        <w:t> </w:t>
      </w:r>
      <w:r>
        <w:rPr/>
        <w:t>or</w:t>
      </w:r>
      <w:r>
        <w:rPr>
          <w:spacing w:val="-2"/>
        </w:rPr>
        <w:t> </w:t>
      </w:r>
      <w:r>
        <w:rPr/>
        <w:t>for</w:t>
      </w:r>
      <w:r>
        <w:rPr>
          <w:spacing w:val="-2"/>
        </w:rPr>
        <w:t> </w:t>
      </w:r>
      <w:r>
        <w:rPr/>
        <w:t>the</w:t>
      </w:r>
      <w:r>
        <w:rPr>
          <w:spacing w:val="-2"/>
        </w:rPr>
        <w:t> </w:t>
      </w:r>
      <w:r>
        <w:rPr/>
        <w:t>benefit</w:t>
      </w:r>
      <w:r>
        <w:rPr>
          <w:spacing w:val="-2"/>
        </w:rPr>
        <w:t> </w:t>
      </w:r>
      <w:r>
        <w:rPr/>
        <w:t>of,</w:t>
      </w:r>
      <w:r>
        <w:rPr>
          <w:spacing w:val="-2"/>
        </w:rPr>
        <w:t> </w:t>
      </w:r>
      <w:r>
        <w:rPr/>
        <w:t>C</w:t>
      </w:r>
      <w:r>
        <w:rPr>
          <w:spacing w:val="-2"/>
        </w:rPr>
        <w:t> </w:t>
      </w:r>
      <w:r>
        <w:rPr/>
        <w:t>which</w:t>
      </w:r>
      <w:r>
        <w:rPr>
          <w:spacing w:val="-2"/>
        </w:rPr>
        <w:t> </w:t>
      </w:r>
      <w:r>
        <w:rPr/>
        <w:t>B</w:t>
      </w:r>
      <w:r>
        <w:rPr>
          <w:spacing w:val="-2"/>
        </w:rPr>
        <w:t> </w:t>
      </w:r>
      <w:r>
        <w:rPr/>
        <w:t>simply</w:t>
      </w:r>
      <w:r>
        <w:rPr>
          <w:spacing w:val="-2"/>
        </w:rPr>
        <w:t> </w:t>
      </w:r>
      <w:r>
        <w:rPr/>
        <w:t>fails</w:t>
      </w:r>
      <w:r>
        <w:rPr>
          <w:spacing w:val="-2"/>
        </w:rPr>
        <w:t> </w:t>
      </w:r>
      <w:r>
        <w:rPr/>
        <w:t>or</w:t>
      </w:r>
      <w:r>
        <w:rPr>
          <w:spacing w:val="-2"/>
        </w:rPr>
        <w:t> </w:t>
      </w:r>
      <w:r>
        <w:rPr/>
        <w:t>refuses to perform, as opposed to performing them defectively, as in Lord Griffiths’ example, </w:t>
      </w:r>
      <w:r>
        <w:rPr>
          <w:color w:val="005DA1"/>
          <w:u w:val="single" w:color="005DA1"/>
          <w:vertAlign w:val="superscript"/>
        </w:rPr>
        <w:t>444</w:t>
      </w:r>
      <w:r>
        <w:rPr>
          <w:color w:val="005DA1"/>
          <w:vertAlign w:val="baseline"/>
        </w:rPr>
        <w:t> </w:t>
      </w:r>
      <w:r>
        <w:rPr>
          <w:vertAlign w:val="baseline"/>
        </w:rPr>
        <w:t>in which </w:t>
      </w:r>
      <w:r>
        <w:rPr>
          <w:vertAlign w:val="baseline"/>
        </w:rPr>
        <w:t>it </w:t>
      </w:r>
      <w:bookmarkStart w:name="_bookmark696" w:id="698"/>
      <w:bookmarkEnd w:id="698"/>
      <w:r>
        <w:rPr>
          <w:vertAlign w:val="baseline"/>
        </w:rPr>
        <w:t>seems</w:t>
      </w:r>
      <w:r>
        <w:rPr>
          <w:vertAlign w:val="baseline"/>
        </w:rPr>
        <w:t> to be assumed that A has paid for the work. Lord Griffiths does not discuss the case of total non-performance by B, presumably assuming that in such a case B would not have been paid.</w:t>
      </w:r>
      <w:r>
        <w:rPr>
          <w:spacing w:val="-1"/>
          <w:vertAlign w:val="baseline"/>
        </w:rPr>
        <w:t> </w:t>
      </w:r>
      <w:r>
        <w:rPr>
          <w:color w:val="005DA1"/>
          <w:u w:val="single" w:color="005DA1"/>
          <w:vertAlign w:val="superscript"/>
        </w:rPr>
        <w:t>445</w:t>
      </w:r>
      <w:r>
        <w:rPr>
          <w:color w:val="005DA1"/>
          <w:vertAlign w:val="baseline"/>
        </w:rPr>
        <w:t> </w:t>
      </w:r>
      <w:r>
        <w:rPr>
          <w:vertAlign w:val="baseline"/>
        </w:rPr>
        <w:t>If A then gets another builder to do the same work and that other builder charges no more than B would </w:t>
      </w:r>
      <w:bookmarkStart w:name="_bookmark697" w:id="699"/>
      <w:bookmarkEnd w:id="699"/>
      <w:r>
        <w:rPr>
          <w:vertAlign w:val="baseline"/>
        </w:rPr>
        <w:t>have</w:t>
      </w:r>
      <w:r>
        <w:rPr>
          <w:vertAlign w:val="baseline"/>
        </w:rPr>
        <w:t> charged, no loss will be suffered by A or by C; if the other builder charges more than B would have done, A will (subject to questions of mitigation </w:t>
      </w:r>
      <w:r>
        <w:rPr>
          <w:color w:val="005DA1"/>
          <w:u w:val="single" w:color="005DA1"/>
          <w:vertAlign w:val="superscript"/>
        </w:rPr>
        <w:t>446</w:t>
      </w:r>
      <w:r>
        <w:rPr>
          <w:color w:val="005DA1"/>
          <w:vertAlign w:val="baseline"/>
        </w:rPr>
        <w:t> </w:t>
      </w:r>
      <w:r>
        <w:rPr>
          <w:vertAlign w:val="baseline"/>
        </w:rPr>
        <w:t>and remoteness) be able to recover the difference as damages for his </w:t>
      </w:r>
      <w:r>
        <w:rPr>
          <w:rFonts w:ascii="Arial" w:hAnsi="Arial"/>
          <w:i/>
          <w:vertAlign w:val="baseline"/>
        </w:rPr>
        <w:t>own </w:t>
      </w:r>
      <w:r>
        <w:rPr>
          <w:vertAlign w:val="baseline"/>
        </w:rPr>
        <w:t>loss. The position will be substantially the same where A has paid </w:t>
      </w:r>
      <w:bookmarkStart w:name="_bookmark698" w:id="700"/>
      <w:bookmarkEnd w:id="700"/>
      <w:r>
        <w:rPr>
          <w:vertAlign w:val="baseline"/>
        </w:rPr>
        <w:t>B</w:t>
      </w:r>
      <w:r>
        <w:rPr>
          <w:vertAlign w:val="baseline"/>
        </w:rPr>
        <w:t> in advance and B has done no part of the work: in that case A will be entitled to claim restitution of </w:t>
      </w:r>
      <w:bookmarkStart w:name="_bookmark699" w:id="701"/>
      <w:bookmarkEnd w:id="701"/>
      <w:r>
        <w:rPr>
          <w:vertAlign w:val="baseline"/>
        </w:rPr>
        <w:t>his</w:t>
      </w:r>
      <w:r>
        <w:rPr>
          <w:vertAlign w:val="baseline"/>
        </w:rPr>
        <w:t> payment </w:t>
      </w:r>
      <w:r>
        <w:rPr>
          <w:color w:val="005DA1"/>
          <w:u w:val="single" w:color="005DA1"/>
          <w:vertAlign w:val="superscript"/>
        </w:rPr>
        <w:t>447</w:t>
      </w:r>
      <w:r>
        <w:rPr>
          <w:color w:val="005DA1"/>
          <w:vertAlign w:val="baseline"/>
        </w:rPr>
        <w:t> </w:t>
      </w:r>
      <w:r>
        <w:rPr>
          <w:vertAlign w:val="baseline"/>
        </w:rPr>
        <w:t>together with damages for his own loss in respect of any extra cost of employing a </w:t>
      </w:r>
      <w:bookmarkStart w:name="_bookmark700" w:id="702"/>
      <w:bookmarkEnd w:id="702"/>
      <w:r>
        <w:rPr>
          <w:vertAlign w:val="baseline"/>
        </w:rPr>
        <w:t>substitute</w:t>
      </w:r>
      <w:r>
        <w:rPr>
          <w:vertAlign w:val="baseline"/>
        </w:rPr>
        <w:t> builder. </w:t>
      </w:r>
      <w:r>
        <w:rPr>
          <w:color w:val="005DA1"/>
          <w:u w:val="single" w:color="005DA1"/>
          <w:vertAlign w:val="superscript"/>
        </w:rPr>
        <w:t>448</w:t>
      </w:r>
      <w:r>
        <w:rPr>
          <w:color w:val="005DA1"/>
          <w:vertAlign w:val="baseline"/>
        </w:rPr>
        <w:t> </w:t>
      </w:r>
      <w:r>
        <w:rPr>
          <w:vertAlign w:val="baseline"/>
        </w:rPr>
        <w:t>So in none of these cases of total non-performance is there any “legal black hole” </w:t>
      </w:r>
      <w:r>
        <w:rPr>
          <w:color w:val="005DA1"/>
          <w:u w:val="single" w:color="005DA1"/>
          <w:vertAlign w:val="superscript"/>
        </w:rPr>
        <w:t>449</w:t>
      </w:r>
      <w:r>
        <w:rPr>
          <w:color w:val="005DA1"/>
          <w:vertAlign w:val="baseline"/>
        </w:rPr>
        <w:t> </w:t>
      </w:r>
      <w:r>
        <w:rPr>
          <w:vertAlign w:val="baseline"/>
        </w:rPr>
        <w:t>and hence no need to generate a new remedy at the suit of A in respect of C’s loss. The more difficult case is that of an advance payment by A followed by </w:t>
      </w:r>
      <w:r>
        <w:rPr>
          <w:rFonts w:ascii="Arial" w:hAnsi="Arial"/>
          <w:i/>
          <w:vertAlign w:val="baseline"/>
        </w:rPr>
        <w:t>part </w:t>
      </w:r>
      <w:r>
        <w:rPr>
          <w:vertAlign w:val="baseline"/>
        </w:rPr>
        <w:t>performance by B in circumstances in which A himself has suffered no loss, e.g. because A was under no obligation to C</w:t>
      </w:r>
      <w:r>
        <w:rPr>
          <w:spacing w:val="40"/>
          <w:vertAlign w:val="baseline"/>
        </w:rPr>
        <w:t> </w:t>
      </w:r>
      <w:bookmarkStart w:name="_bookmark701" w:id="703"/>
      <w:bookmarkEnd w:id="703"/>
      <w:r>
        <w:rPr>
          <w:vertAlign w:val="baseline"/>
        </w:rPr>
        <w:t>to</w:t>
      </w:r>
      <w:r>
        <w:rPr>
          <w:spacing w:val="-2"/>
          <w:vertAlign w:val="baseline"/>
        </w:rPr>
        <w:t> </w:t>
      </w:r>
      <w:r>
        <w:rPr>
          <w:vertAlign w:val="baseline"/>
        </w:rPr>
        <w:t>secure</w:t>
      </w:r>
      <w:r>
        <w:rPr>
          <w:spacing w:val="-2"/>
          <w:vertAlign w:val="baseline"/>
        </w:rPr>
        <w:t> </w:t>
      </w:r>
      <w:r>
        <w:rPr>
          <w:vertAlign w:val="baseline"/>
        </w:rPr>
        <w:t>completion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performance</w:t>
      </w:r>
      <w:r>
        <w:rPr>
          <w:spacing w:val="-2"/>
          <w:vertAlign w:val="baseline"/>
        </w:rPr>
        <w:t> </w:t>
      </w:r>
      <w:r>
        <w:rPr>
          <w:vertAlign w:val="baseline"/>
        </w:rPr>
        <w:t>that</w:t>
      </w:r>
      <w:r>
        <w:rPr>
          <w:spacing w:val="-2"/>
          <w:vertAlign w:val="baseline"/>
        </w:rPr>
        <w:t> </w:t>
      </w:r>
      <w:r>
        <w:rPr>
          <w:vertAlign w:val="baseline"/>
        </w:rPr>
        <w:t>B</w:t>
      </w:r>
      <w:r>
        <w:rPr>
          <w:spacing w:val="-2"/>
          <w:vertAlign w:val="baseline"/>
        </w:rPr>
        <w:t> </w:t>
      </w:r>
      <w:r>
        <w:rPr>
          <w:vertAlign w:val="baseline"/>
        </w:rPr>
        <w:t>was</w:t>
      </w:r>
      <w:r>
        <w:rPr>
          <w:spacing w:val="-2"/>
          <w:vertAlign w:val="baseline"/>
        </w:rPr>
        <w:t> </w:t>
      </w:r>
      <w:r>
        <w:rPr>
          <w:vertAlign w:val="baseline"/>
        </w:rPr>
        <w:t>to</w:t>
      </w:r>
      <w:r>
        <w:rPr>
          <w:spacing w:val="-2"/>
          <w:vertAlign w:val="baseline"/>
        </w:rPr>
        <w:t> </w:t>
      </w:r>
      <w:r>
        <w:rPr>
          <w:vertAlign w:val="baseline"/>
        </w:rPr>
        <w:t>render</w:t>
      </w:r>
      <w:r>
        <w:rPr>
          <w:spacing w:val="-2"/>
          <w:vertAlign w:val="baseline"/>
        </w:rPr>
        <w:t> </w:t>
      </w:r>
      <w:r>
        <w:rPr>
          <w:vertAlign w:val="baseline"/>
        </w:rPr>
        <w:t>and</w:t>
      </w:r>
      <w:r>
        <w:rPr>
          <w:spacing w:val="-2"/>
          <w:vertAlign w:val="baseline"/>
        </w:rPr>
        <w:t> </w:t>
      </w:r>
      <w:r>
        <w:rPr>
          <w:vertAlign w:val="baseline"/>
        </w:rPr>
        <w:t>has</w:t>
      </w:r>
      <w:r>
        <w:rPr>
          <w:spacing w:val="-2"/>
          <w:vertAlign w:val="baseline"/>
        </w:rPr>
        <w:t> </w:t>
      </w:r>
      <w:r>
        <w:rPr>
          <w:vertAlign w:val="baseline"/>
        </w:rPr>
        <w:t>neither</w:t>
      </w:r>
      <w:r>
        <w:rPr>
          <w:spacing w:val="-2"/>
          <w:vertAlign w:val="baseline"/>
        </w:rPr>
        <w:t> </w:t>
      </w:r>
      <w:r>
        <w:rPr>
          <w:vertAlign w:val="baseline"/>
        </w:rPr>
        <w:t>himself</w:t>
      </w:r>
      <w:r>
        <w:rPr>
          <w:spacing w:val="-2"/>
          <w:vertAlign w:val="baseline"/>
        </w:rPr>
        <w:t> </w:t>
      </w:r>
      <w:r>
        <w:rPr>
          <w:vertAlign w:val="baseline"/>
        </w:rPr>
        <w:t>taken</w:t>
      </w:r>
      <w:r>
        <w:rPr>
          <w:spacing w:val="-2"/>
          <w:vertAlign w:val="baseline"/>
        </w:rPr>
        <w:t> </w:t>
      </w:r>
      <w:r>
        <w:rPr>
          <w:vertAlign w:val="baseline"/>
        </w:rPr>
        <w:t>any</w:t>
      </w:r>
      <w:r>
        <w:rPr>
          <w:spacing w:val="-2"/>
          <w:vertAlign w:val="baseline"/>
        </w:rPr>
        <w:t> </w:t>
      </w:r>
      <w:r>
        <w:rPr>
          <w:vertAlign w:val="baseline"/>
        </w:rPr>
        <w:t>steps </w:t>
      </w:r>
      <w:bookmarkStart w:name="_bookmark702" w:id="704"/>
      <w:bookmarkEnd w:id="704"/>
      <w:r>
        <w:rPr>
          <w:vertAlign w:val="baseline"/>
        </w:rPr>
        <w:t>to</w:t>
      </w:r>
      <w:r>
        <w:rPr>
          <w:vertAlign w:val="baseline"/>
        </w:rPr>
        <w:t> secure that completion nor was likely to do so. </w:t>
      </w:r>
      <w:r>
        <w:rPr>
          <w:color w:val="005DA1"/>
          <w:u w:val="single" w:color="005DA1"/>
          <w:vertAlign w:val="superscript"/>
        </w:rPr>
        <w:t>450</w:t>
      </w:r>
      <w:r>
        <w:rPr>
          <w:color w:val="005DA1"/>
          <w:vertAlign w:val="baseline"/>
        </w:rPr>
        <w:t> </w:t>
      </w:r>
      <w:r>
        <w:rPr>
          <w:vertAlign w:val="baseline"/>
        </w:rPr>
        <w:t>In such a case of partial performance there is considerable difficulty in holding B liable for partial restitution </w:t>
      </w:r>
      <w:r>
        <w:rPr>
          <w:color w:val="005DA1"/>
          <w:u w:val="single" w:color="005DA1"/>
          <w:vertAlign w:val="superscript"/>
        </w:rPr>
        <w:t>451</w:t>
      </w:r>
      <w:r>
        <w:rPr>
          <w:vertAlign w:val="baseline"/>
        </w:rPr>
        <w:t>; and if, in addition, the remedy of </w:t>
      </w:r>
      <w:bookmarkStart w:name="_bookmark703" w:id="705"/>
      <w:bookmarkEnd w:id="705"/>
      <w:r>
        <w:rPr>
          <w:vertAlign w:val="baseline"/>
        </w:rPr>
        <w:t>specific</w:t>
      </w:r>
      <w:r>
        <w:rPr>
          <w:vertAlign w:val="baseline"/>
        </w:rPr>
        <w:t> performance were not available (e.g. because the contract was one for personal services to be rendered by B </w:t>
      </w:r>
      <w:r>
        <w:rPr>
          <w:color w:val="005DA1"/>
          <w:u w:val="single" w:color="005DA1"/>
          <w:vertAlign w:val="superscript"/>
        </w:rPr>
        <w:t>452</w:t>
      </w:r>
      <w:r>
        <w:rPr>
          <w:vertAlign w:val="baseline"/>
        </w:rPr>
        <w:t>), then there would be at least a partial “legal black hole” and this fact should (it is again submitted) be a ground for allowing A to recover substantial damages from B in respect of C’s </w:t>
      </w:r>
      <w:r>
        <w:rPr>
          <w:spacing w:val="-2"/>
          <w:vertAlign w:val="baseline"/>
        </w:rPr>
        <w:t>loss.</w:t>
      </w:r>
    </w:p>
    <w:p>
      <w:pPr>
        <w:pStyle w:val="BodyText"/>
      </w:pPr>
    </w:p>
    <w:p>
      <w:pPr>
        <w:pStyle w:val="BodyText"/>
        <w:spacing w:before="30"/>
      </w:pPr>
    </w:p>
    <w:p>
      <w:pPr>
        <w:spacing w:before="0"/>
        <w:ind w:left="165" w:right="0" w:firstLine="0"/>
        <w:jc w:val="left"/>
        <w:rPr>
          <w:rFonts w:ascii="Arial"/>
          <w:b/>
          <w:sz w:val="18"/>
        </w:rPr>
      </w:pPr>
      <w:r>
        <w:rPr>
          <w:rFonts w:ascii="Arial"/>
          <w:b/>
          <w:sz w:val="18"/>
        </w:rPr>
        <w:t>Use to which damages are </w:t>
      </w:r>
      <w:r>
        <w:rPr>
          <w:rFonts w:ascii="Arial"/>
          <w:b/>
          <w:spacing w:val="-5"/>
          <w:sz w:val="18"/>
        </w:rPr>
        <w:t>put</w:t>
      </w:r>
    </w:p>
    <w:p>
      <w:pPr>
        <w:pStyle w:val="BodyText"/>
        <w:spacing w:before="41"/>
        <w:rPr>
          <w:rFonts w:ascii="Arial"/>
          <w:b/>
          <w:sz w:val="18"/>
        </w:rPr>
      </w:pPr>
    </w:p>
    <w:p>
      <w:pPr>
        <w:pStyle w:val="Heading2"/>
        <w:spacing w:before="1"/>
      </w:pPr>
      <w:r>
        <w:rPr/>
        <w:t>18-</w:t>
      </w:r>
      <w:r>
        <w:rPr>
          <w:spacing w:val="-5"/>
        </w:rPr>
        <w:t>066</w:t>
      </w:r>
    </w:p>
    <w:p>
      <w:pPr>
        <w:pStyle w:val="BodyText"/>
        <w:spacing w:line="235" w:lineRule="auto" w:before="202"/>
        <w:ind w:left="165" w:right="167"/>
        <w:jc w:val="both"/>
      </w:pPr>
      <w:r>
        <w:rPr/>
        <w:t>It will be recalled that, in his statement of the “broader ground” in the </w:t>
      </w:r>
      <w:r>
        <w:rPr>
          <w:rFonts w:ascii="Arial" w:hAnsi="Arial"/>
          <w:i/>
        </w:rPr>
        <w:t>Linden Gardens </w:t>
      </w:r>
      <w:r>
        <w:rPr/>
        <w:t>case, Lord </w:t>
      </w:r>
      <w:bookmarkStart w:name="_bookmark704" w:id="706"/>
      <w:bookmarkEnd w:id="706"/>
      <w:r>
        <w:rPr/>
        <w:t>Griffiths</w:t>
      </w:r>
      <w:r>
        <w:rPr/>
        <w:t> said that the court would wish to be “satisfied that the repairs have been or are likely to be carried out.” </w:t>
      </w:r>
      <w:r>
        <w:rPr>
          <w:color w:val="005DA1"/>
          <w:u w:val="single" w:color="005DA1"/>
          <w:vertAlign w:val="superscript"/>
        </w:rPr>
        <w:t>453</w:t>
      </w:r>
      <w:r>
        <w:rPr>
          <w:color w:val="005DA1"/>
          <w:vertAlign w:val="baseline"/>
        </w:rPr>
        <w:t> </w:t>
      </w:r>
      <w:r>
        <w:rPr>
          <w:vertAlign w:val="baseline"/>
        </w:rPr>
        <w:t>In later cases, conflicting views have been expressed on the question whether this </w:t>
      </w:r>
      <w:r>
        <w:rPr>
          <w:vertAlign w:val="baseline"/>
        </w:rPr>
        <w:t>is an essential requirement for the operation of the “broader ground.”</w:t>
      </w:r>
    </w:p>
    <w:p>
      <w:pPr>
        <w:pStyle w:val="BodyText"/>
        <w:spacing w:before="80"/>
      </w:pPr>
    </w:p>
    <w:p>
      <w:pPr>
        <w:pStyle w:val="Heading2"/>
      </w:pPr>
      <w:r>
        <w:rPr/>
        <w:t>18-</w:t>
      </w:r>
      <w:r>
        <w:rPr>
          <w:spacing w:val="-5"/>
        </w:rPr>
        <w:t>067</w:t>
      </w:r>
    </w:p>
    <w:p>
      <w:pPr>
        <w:pStyle w:val="BodyText"/>
        <w:spacing w:line="235" w:lineRule="auto" w:before="203"/>
        <w:ind w:left="165" w:right="167"/>
        <w:jc w:val="both"/>
      </w:pPr>
      <w:bookmarkStart w:name="_bookmark705" w:id="707"/>
      <w:bookmarkEnd w:id="707"/>
      <w:r>
        <w:rPr/>
      </w:r>
      <w:bookmarkStart w:name="_bookmark706" w:id="708"/>
      <w:bookmarkEnd w:id="708"/>
      <w:r>
        <w:rPr/>
      </w:r>
      <w:r>
        <w:rPr/>
        <w:t>One view is that it is not, since (at least as a general rule </w:t>
      </w:r>
      <w:r>
        <w:rPr>
          <w:color w:val="005DA1"/>
          <w:u w:val="single" w:color="005DA1"/>
          <w:vertAlign w:val="superscript"/>
        </w:rPr>
        <w:t>454</w:t>
      </w:r>
      <w:r>
        <w:rPr>
          <w:vertAlign w:val="baseline"/>
        </w:rPr>
        <w:t>) a court in awarding damages is not concerned with the question what the claimant intends to do with these damages </w:t>
      </w:r>
      <w:r>
        <w:rPr>
          <w:color w:val="005DA1"/>
          <w:u w:val="single" w:color="005DA1"/>
          <w:vertAlign w:val="superscript"/>
        </w:rPr>
        <w:t>455</w:t>
      </w:r>
      <w:r>
        <w:rPr>
          <w:vertAlign w:val="baseline"/>
        </w:rPr>
        <w:t>: that question is said to be relevant only to the issue of the “reasonableness” of the claimant’s conduct. This issue, however,</w:t>
      </w:r>
      <w:r>
        <w:rPr>
          <w:spacing w:val="8"/>
          <w:vertAlign w:val="baseline"/>
        </w:rPr>
        <w:t> </w:t>
      </w:r>
      <w:r>
        <w:rPr>
          <w:vertAlign w:val="baseline"/>
        </w:rPr>
        <w:t>arises,</w:t>
      </w:r>
      <w:r>
        <w:rPr>
          <w:spacing w:val="8"/>
          <w:vertAlign w:val="baseline"/>
        </w:rPr>
        <w:t> </w:t>
      </w:r>
      <w:r>
        <w:rPr>
          <w:vertAlign w:val="baseline"/>
        </w:rPr>
        <w:t>not</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purpose</w:t>
      </w:r>
      <w:r>
        <w:rPr>
          <w:spacing w:val="8"/>
          <w:vertAlign w:val="baseline"/>
        </w:rPr>
        <w:t> </w:t>
      </w:r>
      <w:r>
        <w:rPr>
          <w:vertAlign w:val="baseline"/>
        </w:rPr>
        <w:t>of</w:t>
      </w:r>
      <w:r>
        <w:rPr>
          <w:spacing w:val="8"/>
          <w:vertAlign w:val="baseline"/>
        </w:rPr>
        <w:t> </w:t>
      </w:r>
      <w:r>
        <w:rPr>
          <w:vertAlign w:val="baseline"/>
        </w:rPr>
        <w:t>determining</w:t>
      </w:r>
      <w:r>
        <w:rPr>
          <w:spacing w:val="8"/>
          <w:vertAlign w:val="baseline"/>
        </w:rPr>
        <w:t> </w:t>
      </w:r>
      <w:r>
        <w:rPr>
          <w:vertAlign w:val="baseline"/>
        </w:rPr>
        <w:t>the</w:t>
      </w:r>
      <w:r>
        <w:rPr>
          <w:spacing w:val="7"/>
          <w:vertAlign w:val="baseline"/>
        </w:rPr>
        <w:t> </w:t>
      </w:r>
      <w:r>
        <w:rPr>
          <w:rFonts w:ascii="Arial" w:hAnsi="Arial"/>
          <w:i/>
          <w:vertAlign w:val="baseline"/>
        </w:rPr>
        <w:t>existence</w:t>
      </w:r>
      <w:r>
        <w:rPr>
          <w:rFonts w:ascii="Arial" w:hAnsi="Arial"/>
          <w:i/>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claim</w:t>
      </w:r>
      <w:r>
        <w:rPr>
          <w:spacing w:val="8"/>
          <w:vertAlign w:val="baseline"/>
        </w:rPr>
        <w:t> </w:t>
      </w:r>
      <w:r>
        <w:rPr>
          <w:vertAlign w:val="baseline"/>
        </w:rPr>
        <w:t>for</w:t>
      </w:r>
      <w:r>
        <w:rPr>
          <w:spacing w:val="8"/>
          <w:vertAlign w:val="baseline"/>
        </w:rPr>
        <w:t> </w:t>
      </w:r>
      <w:r>
        <w:rPr>
          <w:vertAlign w:val="baseline"/>
        </w:rPr>
        <w:t>substantial</w:t>
      </w:r>
      <w:r>
        <w:rPr>
          <w:spacing w:val="8"/>
          <w:vertAlign w:val="baseline"/>
        </w:rPr>
        <w:t> </w:t>
      </w:r>
      <w:r>
        <w:rPr>
          <w:spacing w:val="-2"/>
          <w:vertAlign w:val="baseline"/>
        </w:rPr>
        <w:t>damages,</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707" w:id="709"/>
      <w:bookmarkEnd w:id="709"/>
      <w:r>
        <w:rPr/>
      </w:r>
      <w:r>
        <w:rPr/>
        <w:t>but its </w:t>
      </w:r>
      <w:r>
        <w:rPr>
          <w:rFonts w:ascii="Arial" w:hAnsi="Arial"/>
          <w:i/>
        </w:rPr>
        <w:t>extent</w:t>
      </w:r>
      <w:r>
        <w:rPr/>
        <w:t>: it may be relevant in determining whether damages in a two-party case are to be </w:t>
      </w:r>
      <w:bookmarkStart w:name="_bookmark708" w:id="710"/>
      <w:bookmarkEnd w:id="710"/>
      <w:r>
        <w:rPr/>
        <w:t>assessed</w:t>
      </w:r>
      <w:r>
        <w:rPr/>
        <w:t> on a difference in value or on a cost of cure basis, </w:t>
      </w:r>
      <w:r>
        <w:rPr>
          <w:color w:val="005DA1"/>
          <w:u w:val="single" w:color="005DA1"/>
          <w:vertAlign w:val="superscript"/>
        </w:rPr>
        <w:t>456</w:t>
      </w:r>
      <w:r>
        <w:rPr>
          <w:color w:val="005DA1"/>
          <w:vertAlign w:val="baseline"/>
        </w:rPr>
        <w:t> </w:t>
      </w:r>
      <w:r>
        <w:rPr>
          <w:vertAlign w:val="baseline"/>
        </w:rPr>
        <w:t>or whether the claimant has failed to mitigate his loss </w:t>
      </w:r>
      <w:r>
        <w:rPr>
          <w:color w:val="005DA1"/>
          <w:u w:val="single" w:color="005DA1"/>
          <w:vertAlign w:val="superscript"/>
        </w:rPr>
        <w:t>457</w:t>
      </w:r>
      <w:r>
        <w:rPr>
          <w:vertAlign w:val="baseline"/>
        </w:rPr>
        <w:t>; but such questions arise only on the assumption that a claim for substantial damages does exist. A related argument in favour of the view that the claimant’s intention with </w:t>
      </w:r>
      <w:r>
        <w:rPr>
          <w:vertAlign w:val="baseline"/>
        </w:rPr>
        <w:t>regard </w:t>
      </w:r>
      <w:bookmarkStart w:name="_bookmark709" w:id="711"/>
      <w:bookmarkEnd w:id="711"/>
      <w:r>
        <w:rPr>
          <w:vertAlign w:val="baseline"/>
        </w:rPr>
        <w:t>to</w:t>
      </w:r>
      <w:r>
        <w:rPr>
          <w:vertAlign w:val="baseline"/>
        </w:rPr>
        <w:t> the disposal of the damages is irrelevant is that he has been deprived by the defendant’s breach of the</w:t>
      </w:r>
      <w:r>
        <w:rPr>
          <w:spacing w:val="2"/>
          <w:vertAlign w:val="baseline"/>
        </w:rPr>
        <w:t> </w:t>
      </w:r>
      <w:r>
        <w:rPr>
          <w:vertAlign w:val="baseline"/>
        </w:rPr>
        <w:t>benefit</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bargain,</w:t>
      </w:r>
      <w:r>
        <w:rPr>
          <w:spacing w:val="2"/>
          <w:vertAlign w:val="baseline"/>
        </w:rPr>
        <w:t> </w:t>
      </w:r>
      <w:r>
        <w:rPr>
          <w:vertAlign w:val="baseline"/>
        </w:rPr>
        <w:t>and</w:t>
      </w:r>
      <w:r>
        <w:rPr>
          <w:spacing w:val="2"/>
          <w:vertAlign w:val="baseline"/>
        </w:rPr>
        <w:t> </w:t>
      </w:r>
      <w:r>
        <w:rPr>
          <w:vertAlign w:val="baseline"/>
        </w:rPr>
        <w:t>this</w:t>
      </w:r>
      <w:r>
        <w:rPr>
          <w:spacing w:val="2"/>
          <w:vertAlign w:val="baseline"/>
        </w:rPr>
        <w:t> </w:t>
      </w:r>
      <w:r>
        <w:rPr>
          <w:vertAlign w:val="baseline"/>
        </w:rPr>
        <w:t>fact</w:t>
      </w:r>
      <w:r>
        <w:rPr>
          <w:spacing w:val="2"/>
          <w:vertAlign w:val="baseline"/>
        </w:rPr>
        <w:t> </w:t>
      </w:r>
      <w:r>
        <w:rPr>
          <w:vertAlign w:val="baseline"/>
        </w:rPr>
        <w:t>is,</w:t>
      </w:r>
      <w:r>
        <w:rPr>
          <w:spacing w:val="2"/>
          <w:vertAlign w:val="baseline"/>
        </w:rPr>
        <w:t> </w:t>
      </w:r>
      <w:r>
        <w:rPr>
          <w:vertAlign w:val="baseline"/>
        </w:rPr>
        <w:t>of</w:t>
      </w:r>
      <w:r>
        <w:rPr>
          <w:spacing w:val="2"/>
          <w:vertAlign w:val="baseline"/>
        </w:rPr>
        <w:t> </w:t>
      </w:r>
      <w:r>
        <w:rPr>
          <w:vertAlign w:val="baseline"/>
        </w:rPr>
        <w:t>itself,</w:t>
      </w:r>
      <w:r>
        <w:rPr>
          <w:spacing w:val="2"/>
          <w:vertAlign w:val="baseline"/>
        </w:rPr>
        <w:t> </w:t>
      </w:r>
      <w:r>
        <w:rPr>
          <w:vertAlign w:val="baseline"/>
        </w:rPr>
        <w:t>enough</w:t>
      </w:r>
      <w:r>
        <w:rPr>
          <w:spacing w:val="2"/>
          <w:vertAlign w:val="baseline"/>
        </w:rPr>
        <w:t> </w:t>
      </w:r>
      <w:r>
        <w:rPr>
          <w:vertAlign w:val="baseline"/>
        </w:rPr>
        <w:t>to</w:t>
      </w:r>
      <w:r>
        <w:rPr>
          <w:spacing w:val="2"/>
          <w:vertAlign w:val="baseline"/>
        </w:rPr>
        <w:t> </w:t>
      </w:r>
      <w:r>
        <w:rPr>
          <w:vertAlign w:val="baseline"/>
        </w:rPr>
        <w:t>support</w:t>
      </w:r>
      <w:r>
        <w:rPr>
          <w:spacing w:val="2"/>
          <w:vertAlign w:val="baseline"/>
        </w:rPr>
        <w:t> </w:t>
      </w:r>
      <w:r>
        <w:rPr>
          <w:vertAlign w:val="baseline"/>
        </w:rPr>
        <w:t>a</w:t>
      </w:r>
      <w:r>
        <w:rPr>
          <w:spacing w:val="2"/>
          <w:vertAlign w:val="baseline"/>
        </w:rPr>
        <w:t> </w:t>
      </w:r>
      <w:r>
        <w:rPr>
          <w:vertAlign w:val="baseline"/>
        </w:rPr>
        <w:t>claim</w:t>
      </w:r>
      <w:r>
        <w:rPr>
          <w:spacing w:val="2"/>
          <w:vertAlign w:val="baseline"/>
        </w:rPr>
        <w:t> </w:t>
      </w:r>
      <w:r>
        <w:rPr>
          <w:vertAlign w:val="baseline"/>
        </w:rPr>
        <w:t>for</w:t>
      </w:r>
      <w:r>
        <w:rPr>
          <w:spacing w:val="2"/>
          <w:vertAlign w:val="baseline"/>
        </w:rPr>
        <w:t> </w:t>
      </w:r>
      <w:r>
        <w:rPr>
          <w:vertAlign w:val="baseline"/>
        </w:rPr>
        <w:t>substantial</w:t>
      </w:r>
      <w:r>
        <w:rPr>
          <w:spacing w:val="2"/>
          <w:vertAlign w:val="baseline"/>
        </w:rPr>
        <w:t> </w:t>
      </w:r>
      <w:r>
        <w:rPr>
          <w:spacing w:val="-2"/>
          <w:vertAlign w:val="baseline"/>
        </w:rPr>
        <w:t>damages.</w:t>
      </w:r>
    </w:p>
    <w:p>
      <w:pPr>
        <w:pStyle w:val="BodyText"/>
        <w:spacing w:line="235" w:lineRule="auto"/>
        <w:ind w:left="164" w:right="167"/>
        <w:jc w:val="both"/>
      </w:pPr>
      <w:r>
        <w:rPr>
          <w:color w:val="005DA1"/>
          <w:u w:val="single" w:color="005DA1"/>
          <w:vertAlign w:val="superscript"/>
        </w:rPr>
        <w:t>458</w:t>
      </w:r>
      <w:r>
        <w:rPr>
          <w:color w:val="005DA1"/>
          <w:vertAlign w:val="baseline"/>
        </w:rPr>
        <w:t> </w:t>
      </w:r>
      <w:bookmarkStart w:name="_bookmark710" w:id="712"/>
      <w:bookmarkEnd w:id="712"/>
      <w:r>
        <w:rPr>
          <w:color w:val="005DA1"/>
          <w:spacing w:val="11"/>
          <w:vertAlign w:val="baseline"/>
        </w:rPr>
      </w:r>
      <w:r>
        <w:rPr>
          <w:vertAlign w:val="baseline"/>
        </w:rPr>
        <w:t>This line of reasoning is, however, with respect, hard to reconcile with the principle that the </w:t>
      </w:r>
      <w:r>
        <w:rPr>
          <w:vertAlign w:val="baseline"/>
        </w:rPr>
        <w:t>victim of a breach has no claim to substantial damages if the breach has no adverse effect on him. </w:t>
      </w:r>
      <w:r>
        <w:rPr>
          <w:color w:val="005DA1"/>
          <w:u w:val="single" w:color="005DA1"/>
          <w:vertAlign w:val="superscript"/>
        </w:rPr>
        <w:t>459</w:t>
      </w:r>
      <w:r>
        <w:rPr>
          <w:color w:val="005DA1"/>
          <w:vertAlign w:val="baseline"/>
        </w:rPr>
        <w:t> </w:t>
      </w:r>
      <w:r>
        <w:rPr>
          <w:vertAlign w:val="baseline"/>
        </w:rPr>
        <w:t>The assumption underlying this principle is that the mere failure to perform a contract does not suffice to </w:t>
      </w:r>
      <w:bookmarkStart w:name="_bookmark711" w:id="713"/>
      <w:bookmarkEnd w:id="713"/>
      <w:r>
        <w:rPr>
          <w:vertAlign w:val="baseline"/>
        </w:rPr>
        <w:t>sustain</w:t>
      </w:r>
      <w:r>
        <w:rPr>
          <w:vertAlign w:val="baseline"/>
        </w:rPr>
        <w:t> a claim for substantial damages: as Lord Clyde said in the </w:t>
      </w:r>
      <w:r>
        <w:rPr>
          <w:rFonts w:ascii="Arial" w:hAnsi="Arial"/>
          <w:i/>
          <w:vertAlign w:val="baseline"/>
        </w:rPr>
        <w:t>Panatown </w:t>
      </w:r>
      <w:r>
        <w:rPr>
          <w:vertAlign w:val="baseline"/>
        </w:rPr>
        <w:t>case, “A breach of </w:t>
      </w:r>
      <w:bookmarkStart w:name="_bookmark712" w:id="714"/>
      <w:bookmarkEnd w:id="714"/>
      <w:r>
        <w:rPr>
          <w:vertAlign w:val="baseline"/>
        </w:rPr>
        <w:t>contract</w:t>
      </w:r>
      <w:r>
        <w:rPr>
          <w:vertAlign w:val="baseline"/>
        </w:rPr>
        <w:t> may cause a loss but is not in itself a loss in any meaningful sense.” </w:t>
      </w:r>
      <w:r>
        <w:rPr>
          <w:color w:val="005DA1"/>
          <w:u w:val="single" w:color="005DA1"/>
          <w:vertAlign w:val="superscript"/>
        </w:rPr>
        <w:t>460</w:t>
      </w:r>
      <w:r>
        <w:rPr>
          <w:color w:val="005DA1"/>
          <w:vertAlign w:val="baseline"/>
        </w:rPr>
        <w:t> </w:t>
      </w:r>
      <w:r>
        <w:rPr>
          <w:vertAlign w:val="baseline"/>
        </w:rPr>
        <w:t>In the cases here under consideration, the breach will have no adverse effect on </w:t>
      </w:r>
      <w:r>
        <w:rPr>
          <w:rFonts w:ascii="Arial" w:hAnsi="Arial"/>
          <w:i/>
          <w:vertAlign w:val="baseline"/>
        </w:rPr>
        <w:t>the claimant </w:t>
      </w:r>
      <w:r>
        <w:rPr>
          <w:vertAlign w:val="baseline"/>
        </w:rPr>
        <w:t>(the promisee </w:t>
      </w:r>
      <w:r>
        <w:rPr>
          <w:color w:val="005DA1"/>
          <w:u w:val="single" w:color="005DA1"/>
          <w:vertAlign w:val="superscript"/>
        </w:rPr>
        <w:t>461</w:t>
      </w:r>
      <w:r>
        <w:rPr>
          <w:vertAlign w:val="baseline"/>
        </w:rPr>
        <w:t>) unless he has carried out, or intends to carry out, cure; and the argument that he has been deprived of his bargain cannot answer the question whether it must be shown that this deprivation has had an adverse effect on </w:t>
      </w:r>
      <w:r>
        <w:rPr>
          <w:rFonts w:ascii="Arial" w:hAnsi="Arial"/>
          <w:i/>
          <w:vertAlign w:val="baseline"/>
        </w:rPr>
        <w:t>him</w:t>
      </w:r>
      <w:r>
        <w:rPr>
          <w:vertAlign w:val="baseline"/>
        </w:rPr>
        <w:t>: it merely pushes this question back one stage.</w:t>
      </w:r>
    </w:p>
    <w:p>
      <w:pPr>
        <w:pStyle w:val="BodyText"/>
        <w:spacing w:before="75"/>
      </w:pPr>
    </w:p>
    <w:p>
      <w:pPr>
        <w:pStyle w:val="Heading2"/>
      </w:pPr>
      <w:r>
        <w:rPr/>
        <w:t>18-</w:t>
      </w:r>
      <w:r>
        <w:rPr>
          <w:spacing w:val="-5"/>
        </w:rPr>
        <w:t>068</w:t>
      </w:r>
    </w:p>
    <w:p>
      <w:pPr>
        <w:pStyle w:val="BodyText"/>
        <w:spacing w:line="235" w:lineRule="auto" w:before="203"/>
        <w:ind w:left="164" w:right="167"/>
        <w:jc w:val="both"/>
      </w:pPr>
      <w:r>
        <w:rPr/>
        <w:t>The alternative view is that damages in respect of the cost of curing the breach (and so of </w:t>
      </w:r>
      <w:r>
        <w:rPr/>
        <w:t>securing the intended benefit for the third party) can be recovered only if cure has been, or is likely to be, carried out. The main practical argument in favour of his view is that (as noted in para.18-063 above)</w:t>
      </w:r>
      <w:r>
        <w:rPr>
          <w:spacing w:val="40"/>
        </w:rPr>
        <w:t> </w:t>
      </w:r>
      <w:bookmarkStart w:name="_bookmark713" w:id="715"/>
      <w:bookmarkEnd w:id="715"/>
      <w:r>
        <w:rPr/>
        <w:t>it</w:t>
      </w:r>
      <w:r>
        <w:rPr/>
        <w:t> would be “unattractive” to allow the promisee to recover the cost of cure as damages in respect of </w:t>
      </w:r>
      <w:bookmarkStart w:name="_bookmark714" w:id="716"/>
      <w:bookmarkEnd w:id="716"/>
      <w:r>
        <w:rPr/>
        <w:t>his</w:t>
      </w:r>
      <w:r>
        <w:rPr/>
        <w:t> own loss and then to “put the money in his own pocket.” </w:t>
      </w:r>
      <w:r>
        <w:rPr>
          <w:color w:val="005DA1"/>
          <w:u w:val="single" w:color="005DA1"/>
          <w:vertAlign w:val="superscript"/>
        </w:rPr>
        <w:t>462</w:t>
      </w:r>
      <w:r>
        <w:rPr>
          <w:color w:val="005DA1"/>
          <w:vertAlign w:val="baseline"/>
        </w:rPr>
        <w:t> </w:t>
      </w:r>
      <w:r>
        <w:rPr>
          <w:vertAlign w:val="baseline"/>
        </w:rPr>
        <w:t>It is respectfully submitted that this is the preferable view. In a two-party case it is indeed generally </w:t>
      </w:r>
      <w:r>
        <w:rPr>
          <w:color w:val="005DA1"/>
          <w:u w:val="single" w:color="005DA1"/>
          <w:vertAlign w:val="superscript"/>
        </w:rPr>
        <w:t>463</w:t>
      </w:r>
      <w:r>
        <w:rPr>
          <w:color w:val="005DA1"/>
          <w:vertAlign w:val="baseline"/>
        </w:rPr>
        <w:t> </w:t>
      </w:r>
      <w:r>
        <w:rPr>
          <w:vertAlign w:val="baseline"/>
        </w:rPr>
        <w:t>no concern of the court’s what the claimant intends to do with the damages; but the rationale of this rule does not necessarily apply in a threeparty case. That rationale in a two-party case is that the defendant has, by reason of the breach, inflicted injury, loss or damage on the person or property </w:t>
      </w:r>
      <w:r>
        <w:rPr>
          <w:rFonts w:ascii="Arial" w:hAnsi="Arial"/>
          <w:i/>
          <w:vertAlign w:val="baseline"/>
        </w:rPr>
        <w:t>of the claimant </w:t>
      </w:r>
      <w:r>
        <w:rPr>
          <w:vertAlign w:val="baseline"/>
        </w:rPr>
        <w:t>(or has failed to improve, or to transfer, an asset belonging to, or to be vested in, the claimant) who should therefore be able to deal in whatever way he pleases with the damages awarded to him in substitution of the interest of</w:t>
      </w:r>
      <w:r>
        <w:rPr>
          <w:spacing w:val="80"/>
          <w:vertAlign w:val="baseline"/>
        </w:rPr>
        <w:t> </w:t>
      </w:r>
      <w:r>
        <w:rPr>
          <w:rFonts w:ascii="Arial" w:hAnsi="Arial"/>
          <w:i/>
          <w:vertAlign w:val="baseline"/>
        </w:rPr>
        <w:t>his own </w:t>
      </w:r>
      <w:r>
        <w:rPr>
          <w:vertAlign w:val="baseline"/>
        </w:rPr>
        <w:t>of which he has been deprived by the breach. For example, in the case of a contract to repair the claimant’s own house, he could, but for the breach, have sold the house at a price reflecting the value of the repairs, had they been properly carried out, and then have disposed of the proceeds of the</w:t>
      </w:r>
      <w:r>
        <w:rPr>
          <w:spacing w:val="-1"/>
          <w:vertAlign w:val="baseline"/>
        </w:rPr>
        <w:t> </w:t>
      </w:r>
      <w:r>
        <w:rPr>
          <w:vertAlign w:val="baseline"/>
        </w:rPr>
        <w:t>sale</w:t>
      </w:r>
      <w:r>
        <w:rPr>
          <w:spacing w:val="-1"/>
          <w:vertAlign w:val="baseline"/>
        </w:rPr>
        <w:t> </w:t>
      </w:r>
      <w:r>
        <w:rPr>
          <w:vertAlign w:val="baseline"/>
        </w:rPr>
        <w:t>in</w:t>
      </w:r>
      <w:r>
        <w:rPr>
          <w:spacing w:val="-1"/>
          <w:vertAlign w:val="baseline"/>
        </w:rPr>
        <w:t> </w:t>
      </w:r>
      <w:r>
        <w:rPr>
          <w:vertAlign w:val="baseline"/>
        </w:rPr>
        <w:t>any</w:t>
      </w:r>
      <w:r>
        <w:rPr>
          <w:spacing w:val="-1"/>
          <w:vertAlign w:val="baseline"/>
        </w:rPr>
        <w:t> </w:t>
      </w:r>
      <w:r>
        <w:rPr>
          <w:vertAlign w:val="baseline"/>
        </w:rPr>
        <w:t>way</w:t>
      </w:r>
      <w:r>
        <w:rPr>
          <w:spacing w:val="-1"/>
          <w:vertAlign w:val="baseline"/>
        </w:rPr>
        <w:t> </w:t>
      </w:r>
      <w:r>
        <w:rPr>
          <w:vertAlign w:val="baseline"/>
        </w:rPr>
        <w:t>he</w:t>
      </w:r>
      <w:r>
        <w:rPr>
          <w:spacing w:val="-1"/>
          <w:vertAlign w:val="baseline"/>
        </w:rPr>
        <w:t> </w:t>
      </w:r>
      <w:r>
        <w:rPr>
          <w:vertAlign w:val="baseline"/>
        </w:rPr>
        <w:t>pleased;</w:t>
      </w:r>
      <w:r>
        <w:rPr>
          <w:spacing w:val="-1"/>
          <w:vertAlign w:val="baseline"/>
        </w:rPr>
        <w:t> </w:t>
      </w:r>
      <w:r>
        <w:rPr>
          <w:vertAlign w:val="baseline"/>
        </w:rPr>
        <w:t>and</w:t>
      </w:r>
      <w:r>
        <w:rPr>
          <w:spacing w:val="-1"/>
          <w:vertAlign w:val="baseline"/>
        </w:rPr>
        <w:t> </w:t>
      </w:r>
      <w:r>
        <w:rPr>
          <w:vertAlign w:val="baseline"/>
        </w:rPr>
        <w:t>so</w:t>
      </w:r>
      <w:r>
        <w:rPr>
          <w:spacing w:val="-1"/>
          <w:vertAlign w:val="baseline"/>
        </w:rPr>
        <w:t> </w:t>
      </w:r>
      <w:r>
        <w:rPr>
          <w:vertAlign w:val="baseline"/>
        </w:rPr>
        <w:t>he</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able</w:t>
      </w:r>
      <w:r>
        <w:rPr>
          <w:spacing w:val="-1"/>
          <w:vertAlign w:val="baseline"/>
        </w:rPr>
        <w:t> </w:t>
      </w:r>
      <w:r>
        <w:rPr>
          <w:vertAlign w:val="baseline"/>
        </w:rPr>
        <w:t>to</w:t>
      </w:r>
      <w:r>
        <w:rPr>
          <w:spacing w:val="-1"/>
          <w:vertAlign w:val="baseline"/>
        </w:rPr>
        <w:t> </w:t>
      </w:r>
      <w:r>
        <w:rPr>
          <w:vertAlign w:val="baseline"/>
        </w:rPr>
        <w:t>dispose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way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damages due to him for failure to carry out the repairs. Obviously, this reasoning cannot apply where the house is</w:t>
      </w:r>
      <w:r>
        <w:rPr>
          <w:spacing w:val="-1"/>
          <w:vertAlign w:val="baseline"/>
        </w:rPr>
        <w:t> </w:t>
      </w:r>
      <w:r>
        <w:rPr>
          <w:vertAlign w:val="baseline"/>
        </w:rPr>
        <w:t>owned,</w:t>
      </w:r>
      <w:r>
        <w:rPr>
          <w:spacing w:val="-1"/>
          <w:vertAlign w:val="baseline"/>
        </w:rPr>
        <w:t> </w:t>
      </w:r>
      <w:r>
        <w:rPr>
          <w:vertAlign w:val="baseline"/>
        </w:rPr>
        <w:t>not</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but</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third</w:t>
      </w:r>
      <w:r>
        <w:rPr>
          <w:spacing w:val="-1"/>
          <w:vertAlign w:val="baseline"/>
        </w:rPr>
        <w:t> </w:t>
      </w:r>
      <w:r>
        <w:rPr>
          <w:vertAlign w:val="baseline"/>
        </w:rPr>
        <w:t>party.</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also</w:t>
      </w:r>
      <w:r>
        <w:rPr>
          <w:spacing w:val="-1"/>
          <w:vertAlign w:val="baseline"/>
        </w:rPr>
        <w:t> </w:t>
      </w:r>
      <w:r>
        <w:rPr>
          <w:vertAlign w:val="baseline"/>
        </w:rPr>
        <w:t>the</w:t>
      </w:r>
      <w:r>
        <w:rPr>
          <w:spacing w:val="-1"/>
          <w:vertAlign w:val="baseline"/>
        </w:rPr>
        <w:t> </w:t>
      </w:r>
      <w:r>
        <w:rPr>
          <w:vertAlign w:val="baseline"/>
        </w:rPr>
        <w:t>further</w:t>
      </w:r>
      <w:r>
        <w:rPr>
          <w:spacing w:val="-1"/>
          <w:vertAlign w:val="baseline"/>
        </w:rPr>
        <w:t> </w:t>
      </w:r>
      <w:r>
        <w:rPr>
          <w:vertAlign w:val="baseline"/>
        </w:rPr>
        <w:t>point</w:t>
      </w:r>
      <w:r>
        <w:rPr>
          <w:spacing w:val="-1"/>
          <w:vertAlign w:val="baseline"/>
        </w:rPr>
        <w:t> </w:t>
      </w:r>
      <w:r>
        <w:rPr>
          <w:vertAlign w:val="baseline"/>
        </w:rPr>
        <w:t>that,</w:t>
      </w:r>
      <w:r>
        <w:rPr>
          <w:spacing w:val="-1"/>
          <w:vertAlign w:val="baseline"/>
        </w:rPr>
        <w:t> </w:t>
      </w:r>
      <w:r>
        <w:rPr>
          <w:vertAlign w:val="baseline"/>
        </w:rPr>
        <w:t>although</w:t>
      </w:r>
      <w:r>
        <w:rPr>
          <w:spacing w:val="-1"/>
          <w:vertAlign w:val="baseline"/>
        </w:rPr>
        <w:t> </w:t>
      </w:r>
      <w:r>
        <w:rPr>
          <w:vertAlign w:val="baseline"/>
        </w:rPr>
        <w:t>in</w:t>
      </w:r>
      <w:r>
        <w:rPr>
          <w:spacing w:val="-1"/>
          <w:vertAlign w:val="baseline"/>
        </w:rPr>
        <w:t> </w:t>
      </w:r>
      <w:r>
        <w:rPr>
          <w:vertAlign w:val="baseline"/>
        </w:rPr>
        <w:t>Lord Griffiths’ example the claimant as a matter of legal principle recovers damages in respect of his </w:t>
      </w:r>
      <w:r>
        <w:rPr>
          <w:rFonts w:ascii="Arial" w:hAnsi="Arial"/>
          <w:i/>
          <w:vertAlign w:val="baseline"/>
        </w:rPr>
        <w:t>own </w:t>
      </w:r>
      <w:r>
        <w:rPr>
          <w:vertAlign w:val="baseline"/>
        </w:rPr>
        <w:t>loss, as a practical matter the purpose of the award in such a case is to protect the interests of the third party. Where damages are awarded in respect of a third party’s loss (under one of the</w:t>
      </w:r>
      <w:r>
        <w:rPr>
          <w:spacing w:val="40"/>
          <w:vertAlign w:val="baseline"/>
        </w:rPr>
        <w:t> </w:t>
      </w:r>
      <w:bookmarkStart w:name="_bookmark715" w:id="717"/>
      <w:bookmarkEnd w:id="717"/>
      <w:r>
        <w:rPr>
          <w:vertAlign w:val="baseline"/>
        </w:rPr>
        <w:t>exceptions</w:t>
      </w:r>
      <w:r>
        <w:rPr>
          <w:vertAlign w:val="baseline"/>
        </w:rPr>
        <w:t> to the general rule stated in paragraph 18-051 above) the court requires the promisee to hold these damages for the third party. </w:t>
      </w:r>
      <w:r>
        <w:rPr>
          <w:color w:val="005DA1"/>
          <w:u w:val="single" w:color="005DA1"/>
          <w:vertAlign w:val="superscript"/>
        </w:rPr>
        <w:t>464</w:t>
      </w:r>
      <w:r>
        <w:rPr>
          <w:color w:val="005DA1"/>
          <w:vertAlign w:val="baseline"/>
        </w:rPr>
        <w:t> </w:t>
      </w:r>
      <w:r>
        <w:rPr>
          <w:vertAlign w:val="baseline"/>
        </w:rPr>
        <w:t>No such machinery is available where the damages are awarded in respect of the promisee’s own loss; but a practical way of ensuring that the damages are in fact destined for the benefit of the third party is to require the promisee to show (as a condition of his entitlement to substantial damages) that they will be so used.</w:t>
      </w:r>
    </w:p>
    <w:p>
      <w:pPr>
        <w:pStyle w:val="BodyText"/>
      </w:pPr>
    </w:p>
    <w:p>
      <w:pPr>
        <w:pStyle w:val="BodyText"/>
        <w:spacing w:before="29"/>
      </w:pPr>
    </w:p>
    <w:p>
      <w:pPr>
        <w:spacing w:before="0"/>
        <w:ind w:left="164" w:right="0" w:firstLine="0"/>
        <w:jc w:val="left"/>
        <w:rPr>
          <w:rFonts w:ascii="Arial"/>
          <w:b/>
          <w:sz w:val="18"/>
        </w:rPr>
      </w:pPr>
      <w:r>
        <w:rPr>
          <w:rFonts w:ascii="Arial"/>
          <w:b/>
          <w:sz w:val="18"/>
        </w:rPr>
        <w:t>No contract between claimant and </w:t>
      </w:r>
      <w:r>
        <w:rPr>
          <w:rFonts w:ascii="Arial"/>
          <w:b/>
          <w:spacing w:val="-2"/>
          <w:sz w:val="18"/>
        </w:rPr>
        <w:t>defendant</w:t>
      </w:r>
    </w:p>
    <w:p>
      <w:pPr>
        <w:pStyle w:val="BodyText"/>
        <w:spacing w:before="41"/>
        <w:rPr>
          <w:rFonts w:ascii="Arial"/>
          <w:b/>
          <w:sz w:val="18"/>
        </w:rPr>
      </w:pPr>
    </w:p>
    <w:p>
      <w:pPr>
        <w:pStyle w:val="Heading2"/>
        <w:spacing w:before="1"/>
        <w:ind w:left="164"/>
      </w:pPr>
      <w:r>
        <w:rPr/>
        <w:t>18-</w:t>
      </w:r>
      <w:r>
        <w:rPr>
          <w:spacing w:val="-5"/>
        </w:rPr>
        <w:t>069</w:t>
      </w:r>
    </w:p>
    <w:p>
      <w:pPr>
        <w:pStyle w:val="BodyText"/>
        <w:spacing w:line="235" w:lineRule="auto" w:before="202"/>
        <w:ind w:left="164" w:right="167"/>
        <w:jc w:val="both"/>
      </w:pPr>
      <w:bookmarkStart w:name="_bookmark716" w:id="718"/>
      <w:bookmarkEnd w:id="718"/>
      <w:r>
        <w:rPr/>
      </w:r>
      <w:r>
        <w:rPr/>
        <w:t>The principle established in the </w:t>
      </w:r>
      <w:r>
        <w:rPr>
          <w:rFonts w:ascii="Arial" w:hAnsi="Arial"/>
          <w:i/>
        </w:rPr>
        <w:t>Linden Gardens </w:t>
      </w:r>
      <w:r>
        <w:rPr/>
        <w:t>case </w:t>
      </w:r>
      <w:r>
        <w:rPr>
          <w:color w:val="005DA1"/>
          <w:u w:val="single" w:color="005DA1"/>
          <w:vertAlign w:val="superscript"/>
        </w:rPr>
        <w:t>465</w:t>
      </w:r>
      <w:r>
        <w:rPr>
          <w:color w:val="005DA1"/>
          <w:vertAlign w:val="baseline"/>
        </w:rPr>
        <w:t> </w:t>
      </w:r>
      <w:r>
        <w:rPr>
          <w:vertAlign w:val="baseline"/>
        </w:rPr>
        <w:t>assumes that there is a contract between A </w:t>
      </w:r>
      <w:bookmarkStart w:name="_bookmark717" w:id="719"/>
      <w:bookmarkEnd w:id="719"/>
      <w:r>
        <w:rPr>
          <w:vertAlign w:val="baseline"/>
        </w:rPr>
        <w:t>and</w:t>
      </w:r>
      <w:r>
        <w:rPr>
          <w:vertAlign w:val="baseline"/>
        </w:rPr>
        <w:t> B, the breach of which causes loss to C. The principle therefore did not apply in </w:t>
      </w:r>
      <w:r>
        <w:rPr>
          <w:rFonts w:ascii="Arial" w:hAnsi="Arial"/>
          <w:i/>
          <w:vertAlign w:val="baseline"/>
        </w:rPr>
        <w:t>Smithkline Beecham plc v Apotex Europe Ltd </w:t>
      </w:r>
      <w:r>
        <w:rPr>
          <w:color w:val="005DA1"/>
          <w:u w:val="single" w:color="005DA1"/>
          <w:vertAlign w:val="superscript"/>
        </w:rPr>
        <w:t>466</w:t>
      </w:r>
      <w:r>
        <w:rPr>
          <w:color w:val="005DA1"/>
          <w:vertAlign w:val="baseline"/>
        </w:rPr>
        <w:t> </w:t>
      </w:r>
      <w:r>
        <w:rPr>
          <w:vertAlign w:val="baseline"/>
        </w:rPr>
        <w:t>where, in legal proceedings between A and B, an interim injunction was granted to B to restrain A from dealing in England with a pharmaceutical product; </w:t>
      </w:r>
      <w:r>
        <w:rPr>
          <w:vertAlign w:val="baseline"/>
        </w:rPr>
        <w:t>and as a condition of the grant of the injunction, B was required to give an undertaking to the court to comply with any order which the court might, in later proceedings, make requiring B to compensate A for any loss which the injunction had caused to A. It was held that A could not invoke the </w:t>
      </w:r>
      <w:r>
        <w:rPr>
          <w:rFonts w:ascii="Arial" w:hAnsi="Arial"/>
          <w:i/>
          <w:vertAlign w:val="baseline"/>
        </w:rPr>
        <w:t>Linden Gardens </w:t>
      </w:r>
      <w:r>
        <w:rPr>
          <w:vertAlign w:val="baseline"/>
        </w:rPr>
        <w:t>principle so as to recover damages in respect of loss suffered by A’s supplier, C, in consequence of the injunction. One reason for this conclusion was that the cases in which that </w:t>
      </w:r>
      <w:bookmarkStart w:name="_bookmark718" w:id="720"/>
      <w:bookmarkEnd w:id="720"/>
      <w:r>
        <w:rPr>
          <w:vertAlign w:val="baseline"/>
        </w:rPr>
        <w:t>principle</w:t>
      </w:r>
      <w:r>
        <w:rPr>
          <w:vertAlign w:val="baseline"/>
        </w:rPr>
        <w:t> had been applied were “only about what damages [could] be recovered for a breach of </w:t>
      </w:r>
      <w:bookmarkStart w:name="_bookmark719" w:id="721"/>
      <w:bookmarkEnd w:id="721"/>
      <w:r>
        <w:rPr>
          <w:vertAlign w:val="baseline"/>
        </w:rPr>
        <w:t>contract”</w:t>
      </w:r>
      <w:r>
        <w:rPr>
          <w:vertAlign w:val="baseline"/>
        </w:rPr>
        <w:t> </w:t>
      </w:r>
      <w:r>
        <w:rPr>
          <w:color w:val="005DA1"/>
          <w:u w:val="single" w:color="005DA1"/>
          <w:vertAlign w:val="superscript"/>
        </w:rPr>
        <w:t>467</w:t>
      </w:r>
      <w:r>
        <w:rPr>
          <w:color w:val="005DA1"/>
          <w:vertAlign w:val="baseline"/>
        </w:rPr>
        <w:t> </w:t>
      </w:r>
      <w:r>
        <w:rPr>
          <w:vertAlign w:val="baseline"/>
        </w:rPr>
        <w:t>and that the principle did not apply in the </w:t>
      </w:r>
      <w:r>
        <w:rPr>
          <w:rFonts w:ascii="Arial" w:hAnsi="Arial"/>
          <w:i/>
          <w:vertAlign w:val="baseline"/>
        </w:rPr>
        <w:t>Smithkline </w:t>
      </w:r>
      <w:r>
        <w:rPr>
          <w:vertAlign w:val="baseline"/>
        </w:rPr>
        <w:t>case since in that case “there [was] in</w:t>
      </w:r>
      <w:r>
        <w:rPr>
          <w:spacing w:val="21"/>
          <w:vertAlign w:val="baseline"/>
        </w:rPr>
        <w:t> </w:t>
      </w:r>
      <w:r>
        <w:rPr>
          <w:vertAlign w:val="baseline"/>
        </w:rPr>
        <w:t>fact</w:t>
      </w:r>
      <w:r>
        <w:rPr>
          <w:spacing w:val="21"/>
          <w:vertAlign w:val="baseline"/>
        </w:rPr>
        <w:t> </w:t>
      </w:r>
      <w:r>
        <w:rPr>
          <w:vertAlign w:val="baseline"/>
        </w:rPr>
        <w:t>no</w:t>
      </w:r>
      <w:r>
        <w:rPr>
          <w:spacing w:val="21"/>
          <w:vertAlign w:val="baseline"/>
        </w:rPr>
        <w:t> </w:t>
      </w:r>
      <w:r>
        <w:rPr>
          <w:vertAlign w:val="baseline"/>
        </w:rPr>
        <w:t>contract</w:t>
      </w:r>
      <w:r>
        <w:rPr>
          <w:spacing w:val="21"/>
          <w:vertAlign w:val="baseline"/>
        </w:rPr>
        <w:t> </w:t>
      </w:r>
      <w:r>
        <w:rPr>
          <w:vertAlign w:val="baseline"/>
        </w:rPr>
        <w:t>between</w:t>
      </w:r>
      <w:r>
        <w:rPr>
          <w:spacing w:val="21"/>
          <w:vertAlign w:val="baseline"/>
        </w:rPr>
        <w:t> </w:t>
      </w:r>
      <w:r>
        <w:rPr>
          <w:vertAlign w:val="baseline"/>
        </w:rPr>
        <w:t>the</w:t>
      </w:r>
      <w:r>
        <w:rPr>
          <w:spacing w:val="21"/>
          <w:vertAlign w:val="baseline"/>
        </w:rPr>
        <w:t> </w:t>
      </w:r>
      <w:r>
        <w:rPr>
          <w:vertAlign w:val="baseline"/>
        </w:rPr>
        <w:t>parties</w:t>
      </w:r>
      <w:r>
        <w:rPr>
          <w:spacing w:val="21"/>
          <w:vertAlign w:val="baseline"/>
        </w:rPr>
        <w:t> </w:t>
      </w:r>
      <w:r>
        <w:rPr>
          <w:vertAlign w:val="baseline"/>
        </w:rPr>
        <w:t>[i.e.</w:t>
      </w:r>
      <w:r>
        <w:rPr>
          <w:spacing w:val="21"/>
          <w:vertAlign w:val="baseline"/>
        </w:rPr>
        <w:t> </w:t>
      </w:r>
      <w:r>
        <w:rPr>
          <w:vertAlign w:val="baseline"/>
        </w:rPr>
        <w:t>A</w:t>
      </w:r>
      <w:r>
        <w:rPr>
          <w:spacing w:val="21"/>
          <w:vertAlign w:val="baseline"/>
        </w:rPr>
        <w:t> </w:t>
      </w:r>
      <w:r>
        <w:rPr>
          <w:vertAlign w:val="baseline"/>
        </w:rPr>
        <w:t>and</w:t>
      </w:r>
      <w:r>
        <w:rPr>
          <w:spacing w:val="21"/>
          <w:vertAlign w:val="baseline"/>
        </w:rPr>
        <w:t> </w:t>
      </w:r>
      <w:r>
        <w:rPr>
          <w:vertAlign w:val="baseline"/>
        </w:rPr>
        <w:t>B].</w:t>
      </w:r>
      <w:r>
        <w:rPr>
          <w:spacing w:val="21"/>
          <w:vertAlign w:val="baseline"/>
        </w:rPr>
        <w:t> </w:t>
      </w:r>
      <w:r>
        <w:rPr>
          <w:vertAlign w:val="baseline"/>
        </w:rPr>
        <w:t>The</w:t>
      </w:r>
      <w:r>
        <w:rPr>
          <w:spacing w:val="21"/>
          <w:vertAlign w:val="baseline"/>
        </w:rPr>
        <w:t> </w:t>
      </w:r>
      <w:r>
        <w:rPr>
          <w:vertAlign w:val="baseline"/>
        </w:rPr>
        <w:t>undertaking</w:t>
      </w:r>
      <w:r>
        <w:rPr>
          <w:spacing w:val="21"/>
          <w:vertAlign w:val="baseline"/>
        </w:rPr>
        <w:t> </w:t>
      </w:r>
      <w:r>
        <w:rPr>
          <w:vertAlign w:val="baseline"/>
        </w:rPr>
        <w:t>[was]</w:t>
      </w:r>
      <w:r>
        <w:rPr>
          <w:spacing w:val="21"/>
          <w:vertAlign w:val="baseline"/>
        </w:rPr>
        <w:t> </w:t>
      </w:r>
      <w:r>
        <w:rPr>
          <w:vertAlign w:val="baseline"/>
        </w:rPr>
        <w:t>given</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court.”</w:t>
      </w:r>
      <w:r>
        <w:rPr>
          <w:spacing w:val="20"/>
          <w:vertAlign w:val="baseline"/>
        </w:rPr>
        <w:t> </w:t>
      </w:r>
      <w:r>
        <w:rPr>
          <w:color w:val="005DA1"/>
          <w:spacing w:val="-5"/>
          <w:u w:val="single" w:color="005DA1"/>
          <w:vertAlign w:val="superscript"/>
        </w:rPr>
        <w:t>468</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This line of reasoning is, perhaps, not of itself conclusive since a principle akin to that of allowing a </w:t>
      </w:r>
      <w:bookmarkStart w:name="_bookmark720" w:id="722"/>
      <w:bookmarkEnd w:id="722"/>
      <w:r>
        <w:rPr/>
        <w:t>claimant</w:t>
      </w:r>
      <w:r>
        <w:rPr/>
        <w:t> to recover damages in respect of a third party’s loss appears to be recognised in the law </w:t>
      </w:r>
      <w:r>
        <w:rPr/>
        <w:t>of tort. </w:t>
      </w:r>
      <w:r>
        <w:rPr>
          <w:color w:val="005DA1"/>
          <w:u w:val="single" w:color="005DA1"/>
          <w:vertAlign w:val="superscript"/>
        </w:rPr>
        <w:t>469</w:t>
      </w:r>
      <w:r>
        <w:rPr>
          <w:color w:val="005DA1"/>
          <w:vertAlign w:val="baseline"/>
        </w:rPr>
        <w:t> </w:t>
      </w:r>
      <w:r>
        <w:rPr>
          <w:vertAlign w:val="baseline"/>
        </w:rPr>
        <w:t>The result in the </w:t>
      </w:r>
      <w:r>
        <w:rPr>
          <w:rFonts w:ascii="Arial" w:hAnsi="Arial"/>
          <w:i/>
          <w:vertAlign w:val="baseline"/>
        </w:rPr>
        <w:t>Smithkline </w:t>
      </w:r>
      <w:r>
        <w:rPr>
          <w:vertAlign w:val="baseline"/>
        </w:rPr>
        <w:t>case was, however, also justified on the further ground that, even if there had been a contract between A and B on the terms of the undertaking, A’s only interest in the </w:t>
      </w:r>
      <w:bookmarkStart w:name="_bookmark721" w:id="723"/>
      <w:bookmarkEnd w:id="723"/>
      <w:r>
        <w:rPr>
          <w:vertAlign w:val="baseline"/>
        </w:rPr>
        <w:t>performance</w:t>
      </w:r>
      <w:r>
        <w:rPr>
          <w:vertAlign w:val="baseline"/>
        </w:rPr>
        <w:t> of the hypothetical contract was in A’s not being restrained from dealing with the</w:t>
      </w:r>
      <w:r>
        <w:rPr>
          <w:spacing w:val="40"/>
          <w:vertAlign w:val="baseline"/>
        </w:rPr>
        <w:t> </w:t>
      </w:r>
      <w:r>
        <w:rPr>
          <w:vertAlign w:val="baseline"/>
        </w:rPr>
        <w:t>product, so that there was “no ‘legal black hole’ of the sort contemplated in </w:t>
      </w:r>
      <w:r>
        <w:rPr>
          <w:rFonts w:ascii="Arial" w:hAnsi="Arial"/>
          <w:i/>
          <w:vertAlign w:val="baseline"/>
        </w:rPr>
        <w:t>Linden Gardens</w:t>
      </w:r>
      <w:r>
        <w:rPr>
          <w:vertAlign w:val="baseline"/>
        </w:rPr>
        <w:t>.” </w:t>
      </w:r>
      <w:r>
        <w:rPr>
          <w:color w:val="005DA1"/>
          <w:u w:val="single" w:color="005DA1"/>
          <w:vertAlign w:val="superscript"/>
        </w:rPr>
        <w:t>470</w:t>
      </w:r>
      <w:r>
        <w:rPr>
          <w:color w:val="005DA1"/>
          <w:vertAlign w:val="baseline"/>
        </w:rPr>
        <w:t> </w:t>
      </w:r>
      <w:r>
        <w:rPr>
          <w:vertAlign w:val="baseline"/>
        </w:rPr>
        <w:t>B would be liable to A for breach of B’s hypothetical promise and full effect would be given to that promise by an award of damages to A in respect of the loss suffered by A as a result of the hypothetical breach.</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Relation to third party’s </w:t>
      </w:r>
      <w:r>
        <w:rPr>
          <w:rFonts w:ascii="Arial" w:hAnsi="Arial"/>
          <w:b/>
          <w:spacing w:val="-2"/>
          <w:sz w:val="18"/>
        </w:rPr>
        <w:t>right</w:t>
      </w:r>
    </w:p>
    <w:p>
      <w:pPr>
        <w:pStyle w:val="BodyText"/>
        <w:spacing w:before="41"/>
        <w:rPr>
          <w:rFonts w:ascii="Arial"/>
          <w:b/>
          <w:sz w:val="18"/>
        </w:rPr>
      </w:pPr>
    </w:p>
    <w:p>
      <w:pPr>
        <w:pStyle w:val="Heading2"/>
      </w:pPr>
      <w:r>
        <w:rPr/>
        <w:t>18-</w:t>
      </w:r>
      <w:r>
        <w:rPr>
          <w:spacing w:val="-5"/>
        </w:rPr>
        <w:t>070</w:t>
      </w:r>
    </w:p>
    <w:p>
      <w:pPr>
        <w:pStyle w:val="BodyText"/>
        <w:spacing w:line="235" w:lineRule="auto" w:before="203"/>
        <w:ind w:left="164" w:right="167"/>
        <w:jc w:val="both"/>
      </w:pPr>
      <w:bookmarkStart w:name="_bookmark722" w:id="724"/>
      <w:bookmarkEnd w:id="724"/>
      <w:r>
        <w:rPr/>
      </w:r>
      <w:r>
        <w:rPr/>
        <w:t>Even where, in one of the exceptional situations discussed above, </w:t>
      </w:r>
      <w:r>
        <w:rPr>
          <w:color w:val="005DA1"/>
          <w:u w:val="single" w:color="005DA1"/>
          <w:vertAlign w:val="superscript"/>
        </w:rPr>
        <w:t>471</w:t>
      </w:r>
      <w:r>
        <w:rPr>
          <w:color w:val="005DA1"/>
          <w:vertAlign w:val="baseline"/>
        </w:rPr>
        <w:t> </w:t>
      </w:r>
      <w:r>
        <w:rPr>
          <w:vertAlign w:val="baseline"/>
        </w:rPr>
        <w:t>the promisee can </w:t>
      </w:r>
      <w:r>
        <w:rPr>
          <w:vertAlign w:val="baseline"/>
        </w:rPr>
        <w:t>recover damages in respect of the third party’s loss, no right to enforce the contract is conferred directly on</w:t>
      </w:r>
      <w:r>
        <w:rPr>
          <w:spacing w:val="40"/>
          <w:vertAlign w:val="baseline"/>
        </w:rPr>
        <w:t> </w:t>
      </w:r>
      <w:bookmarkStart w:name="_bookmark723" w:id="725"/>
      <w:bookmarkEnd w:id="725"/>
      <w:r>
        <w:rPr>
          <w:vertAlign w:val="baseline"/>
        </w:rPr>
        <w:t>the</w:t>
      </w:r>
      <w:r>
        <w:rPr>
          <w:vertAlign w:val="baseline"/>
        </w:rPr>
        <w:t> third party, whose only claim will be to the fruits of any action which the promisee may decide to </w:t>
      </w:r>
      <w:bookmarkStart w:name="_bookmark724" w:id="726"/>
      <w:bookmarkEnd w:id="726"/>
      <w:r>
        <w:rPr>
          <w:vertAlign w:val="baseline"/>
        </w:rPr>
        <w:t>bring.</w:t>
      </w:r>
      <w:r>
        <w:rPr>
          <w:vertAlign w:val="baseline"/>
        </w:rPr>
        <w:t> </w:t>
      </w:r>
      <w:r>
        <w:rPr>
          <w:color w:val="005DA1"/>
          <w:u w:val="single" w:color="005DA1"/>
          <w:vertAlign w:val="superscript"/>
        </w:rPr>
        <w:t>472</w:t>
      </w:r>
      <w:r>
        <w:rPr>
          <w:color w:val="005DA1"/>
          <w:vertAlign w:val="baseline"/>
        </w:rPr>
        <w:t> </w:t>
      </w:r>
      <w:r>
        <w:rPr>
          <w:vertAlign w:val="baseline"/>
        </w:rPr>
        <w:t>The third party will have a direct right against the promisor only under one of the exceptions to the doctrine of privity. On the facts of some </w:t>
      </w:r>
      <w:r>
        <w:rPr>
          <w:color w:val="005DA1"/>
          <w:u w:val="single" w:color="005DA1"/>
          <w:vertAlign w:val="superscript"/>
        </w:rPr>
        <w:t>473</w:t>
      </w:r>
      <w:r>
        <w:rPr>
          <w:color w:val="005DA1"/>
          <w:vertAlign w:val="baseline"/>
        </w:rPr>
        <w:t> </w:t>
      </w:r>
      <w:r>
        <w:rPr>
          <w:vertAlign w:val="baseline"/>
        </w:rPr>
        <w:t>(though not of all) </w:t>
      </w:r>
      <w:r>
        <w:rPr>
          <w:color w:val="005DA1"/>
          <w:u w:val="single" w:color="005DA1"/>
          <w:vertAlign w:val="superscript"/>
        </w:rPr>
        <w:t>474</w:t>
      </w:r>
      <w:r>
        <w:rPr>
          <w:color w:val="005DA1"/>
          <w:vertAlign w:val="baseline"/>
        </w:rPr>
        <w:t> </w:t>
      </w:r>
      <w:r>
        <w:rPr>
          <w:vertAlign w:val="baseline"/>
        </w:rPr>
        <w:t>of the cases discussed above, </w:t>
      </w:r>
      <w:bookmarkStart w:name="_bookmark725" w:id="727"/>
      <w:bookmarkEnd w:id="727"/>
      <w:r>
        <w:rPr>
          <w:vertAlign w:val="baseline"/>
        </w:rPr>
        <w:t>the</w:t>
      </w:r>
      <w:r>
        <w:rPr>
          <w:vertAlign w:val="baseline"/>
        </w:rPr>
        <w:t> third party would probably, if those facts recurred now, have such a right under the Contracts (Rights of Third Parties) Act 1999. </w:t>
      </w:r>
      <w:r>
        <w:rPr>
          <w:color w:val="005DA1"/>
          <w:u w:val="single" w:color="005DA1"/>
          <w:vertAlign w:val="superscript"/>
        </w:rPr>
        <w:t>475</w:t>
      </w:r>
      <w:r>
        <w:rPr>
          <w:color w:val="005DA1"/>
          <w:vertAlign w:val="baseline"/>
        </w:rPr>
        <w:t> </w:t>
      </w:r>
      <w:r>
        <w:rPr>
          <w:vertAlign w:val="baseline"/>
        </w:rPr>
        <w:t>If the third party has such a right, then this very fact may restrict </w:t>
      </w:r>
      <w:bookmarkStart w:name="_bookmark726" w:id="728"/>
      <w:bookmarkEnd w:id="728"/>
      <w:r>
        <w:rPr>
          <w:vertAlign w:val="baseline"/>
        </w:rPr>
        <w:t>the</w:t>
      </w:r>
      <w:r>
        <w:rPr>
          <w:vertAlign w:val="baseline"/>
        </w:rPr>
        <w:t> number of situations in which the promisee can recover damages in respect of the third party’s </w:t>
      </w:r>
      <w:bookmarkStart w:name="_bookmark727" w:id="729"/>
      <w:bookmarkEnd w:id="729"/>
      <w:r>
        <w:rPr>
          <w:vertAlign w:val="baseline"/>
        </w:rPr>
        <w:t>loss</w:t>
      </w:r>
      <w:r>
        <w:rPr>
          <w:spacing w:val="7"/>
          <w:vertAlign w:val="baseline"/>
        </w:rPr>
        <w:t> </w:t>
      </w:r>
      <w:r>
        <w:rPr>
          <w:color w:val="005DA1"/>
          <w:u w:val="single" w:color="005DA1"/>
          <w:vertAlign w:val="superscript"/>
        </w:rPr>
        <w:t>476</w:t>
      </w:r>
      <w:r>
        <w:rPr>
          <w:vertAlign w:val="baseline"/>
        </w:rPr>
        <w:t>;</w:t>
      </w:r>
      <w:r>
        <w:rPr>
          <w:spacing w:val="8"/>
          <w:vertAlign w:val="baseline"/>
        </w:rPr>
        <w:t> </w:t>
      </w:r>
      <w:r>
        <w:rPr>
          <w:vertAlign w:val="baseline"/>
        </w:rPr>
        <w:t>and</w:t>
      </w:r>
      <w:r>
        <w:rPr>
          <w:spacing w:val="8"/>
          <w:vertAlign w:val="baseline"/>
        </w:rPr>
        <w:t> </w:t>
      </w:r>
      <w:r>
        <w:rPr>
          <w:vertAlign w:val="baseline"/>
        </w:rPr>
        <w:t>it</w:t>
      </w:r>
      <w:r>
        <w:rPr>
          <w:spacing w:val="8"/>
          <w:vertAlign w:val="baseline"/>
        </w:rPr>
        <w:t> </w:t>
      </w:r>
      <w:r>
        <w:rPr>
          <w:vertAlign w:val="baseline"/>
        </w:rPr>
        <w:t>will</w:t>
      </w:r>
      <w:r>
        <w:rPr>
          <w:spacing w:val="8"/>
          <w:vertAlign w:val="baseline"/>
        </w:rPr>
        <w:t> </w:t>
      </w:r>
      <w:r>
        <w:rPr>
          <w:vertAlign w:val="baseline"/>
        </w:rPr>
        <w:t>probably</w:t>
      </w:r>
      <w:r>
        <w:rPr>
          <w:spacing w:val="8"/>
          <w:vertAlign w:val="baseline"/>
        </w:rPr>
        <w:t> </w:t>
      </w:r>
      <w:r>
        <w:rPr>
          <w:vertAlign w:val="baseline"/>
        </w:rPr>
        <w:t>reduce</w:t>
      </w:r>
      <w:r>
        <w:rPr>
          <w:spacing w:val="8"/>
          <w:vertAlign w:val="baseline"/>
        </w:rPr>
        <w:t> </w:t>
      </w:r>
      <w:r>
        <w:rPr>
          <w:vertAlign w:val="baseline"/>
        </w:rPr>
        <w:t>the</w:t>
      </w:r>
      <w:r>
        <w:rPr>
          <w:spacing w:val="8"/>
          <w:vertAlign w:val="baseline"/>
        </w:rPr>
        <w:t> </w:t>
      </w:r>
      <w:r>
        <w:rPr>
          <w:vertAlign w:val="baseline"/>
        </w:rPr>
        <w:t>pressure</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courts</w:t>
      </w:r>
      <w:r>
        <w:rPr>
          <w:spacing w:val="8"/>
          <w:vertAlign w:val="baseline"/>
        </w:rPr>
        <w:t> </w:t>
      </w:r>
      <w:r>
        <w:rPr>
          <w:vertAlign w:val="baseline"/>
        </w:rPr>
        <w:t>to</w:t>
      </w:r>
      <w:r>
        <w:rPr>
          <w:spacing w:val="8"/>
          <w:vertAlign w:val="baseline"/>
        </w:rPr>
        <w:t> </w:t>
      </w:r>
      <w:r>
        <w:rPr>
          <w:vertAlign w:val="baseline"/>
        </w:rPr>
        <w:t>extend</w:t>
      </w:r>
      <w:r>
        <w:rPr>
          <w:spacing w:val="8"/>
          <w:vertAlign w:val="baseline"/>
        </w:rPr>
        <w:t> </w:t>
      </w:r>
      <w:r>
        <w:rPr>
          <w:vertAlign w:val="baseline"/>
        </w:rPr>
        <w:t>the</w:t>
      </w:r>
      <w:r>
        <w:rPr>
          <w:spacing w:val="8"/>
          <w:vertAlign w:val="baseline"/>
        </w:rPr>
        <w:t> </w:t>
      </w:r>
      <w:r>
        <w:rPr>
          <w:vertAlign w:val="baseline"/>
        </w:rPr>
        <w:t>range</w:t>
      </w:r>
      <w:r>
        <w:rPr>
          <w:spacing w:val="8"/>
          <w:vertAlign w:val="baseline"/>
        </w:rPr>
        <w:t> </w:t>
      </w:r>
      <w:r>
        <w:rPr>
          <w:vertAlign w:val="baseline"/>
        </w:rPr>
        <w:t>of</w:t>
      </w:r>
      <w:r>
        <w:rPr>
          <w:spacing w:val="8"/>
          <w:vertAlign w:val="baseline"/>
        </w:rPr>
        <w:t> </w:t>
      </w:r>
      <w:r>
        <w:rPr>
          <w:vertAlign w:val="baseline"/>
        </w:rPr>
        <w:t>such</w:t>
      </w:r>
      <w:r>
        <w:rPr>
          <w:spacing w:val="8"/>
          <w:vertAlign w:val="baseline"/>
        </w:rPr>
        <w:t> </w:t>
      </w:r>
      <w:r>
        <w:rPr>
          <w:spacing w:val="-2"/>
          <w:vertAlign w:val="baseline"/>
        </w:rPr>
        <w:t>situations.</w:t>
      </w:r>
    </w:p>
    <w:p>
      <w:pPr>
        <w:pStyle w:val="BodyText"/>
        <w:spacing w:line="235" w:lineRule="auto"/>
        <w:ind w:left="165" w:right="167"/>
        <w:jc w:val="both"/>
      </w:pPr>
      <w:r>
        <w:rPr>
          <w:color w:val="005DA1"/>
          <w:u w:val="single" w:color="005DA1"/>
          <w:vertAlign w:val="superscript"/>
        </w:rPr>
        <w:t>477</w:t>
      </w:r>
      <w:r>
        <w:rPr>
          <w:color w:val="005DA1"/>
          <w:vertAlign w:val="baseline"/>
        </w:rPr>
        <w:t> </w:t>
      </w:r>
      <w:r>
        <w:rPr>
          <w:vertAlign w:val="baseline"/>
        </w:rPr>
        <w:t>But s.4 of the 1999 Act preserves the promisee’s rights under the contract. </w:t>
      </w:r>
      <w:r>
        <w:rPr>
          <w:color w:val="005DA1"/>
          <w:u w:val="single" w:color="005DA1"/>
          <w:vertAlign w:val="superscript"/>
        </w:rPr>
        <w:t>478</w:t>
      </w:r>
      <w:r>
        <w:rPr>
          <w:color w:val="005DA1"/>
          <w:vertAlign w:val="baseline"/>
        </w:rPr>
        <w:t> </w:t>
      </w:r>
      <w:r>
        <w:rPr>
          <w:vertAlign w:val="baseline"/>
        </w:rPr>
        <w:t>The question of his right to recover damages in respect of the third party’s loss will therefore continue to arise and to </w:t>
      </w:r>
      <w:r>
        <w:rPr>
          <w:vertAlign w:val="baseline"/>
        </w:rPr>
        <w:t>be</w:t>
      </w:r>
      <w:r>
        <w:rPr>
          <w:spacing w:val="80"/>
          <w:vertAlign w:val="baseline"/>
        </w:rPr>
        <w:t> </w:t>
      </w:r>
      <w:bookmarkStart w:name="_bookmark728" w:id="730"/>
      <w:bookmarkEnd w:id="730"/>
      <w:r>
        <w:rPr>
          <w:vertAlign w:val="baseline"/>
        </w:rPr>
        <w:t>of</w:t>
      </w:r>
      <w:r>
        <w:rPr>
          <w:vertAlign w:val="baseline"/>
        </w:rPr>
        <w:t> practical importance: e.g. where the promisor has a defence against the third party which is not available against the promisee. </w:t>
      </w:r>
      <w:r>
        <w:rPr>
          <w:color w:val="005DA1"/>
          <w:u w:val="single" w:color="005DA1"/>
          <w:vertAlign w:val="superscript"/>
        </w:rPr>
        <w:t>479</w:t>
      </w:r>
    </w:p>
    <w:p>
      <w:pPr>
        <w:pStyle w:val="BodyText"/>
      </w:pPr>
    </w:p>
    <w:p>
      <w:pPr>
        <w:pStyle w:val="BodyText"/>
        <w:spacing w:before="33"/>
      </w:pPr>
    </w:p>
    <w:p>
      <w:pPr>
        <w:spacing w:before="1"/>
        <w:ind w:left="165" w:right="0" w:firstLine="0"/>
        <w:jc w:val="left"/>
        <w:rPr>
          <w:rFonts w:ascii="Arial"/>
          <w:b/>
          <w:sz w:val="18"/>
        </w:rPr>
      </w:pPr>
      <w:r>
        <w:rPr>
          <w:rFonts w:ascii="Arial"/>
          <w:b/>
          <w:sz w:val="18"/>
        </w:rPr>
        <w:t>Negative </w:t>
      </w:r>
      <w:r>
        <w:rPr>
          <w:rFonts w:ascii="Arial"/>
          <w:b/>
          <w:spacing w:val="-2"/>
          <w:sz w:val="18"/>
        </w:rPr>
        <w:t>promises</w:t>
      </w:r>
    </w:p>
    <w:p>
      <w:pPr>
        <w:pStyle w:val="BodyText"/>
        <w:spacing w:before="41"/>
        <w:rPr>
          <w:rFonts w:ascii="Arial"/>
          <w:b/>
          <w:sz w:val="18"/>
        </w:rPr>
      </w:pPr>
    </w:p>
    <w:p>
      <w:pPr>
        <w:pStyle w:val="Heading2"/>
      </w:pPr>
      <w:r>
        <w:rPr/>
        <w:t>18-</w:t>
      </w:r>
      <w:r>
        <w:rPr>
          <w:spacing w:val="-5"/>
        </w:rPr>
        <w:t>071</w:t>
      </w:r>
    </w:p>
    <w:p>
      <w:pPr>
        <w:pStyle w:val="BodyText"/>
        <w:spacing w:line="235" w:lineRule="auto" w:before="203"/>
        <w:ind w:left="165" w:right="167"/>
        <w:jc w:val="both"/>
      </w:pPr>
      <w:r>
        <w:rPr/>
        <w:t>In paras 18-051 to 18-069 above it has been assumed that the promise is positive in nature, e.g. </w:t>
      </w:r>
      <w:r>
        <w:rPr/>
        <w:t>to pay money, to deliver goods or to render some service. Where the promise is negative in nature, the promisee’s most obvious remedy is an injunction to restrain the promisor’s breach. This would, for example, be the position where A validly promised B not to compete with C.</w:t>
      </w:r>
    </w:p>
    <w:p>
      <w:pPr>
        <w:pStyle w:val="BodyText"/>
      </w:pPr>
    </w:p>
    <w:p>
      <w:pPr>
        <w:pStyle w:val="BodyText"/>
        <w:spacing w:before="36"/>
      </w:pPr>
    </w:p>
    <w:p>
      <w:pPr>
        <w:spacing w:before="1"/>
        <w:ind w:left="165" w:right="0" w:firstLine="0"/>
        <w:jc w:val="left"/>
        <w:rPr>
          <w:rFonts w:ascii="Arial"/>
          <w:b/>
          <w:sz w:val="18"/>
        </w:rPr>
      </w:pPr>
      <w:r>
        <w:rPr>
          <w:rFonts w:ascii="Arial"/>
          <w:b/>
          <w:sz w:val="18"/>
        </w:rPr>
        <w:t>Promise not to sue a third </w:t>
      </w:r>
      <w:r>
        <w:rPr>
          <w:rFonts w:ascii="Arial"/>
          <w:b/>
          <w:spacing w:val="-2"/>
          <w:sz w:val="18"/>
        </w:rPr>
        <w:t>party</w:t>
      </w:r>
    </w:p>
    <w:p>
      <w:pPr>
        <w:pStyle w:val="BodyText"/>
        <w:spacing w:before="41"/>
        <w:rPr>
          <w:rFonts w:ascii="Arial"/>
          <w:b/>
          <w:sz w:val="18"/>
        </w:rPr>
      </w:pPr>
    </w:p>
    <w:p>
      <w:pPr>
        <w:pStyle w:val="Heading2"/>
      </w:pPr>
      <w:r>
        <w:rPr/>
        <w:t>18-</w:t>
      </w:r>
      <w:r>
        <w:rPr>
          <w:spacing w:val="-5"/>
        </w:rPr>
        <w:t>072</w:t>
      </w:r>
    </w:p>
    <w:p>
      <w:pPr>
        <w:pStyle w:val="BodyText"/>
        <w:spacing w:line="235" w:lineRule="auto" w:before="203"/>
        <w:ind w:left="164" w:right="167"/>
        <w:jc w:val="both"/>
      </w:pPr>
      <w:r>
        <w:rPr/>
        <w:t>A further type of negative promise which gives rise to special difficulty is a promise by A to B </w:t>
      </w:r>
      <w:r>
        <w:rPr>
          <w:rFonts w:ascii="Arial" w:hAnsi="Arial"/>
          <w:i/>
        </w:rPr>
        <w:t>not to sue</w:t>
      </w:r>
      <w:r>
        <w:rPr>
          <w:rFonts w:ascii="Arial" w:hAnsi="Arial"/>
          <w:i/>
          <w:spacing w:val="-1"/>
        </w:rPr>
        <w:t> </w:t>
      </w:r>
      <w:r>
        <w:rPr/>
        <w:t>C.</w:t>
      </w:r>
      <w:r>
        <w:rPr>
          <w:spacing w:val="-1"/>
        </w:rPr>
        <w:t> </w:t>
      </w:r>
      <w:r>
        <w:rPr/>
        <w:t>If,</w:t>
      </w:r>
      <w:r>
        <w:rPr>
          <w:spacing w:val="-1"/>
        </w:rPr>
        <w:t> </w:t>
      </w:r>
      <w:r>
        <w:rPr/>
        <w:t>in</w:t>
      </w:r>
      <w:r>
        <w:rPr>
          <w:spacing w:val="-1"/>
        </w:rPr>
        <w:t> </w:t>
      </w:r>
      <w:r>
        <w:rPr/>
        <w:t>breach</w:t>
      </w:r>
      <w:r>
        <w:rPr>
          <w:spacing w:val="-1"/>
        </w:rPr>
        <w:t> </w:t>
      </w:r>
      <w:r>
        <w:rPr/>
        <w:t>of</w:t>
      </w:r>
      <w:r>
        <w:rPr>
          <w:spacing w:val="-1"/>
        </w:rPr>
        <w:t> </w:t>
      </w:r>
      <w:r>
        <w:rPr/>
        <w:t>such</w:t>
      </w:r>
      <w:r>
        <w:rPr>
          <w:spacing w:val="-1"/>
        </w:rPr>
        <w:t> </w:t>
      </w:r>
      <w:r>
        <w:rPr/>
        <w:t>a</w:t>
      </w:r>
      <w:r>
        <w:rPr>
          <w:spacing w:val="-1"/>
        </w:rPr>
        <w:t> </w:t>
      </w:r>
      <w:r>
        <w:rPr/>
        <w:t>promise,</w:t>
      </w:r>
      <w:r>
        <w:rPr>
          <w:spacing w:val="-1"/>
        </w:rPr>
        <w:t> </w:t>
      </w:r>
      <w:r>
        <w:rPr/>
        <w:t>A</w:t>
      </w:r>
      <w:r>
        <w:rPr>
          <w:spacing w:val="-1"/>
        </w:rPr>
        <w:t> </w:t>
      </w:r>
      <w:r>
        <w:rPr/>
        <w:t>nevertheless</w:t>
      </w:r>
      <w:r>
        <w:rPr>
          <w:spacing w:val="-1"/>
        </w:rPr>
        <w:t> </w:t>
      </w:r>
      <w:r>
        <w:rPr/>
        <w:t>does</w:t>
      </w:r>
      <w:r>
        <w:rPr>
          <w:spacing w:val="-1"/>
        </w:rPr>
        <w:t> </w:t>
      </w:r>
      <w:r>
        <w:rPr/>
        <w:t>sue</w:t>
      </w:r>
      <w:r>
        <w:rPr>
          <w:spacing w:val="-1"/>
        </w:rPr>
        <w:t> </w:t>
      </w:r>
      <w:r>
        <w:rPr/>
        <w:t>C,</w:t>
      </w:r>
      <w:r>
        <w:rPr>
          <w:spacing w:val="-1"/>
        </w:rPr>
        <w:t> </w:t>
      </w:r>
      <w:r>
        <w:rPr/>
        <w:t>it</w:t>
      </w:r>
      <w:r>
        <w:rPr>
          <w:spacing w:val="-1"/>
        </w:rPr>
        <w:t> </w:t>
      </w:r>
      <w:r>
        <w:rPr/>
        <w:t>would</w:t>
      </w:r>
      <w:r>
        <w:rPr>
          <w:spacing w:val="-1"/>
        </w:rPr>
        <w:t> </w:t>
      </w:r>
      <w:r>
        <w:rPr/>
        <w:t>not</w:t>
      </w:r>
      <w:r>
        <w:rPr>
          <w:spacing w:val="-1"/>
        </w:rPr>
        <w:t> </w:t>
      </w:r>
      <w:r>
        <w:rPr/>
        <w:t>be</w:t>
      </w:r>
      <w:r>
        <w:rPr>
          <w:spacing w:val="-1"/>
        </w:rPr>
        <w:t> </w:t>
      </w:r>
      <w:r>
        <w:rPr/>
        <w:t>appropriate</w:t>
      </w:r>
      <w:r>
        <w:rPr>
          <w:spacing w:val="-1"/>
        </w:rPr>
        <w:t> </w:t>
      </w:r>
      <w:r>
        <w:rPr/>
        <w:t>for</w:t>
      </w:r>
      <w:r>
        <w:rPr>
          <w:spacing w:val="-1"/>
        </w:rPr>
        <w:t> </w:t>
      </w:r>
      <w:r>
        <w:rPr/>
        <w:t>B</w:t>
      </w:r>
      <w:r>
        <w:rPr>
          <w:spacing w:val="-1"/>
        </w:rPr>
        <w:t> </w:t>
      </w:r>
      <w:r>
        <w:rPr/>
        <w:t>to </w:t>
      </w:r>
      <w:bookmarkStart w:name="_bookmark729" w:id="731"/>
      <w:bookmarkEnd w:id="731"/>
      <w:r>
        <w:rPr/>
        <w:t>start</w:t>
      </w:r>
      <w:r>
        <w:rPr/>
        <w:t> a second action for an injunction to restrain A from proceeding with the first action; for such a </w:t>
      </w:r>
      <w:bookmarkStart w:name="_bookmark730" w:id="732"/>
      <w:bookmarkEnd w:id="732"/>
      <w:r>
        <w:rPr/>
        <w:t>step</w:t>
      </w:r>
      <w:r>
        <w:rPr/>
        <w:t> would lead to undesirable multiplicity of legal proceedings. </w:t>
      </w:r>
      <w:r>
        <w:rPr>
          <w:color w:val="005DA1"/>
          <w:u w:val="single" w:color="005DA1"/>
          <w:vertAlign w:val="superscript"/>
        </w:rPr>
        <w:t>480</w:t>
      </w:r>
      <w:r>
        <w:rPr>
          <w:color w:val="005DA1"/>
          <w:vertAlign w:val="baseline"/>
        </w:rPr>
        <w:t> </w:t>
      </w:r>
      <w:r>
        <w:rPr>
          <w:vertAlign w:val="baseline"/>
        </w:rPr>
        <w:t>B’s remedy is to ask the court </w:t>
      </w:r>
      <w:r>
        <w:rPr>
          <w:vertAlign w:val="baseline"/>
        </w:rPr>
        <w:t>to exercise its discretion </w:t>
      </w:r>
      <w:r>
        <w:rPr>
          <w:color w:val="005DA1"/>
          <w:u w:val="single" w:color="005DA1"/>
          <w:vertAlign w:val="superscript"/>
        </w:rPr>
        <w:t>481</w:t>
      </w:r>
      <w:r>
        <w:rPr>
          <w:color w:val="005DA1"/>
          <w:vertAlign w:val="baseline"/>
        </w:rPr>
        <w:t> </w:t>
      </w:r>
      <w:r>
        <w:rPr>
          <w:vertAlign w:val="baseline"/>
        </w:rPr>
        <w:t>to stay A’s action against C. In </w:t>
      </w:r>
      <w:r>
        <w:rPr>
          <w:rFonts w:ascii="Arial" w:hAnsi="Arial"/>
          <w:i/>
          <w:vertAlign w:val="baseline"/>
        </w:rPr>
        <w:t>Gore v Van der Lann </w:t>
      </w:r>
      <w:r>
        <w:rPr>
          <w:color w:val="005DA1"/>
          <w:u w:val="single" w:color="005DA1"/>
          <w:vertAlign w:val="superscript"/>
        </w:rPr>
        <w:t>482</w:t>
      </w:r>
      <w:r>
        <w:rPr>
          <w:color w:val="005DA1"/>
          <w:vertAlign w:val="baseline"/>
        </w:rPr>
        <w:t> </w:t>
      </w:r>
      <w:r>
        <w:rPr>
          <w:vertAlign w:val="baseline"/>
        </w:rPr>
        <w:t>the Court of Appeal </w:t>
      </w:r>
      <w:bookmarkStart w:name="_bookmark731" w:id="733"/>
      <w:bookmarkEnd w:id="733"/>
      <w:r>
        <w:rPr>
          <w:vertAlign w:val="baseline"/>
        </w:rPr>
        <w:t>held</w:t>
      </w:r>
      <w:r>
        <w:rPr>
          <w:vertAlign w:val="baseline"/>
        </w:rPr>
        <w:t> that B could obtain a stay of A’s action against C only if two conditions were satisfied: there must be a definite promise by A to B not to sue C, and B must have a sufficient interest </w:t>
      </w:r>
      <w:r>
        <w:rPr>
          <w:color w:val="005DA1"/>
          <w:u w:val="single" w:color="005DA1"/>
          <w:vertAlign w:val="superscript"/>
        </w:rPr>
        <w:t>483</w:t>
      </w:r>
      <w:r>
        <w:rPr>
          <w:color w:val="005DA1"/>
          <w:vertAlign w:val="baseline"/>
        </w:rPr>
        <w:t> </w:t>
      </w:r>
      <w:r>
        <w:rPr>
          <w:vertAlign w:val="baseline"/>
        </w:rPr>
        <w:t>in the enforcement of A’s promise. This last requirement would not be satisfied unless, as a result of A’s breach, B was exposed to the risk of incurring legal liability to C: for example where B had contracted with</w:t>
      </w:r>
      <w:r>
        <w:rPr>
          <w:spacing w:val="-1"/>
          <w:vertAlign w:val="baseline"/>
        </w:rPr>
        <w:t> </w:t>
      </w:r>
      <w:r>
        <w:rPr>
          <w:vertAlign w:val="baseline"/>
        </w:rPr>
        <w:t>C</w:t>
      </w:r>
      <w:r>
        <w:rPr>
          <w:spacing w:val="-1"/>
          <w:vertAlign w:val="baseline"/>
        </w:rPr>
        <w:t> </w:t>
      </w:r>
      <w:r>
        <w:rPr>
          <w:vertAlign w:val="baseline"/>
        </w:rPr>
        <w:t>to</w:t>
      </w:r>
      <w:r>
        <w:rPr>
          <w:spacing w:val="-1"/>
          <w:vertAlign w:val="baseline"/>
        </w:rPr>
        <w:t> </w:t>
      </w:r>
      <w:r>
        <w:rPr>
          <w:vertAlign w:val="baseline"/>
        </w:rPr>
        <w:t>procure</w:t>
      </w:r>
      <w:r>
        <w:rPr>
          <w:spacing w:val="-1"/>
          <w:vertAlign w:val="baseline"/>
        </w:rPr>
        <w:t> </w:t>
      </w:r>
      <w:r>
        <w:rPr>
          <w:vertAlign w:val="baseline"/>
        </w:rPr>
        <w:t>his</w:t>
      </w:r>
      <w:r>
        <w:rPr>
          <w:spacing w:val="-1"/>
          <w:vertAlign w:val="baseline"/>
        </w:rPr>
        <w:t> </w:t>
      </w:r>
      <w:r>
        <w:rPr>
          <w:vertAlign w:val="baseline"/>
        </w:rPr>
        <w:t>release</w:t>
      </w:r>
      <w:r>
        <w:rPr>
          <w:spacing w:val="-1"/>
          <w:vertAlign w:val="baseline"/>
        </w:rPr>
        <w:t> </w:t>
      </w:r>
      <w:r>
        <w:rPr>
          <w:vertAlign w:val="baseline"/>
        </w:rPr>
        <w:t>from</w:t>
      </w:r>
      <w:r>
        <w:rPr>
          <w:spacing w:val="-1"/>
          <w:vertAlign w:val="baseline"/>
        </w:rPr>
        <w:t> </w:t>
      </w:r>
      <w:r>
        <w:rPr>
          <w:vertAlign w:val="baseline"/>
        </w:rPr>
        <w:t>a</w:t>
      </w:r>
      <w:r>
        <w:rPr>
          <w:spacing w:val="-1"/>
          <w:vertAlign w:val="baseline"/>
        </w:rPr>
        <w:t> </w:t>
      </w:r>
      <w:r>
        <w:rPr>
          <w:vertAlign w:val="baseline"/>
        </w:rPr>
        <w:t>debt</w:t>
      </w:r>
      <w:r>
        <w:rPr>
          <w:spacing w:val="-1"/>
          <w:vertAlign w:val="baseline"/>
        </w:rPr>
        <w:t> </w:t>
      </w:r>
      <w:r>
        <w:rPr>
          <w:vertAlign w:val="baseline"/>
        </w:rPr>
        <w:t>or</w:t>
      </w:r>
      <w:r>
        <w:rPr>
          <w:spacing w:val="-1"/>
          <w:vertAlign w:val="baseline"/>
        </w:rPr>
        <w:t> </w:t>
      </w:r>
      <w:r>
        <w:rPr>
          <w:vertAlign w:val="baseline"/>
        </w:rPr>
        <w:t>liability</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and</w:t>
      </w:r>
      <w:r>
        <w:rPr>
          <w:spacing w:val="-1"/>
          <w:vertAlign w:val="baseline"/>
        </w:rPr>
        <w:t> </w:t>
      </w:r>
      <w:r>
        <w:rPr>
          <w:vertAlign w:val="baseline"/>
        </w:rPr>
        <w:t>B</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put</w:t>
      </w:r>
      <w:r>
        <w:rPr>
          <w:spacing w:val="-1"/>
          <w:vertAlign w:val="baseline"/>
        </w:rPr>
        <w:t> </w:t>
      </w:r>
      <w:r>
        <w:rPr>
          <w:vertAlign w:val="baseline"/>
        </w:rPr>
        <w:t>in</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that</w:t>
      </w:r>
      <w:r>
        <w:rPr>
          <w:spacing w:val="-1"/>
          <w:vertAlign w:val="baseline"/>
        </w:rPr>
        <w:t> </w:t>
      </w:r>
      <w:r>
        <w:rPr>
          <w:vertAlign w:val="baseline"/>
        </w:rPr>
        <w:t>contract by A’s action against C.</w:t>
      </w:r>
    </w:p>
    <w:p>
      <w:pPr>
        <w:pStyle w:val="BodyText"/>
        <w:spacing w:before="77"/>
      </w:pPr>
    </w:p>
    <w:p>
      <w:pPr>
        <w:pStyle w:val="Heading2"/>
      </w:pPr>
      <w:r>
        <w:rPr/>
        <w:t>18-</w:t>
      </w:r>
      <w:r>
        <w:rPr>
          <w:spacing w:val="-5"/>
        </w:rPr>
        <w:t>073</w:t>
      </w:r>
    </w:p>
    <w:p>
      <w:pPr>
        <w:pStyle w:val="BodyText"/>
        <w:spacing w:line="235" w:lineRule="auto" w:before="202"/>
        <w:ind w:left="165" w:right="167"/>
        <w:jc w:val="both"/>
      </w:pPr>
      <w:bookmarkStart w:name="_bookmark732" w:id="734"/>
      <w:bookmarkEnd w:id="734"/>
      <w:r>
        <w:rPr/>
      </w:r>
      <w:r>
        <w:rPr>
          <w:rFonts w:ascii="Arial"/>
          <w:i/>
        </w:rPr>
        <w:t>Snelling v John G. Snelling Ltd </w:t>
      </w:r>
      <w:r>
        <w:rPr>
          <w:color w:val="005DA1"/>
          <w:u w:val="single" w:color="005DA1"/>
          <w:vertAlign w:val="superscript"/>
        </w:rPr>
        <w:t>484</w:t>
      </w:r>
      <w:r>
        <w:rPr>
          <w:color w:val="005DA1"/>
          <w:vertAlign w:val="baseline"/>
        </w:rPr>
        <w:t> </w:t>
      </w:r>
      <w:r>
        <w:rPr>
          <w:vertAlign w:val="baseline"/>
        </w:rPr>
        <w:t>goes even further in giving effect to a promise of this kind. </w:t>
      </w:r>
      <w:r>
        <w:rPr>
          <w:vertAlign w:val="baseline"/>
        </w:rPr>
        <w:t>Three brothers</w:t>
      </w:r>
      <w:r>
        <w:rPr>
          <w:spacing w:val="5"/>
          <w:vertAlign w:val="baseline"/>
        </w:rPr>
        <w:t> </w:t>
      </w:r>
      <w:r>
        <w:rPr>
          <w:vertAlign w:val="baseline"/>
        </w:rPr>
        <w:t>had</w:t>
      </w:r>
      <w:r>
        <w:rPr>
          <w:spacing w:val="5"/>
          <w:vertAlign w:val="baseline"/>
        </w:rPr>
        <w:t> </w:t>
      </w:r>
      <w:r>
        <w:rPr>
          <w:vertAlign w:val="baseline"/>
        </w:rPr>
        <w:t>lent</w:t>
      </w:r>
      <w:r>
        <w:rPr>
          <w:spacing w:val="5"/>
          <w:vertAlign w:val="baseline"/>
        </w:rPr>
        <w:t> </w:t>
      </w:r>
      <w:r>
        <w:rPr>
          <w:vertAlign w:val="baseline"/>
        </w:rPr>
        <w:t>money</w:t>
      </w:r>
      <w:r>
        <w:rPr>
          <w:spacing w:val="5"/>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family</w:t>
      </w:r>
      <w:r>
        <w:rPr>
          <w:spacing w:val="5"/>
          <w:vertAlign w:val="baseline"/>
        </w:rPr>
        <w:t> </w:t>
      </w:r>
      <w:r>
        <w:rPr>
          <w:vertAlign w:val="baseline"/>
        </w:rPr>
        <w:t>company</w:t>
      </w:r>
      <w:r>
        <w:rPr>
          <w:spacing w:val="5"/>
          <w:vertAlign w:val="baseline"/>
        </w:rPr>
        <w:t> </w:t>
      </w:r>
      <w:r>
        <w:rPr>
          <w:vertAlign w:val="baseline"/>
        </w:rPr>
        <w:t>of</w:t>
      </w:r>
      <w:r>
        <w:rPr>
          <w:spacing w:val="5"/>
          <w:vertAlign w:val="baseline"/>
        </w:rPr>
        <w:t> </w:t>
      </w:r>
      <w:r>
        <w:rPr>
          <w:vertAlign w:val="baseline"/>
        </w:rPr>
        <w:t>which</w:t>
      </w:r>
      <w:r>
        <w:rPr>
          <w:spacing w:val="5"/>
          <w:vertAlign w:val="baseline"/>
        </w:rPr>
        <w:t> </w:t>
      </w:r>
      <w:r>
        <w:rPr>
          <w:vertAlign w:val="baseline"/>
        </w:rPr>
        <w:t>they</w:t>
      </w:r>
      <w:r>
        <w:rPr>
          <w:spacing w:val="5"/>
          <w:vertAlign w:val="baseline"/>
        </w:rPr>
        <w:t> </w:t>
      </w:r>
      <w:r>
        <w:rPr>
          <w:vertAlign w:val="baseline"/>
        </w:rPr>
        <w:t>were</w:t>
      </w:r>
      <w:r>
        <w:rPr>
          <w:spacing w:val="5"/>
          <w:vertAlign w:val="baseline"/>
        </w:rPr>
        <w:t> </w:t>
      </w:r>
      <w:r>
        <w:rPr>
          <w:vertAlign w:val="baseline"/>
        </w:rPr>
        <w:t>directors.</w:t>
      </w:r>
      <w:r>
        <w:rPr>
          <w:spacing w:val="5"/>
          <w:vertAlign w:val="baseline"/>
        </w:rPr>
        <w:t> </w:t>
      </w:r>
      <w:r>
        <w:rPr>
          <w:vertAlign w:val="baseline"/>
        </w:rPr>
        <w:t>They</w:t>
      </w:r>
      <w:r>
        <w:rPr>
          <w:spacing w:val="5"/>
          <w:vertAlign w:val="baseline"/>
        </w:rPr>
        <w:t> </w:t>
      </w:r>
      <w:r>
        <w:rPr>
          <w:vertAlign w:val="baseline"/>
        </w:rPr>
        <w:t>agreed</w:t>
      </w:r>
      <w:r>
        <w:rPr>
          <w:spacing w:val="5"/>
          <w:vertAlign w:val="baseline"/>
        </w:rPr>
        <w:t> </w:t>
      </w:r>
      <w:r>
        <w:rPr>
          <w:vertAlign w:val="baseline"/>
        </w:rPr>
        <w:t>that</w:t>
      </w:r>
      <w:r>
        <w:rPr>
          <w:spacing w:val="5"/>
          <w:vertAlign w:val="baseline"/>
        </w:rPr>
        <w:t> </w:t>
      </w:r>
      <w:r>
        <w:rPr>
          <w:vertAlign w:val="baseline"/>
        </w:rPr>
        <w:t>if</w:t>
      </w:r>
      <w:r>
        <w:rPr>
          <w:spacing w:val="5"/>
          <w:vertAlign w:val="baseline"/>
        </w:rPr>
        <w:t> </w:t>
      </w:r>
      <w:r>
        <w:rPr>
          <w:vertAlign w:val="baseline"/>
        </w:rPr>
        <w:t>one</w:t>
      </w:r>
      <w:r>
        <w:rPr>
          <w:spacing w:val="5"/>
          <w:vertAlign w:val="baseline"/>
        </w:rPr>
        <w:t> </w:t>
      </w:r>
      <w:r>
        <w:rPr>
          <w:spacing w:val="-5"/>
          <w:vertAlign w:val="baseline"/>
        </w:rPr>
        <w:t>of</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r>
        <w:rPr/>
        <w:t>them resigned he should “forfeit” any money due to him from the company. One of them did resign and sued the company for the amounts due to him. By way of defence the company relied on </w:t>
      </w:r>
      <w:r>
        <w:rPr/>
        <w:t>the </w:t>
      </w:r>
      <w:bookmarkStart w:name="_bookmark733" w:id="735"/>
      <w:bookmarkEnd w:id="735"/>
      <w:r>
        <w:rPr/>
        <w:t>agreement</w:t>
      </w:r>
      <w:r>
        <w:rPr/>
        <w:t> between the brothers, and if matters had rested there the defence would have failed as</w:t>
      </w:r>
      <w:r>
        <w:rPr>
          <w:spacing w:val="40"/>
        </w:rPr>
        <w:t> </w:t>
      </w:r>
      <w:r>
        <w:rPr/>
        <w:t>the company was not a party to the agreement. </w:t>
      </w:r>
      <w:r>
        <w:rPr>
          <w:color w:val="005DA1"/>
          <w:u w:val="single" w:color="005DA1"/>
          <w:vertAlign w:val="superscript"/>
        </w:rPr>
        <w:t>485</w:t>
      </w:r>
      <w:r>
        <w:rPr>
          <w:color w:val="005DA1"/>
          <w:vertAlign w:val="baseline"/>
        </w:rPr>
        <w:t> </w:t>
      </w:r>
      <w:r>
        <w:rPr>
          <w:vertAlign w:val="baseline"/>
        </w:rPr>
        <w:t>But the other two brothers applied to be joined as defendants to the action, adopted the company’s defence and counterclaimed for a declaration that </w:t>
      </w:r>
      <w:bookmarkStart w:name="_bookmark734" w:id="736"/>
      <w:bookmarkEnd w:id="736"/>
      <w:r>
        <w:rPr>
          <w:vertAlign w:val="baseline"/>
        </w:rPr>
        <w:t>the</w:t>
      </w:r>
      <w:r>
        <w:rPr>
          <w:vertAlign w:val="baseline"/>
        </w:rPr>
        <w:t> third brother’s loan was forfeited. It was held that they were entitled to such a declaration by virtue of the contract between them and the third brother. </w:t>
      </w:r>
      <w:r>
        <w:rPr>
          <w:color w:val="005DA1"/>
          <w:u w:val="single" w:color="005DA1"/>
          <w:vertAlign w:val="superscript"/>
        </w:rPr>
        <w:t>486</w:t>
      </w:r>
      <w:r>
        <w:rPr>
          <w:color w:val="005DA1"/>
          <w:vertAlign w:val="baseline"/>
        </w:rPr>
        <w:t> </w:t>
      </w:r>
      <w:r>
        <w:rPr>
          <w:vertAlign w:val="baseline"/>
        </w:rPr>
        <w:t>Ormrod J. further held that they could obtain a stay of that brother’s action against the company and that the most convenient way of disposing of</w:t>
      </w:r>
      <w:r>
        <w:rPr>
          <w:spacing w:val="80"/>
          <w:vertAlign w:val="baseline"/>
        </w:rPr>
        <w:t> </w:t>
      </w:r>
      <w:r>
        <w:rPr>
          <w:vertAlign w:val="baseline"/>
        </w:rPr>
        <w:t>the action against the company was to dismiss it. So far as the granting of the stay is concerned, the </w:t>
      </w:r>
      <w:bookmarkStart w:name="_bookmark735" w:id="737"/>
      <w:bookmarkEnd w:id="737"/>
      <w:r>
        <w:rPr>
          <w:vertAlign w:val="baseline"/>
        </w:rPr>
        <w:t>judgment</w:t>
      </w:r>
      <w:r>
        <w:rPr>
          <w:vertAlign w:val="baseline"/>
        </w:rPr>
        <w:t> is hard to reconcile with the requirement of a sufficient interest as explained in </w:t>
      </w:r>
      <w:r>
        <w:rPr>
          <w:rFonts w:ascii="Arial" w:hAnsi="Arial"/>
          <w:i/>
          <w:vertAlign w:val="baseline"/>
        </w:rPr>
        <w:t>Gore v Van </w:t>
      </w:r>
      <w:bookmarkStart w:name="_bookmark736" w:id="738"/>
      <w:bookmarkEnd w:id="738"/>
      <w:r>
        <w:rPr>
          <w:rFonts w:ascii="Arial" w:hAnsi="Arial"/>
          <w:i/>
          <w:vertAlign w:val="baseline"/>
        </w:rPr>
        <w:t>der</w:t>
      </w:r>
      <w:r>
        <w:rPr>
          <w:rFonts w:ascii="Arial" w:hAnsi="Arial"/>
          <w:i/>
          <w:vertAlign w:val="baseline"/>
        </w:rPr>
        <w:t> Lann</w:t>
      </w:r>
      <w:r>
        <w:rPr>
          <w:rFonts w:ascii="Arial" w:hAnsi="Arial"/>
          <w:i/>
          <w:spacing w:val="-1"/>
          <w:vertAlign w:val="baseline"/>
        </w:rPr>
        <w:t> </w:t>
      </w:r>
      <w:r>
        <w:rPr>
          <w:color w:val="005DA1"/>
          <w:u w:val="single" w:color="005DA1"/>
          <w:vertAlign w:val="superscript"/>
        </w:rPr>
        <w:t>487</w:t>
      </w:r>
      <w:r>
        <w:rPr>
          <w:vertAlign w:val="baseline"/>
        </w:rPr>
        <w:t>; but it is submitted that Ormrod J.’s actual decision is consistent with the spirit of</w:t>
      </w:r>
      <w:r>
        <w:rPr>
          <w:spacing w:val="-1"/>
          <w:vertAlign w:val="baseline"/>
        </w:rPr>
        <w:t> </w:t>
      </w:r>
      <w:r>
        <w:rPr>
          <w:rFonts w:ascii="Arial" w:hAnsi="Arial"/>
          <w:i/>
          <w:vertAlign w:val="baseline"/>
        </w:rPr>
        <w:t>Beswick v Beswick</w:t>
      </w:r>
      <w:r>
        <w:rPr>
          <w:vertAlign w:val="baseline"/>
        </w:rPr>
        <w:t>. </w:t>
      </w:r>
      <w:r>
        <w:rPr>
          <w:color w:val="005DA1"/>
          <w:u w:val="single" w:color="005DA1"/>
          <w:vertAlign w:val="superscript"/>
        </w:rPr>
        <w:t>488</w:t>
      </w:r>
      <w:r>
        <w:rPr>
          <w:color w:val="005DA1"/>
          <w:vertAlign w:val="baseline"/>
        </w:rPr>
        <w:t> </w:t>
      </w:r>
      <w:r>
        <w:rPr>
          <w:vertAlign w:val="baseline"/>
        </w:rPr>
        <w:t>If </w:t>
      </w:r>
      <w:r>
        <w:rPr>
          <w:rFonts w:ascii="Arial" w:hAnsi="Arial"/>
          <w:i/>
          <w:vertAlign w:val="baseline"/>
        </w:rPr>
        <w:t>the promisee </w:t>
      </w:r>
      <w:r>
        <w:rPr>
          <w:vertAlign w:val="baseline"/>
        </w:rPr>
        <w:t>takes steps specifically to enforce the contract, the court should wherever possible grant such remedy as is most appropriate for that purpose. Normally this will be an order of specific performance or an injunction. The fact that the latter remedy is not appropriate to enforce a promise not to sue should not deter the court from granting other remedies that serve </w:t>
      </w:r>
      <w:bookmarkStart w:name="_bookmark737" w:id="739"/>
      <w:bookmarkEnd w:id="739"/>
      <w:r>
        <w:rPr>
          <w:vertAlign w:val="baseline"/>
        </w:rPr>
        <w:t>substantially</w:t>
      </w:r>
      <w:r>
        <w:rPr>
          <w:vertAlign w:val="baseline"/>
        </w:rPr>
        <w:t> to enforce the promise. Such a remedy is, again, available only if it is sought </w:t>
      </w:r>
      <w:r>
        <w:rPr>
          <w:rFonts w:ascii="Arial" w:hAnsi="Arial"/>
          <w:i/>
          <w:vertAlign w:val="baseline"/>
        </w:rPr>
        <w:t>by the promisee</w:t>
      </w:r>
      <w:r>
        <w:rPr>
          <w:vertAlign w:val="baseline"/>
        </w:rPr>
        <w:t>. </w:t>
      </w:r>
      <w:r>
        <w:rPr>
          <w:color w:val="005DA1"/>
          <w:u w:val="single" w:color="005DA1"/>
          <w:vertAlign w:val="superscript"/>
        </w:rPr>
        <w:t>489</w:t>
      </w:r>
      <w:r>
        <w:rPr>
          <w:color w:val="005DA1"/>
          <w:vertAlign w:val="baseline"/>
        </w:rPr>
        <w:t> </w:t>
      </w:r>
      <w:r>
        <w:rPr>
          <w:vertAlign w:val="baseline"/>
        </w:rPr>
        <w:t>If, in the </w:t>
      </w:r>
      <w:r>
        <w:rPr>
          <w:rFonts w:ascii="Arial" w:hAnsi="Arial"/>
          <w:i/>
          <w:vertAlign w:val="baseline"/>
        </w:rPr>
        <w:t>Snelling </w:t>
      </w:r>
      <w:r>
        <w:rPr>
          <w:vertAlign w:val="baseline"/>
        </w:rPr>
        <w:t>case, the two brothers had not applied to be joined to the action, the company could not have relied on the agreement between them and the third brother by way of defence to that brother’s claim against it.</w:t>
      </w:r>
    </w:p>
    <w:p>
      <w:pPr>
        <w:pStyle w:val="BodyText"/>
      </w:pPr>
    </w:p>
    <w:p>
      <w:pPr>
        <w:pStyle w:val="BodyText"/>
        <w:spacing w:before="32"/>
      </w:pPr>
      <w:r>
        <w:rPr/>
        <mc:AlternateContent>
          <mc:Choice Requires="wps">
            <w:drawing>
              <wp:anchor distT="0" distB="0" distL="0" distR="0" allowOverlap="1" layoutInCell="1" locked="0" behindDoc="1" simplePos="0" relativeHeight="487613440">
                <wp:simplePos x="0" y="0"/>
                <wp:positionH relativeFrom="page">
                  <wp:posOffset>914400</wp:posOffset>
                </wp:positionH>
                <wp:positionV relativeFrom="paragraph">
                  <wp:posOffset>182001</wp:posOffset>
                </wp:positionV>
                <wp:extent cx="5724525"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30824pt;width:450.75pt;height:.1pt;mso-position-horizontal-relative:page;mso-position-vertical-relative:paragraph;z-index:-15703040;mso-wrap-distance-left:0;mso-wrap-distance-right:0" id="docshape24" coordorigin="1440,287" coordsize="9015,0" path="m1440,287l10454,287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1019"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4058112">
                      <wp:simplePos x="0" y="0"/>
                      <wp:positionH relativeFrom="column">
                        <wp:posOffset>31750</wp:posOffset>
                      </wp:positionH>
                      <wp:positionV relativeFrom="paragraph">
                        <wp:posOffset>89102</wp:posOffset>
                      </wp:positionV>
                      <wp:extent cx="49530" cy="635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49530" cy="6350"/>
                                <a:chExt cx="49530" cy="6350"/>
                              </a:xfrm>
                            </wpg:grpSpPr>
                            <wps:wsp>
                              <wps:cNvPr id="123" name="Graphic 123"/>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28pt;width:3.9pt;height:.5pt;mso-position-horizontal-relative:column;mso-position-vertical-relative:paragraph;z-index:-19258368" id="docshapegroup25" coordorigin="50,140" coordsize="78,10">
                      <v:line style="position:absolute" from="50,145" to="128,145" stroked="true" strokeweight=".5pt" strokecolor="#005da1">
                        <v:stroke dashstyle="solid"/>
                      </v:line>
                      <w10:wrap type="none"/>
                    </v:group>
                  </w:pict>
                </mc:Fallback>
              </mc:AlternateContent>
            </w:r>
            <w:hyperlink w:history="true" w:anchor="_bookmark1531">
              <w:r>
                <w:rPr>
                  <w:color w:val="005DA1"/>
                  <w:spacing w:val="-5"/>
                  <w:sz w:val="14"/>
                </w:rPr>
                <w:t>1</w:t>
              </w:r>
            </w:hyperlink>
            <w:r>
              <w:rPr>
                <w:spacing w:val="-5"/>
                <w:sz w:val="14"/>
              </w:rPr>
              <w:t>.</w:t>
            </w:r>
          </w:p>
        </w:tc>
        <w:tc>
          <w:tcPr>
            <w:tcW w:w="8659" w:type="dxa"/>
          </w:tcPr>
          <w:p>
            <w:pPr>
              <w:pStyle w:val="TableParagraph"/>
              <w:spacing w:line="221" w:lineRule="exact" w:before="0"/>
              <w:rPr>
                <w:rFonts w:ascii="Arial"/>
                <w:i/>
                <w:sz w:val="20"/>
              </w:rPr>
            </w:pP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pStyle w:val="TableParagraph"/>
              <w:spacing w:line="225" w:lineRule="exact" w:before="0"/>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TableParagraph"/>
              <w:spacing w:line="225" w:lineRule="exact" w:before="0"/>
              <w:rPr>
                <w:sz w:val="20"/>
              </w:rPr>
            </w:pPr>
            <w:r>
              <w:rPr>
                <w:sz w:val="20"/>
              </w:rPr>
              <w:t>M.L.R.</w:t>
            </w:r>
            <w:r>
              <w:rPr>
                <w:spacing w:val="11"/>
                <w:sz w:val="20"/>
              </w:rPr>
              <w:t> </w:t>
            </w:r>
            <w:r>
              <w:rPr>
                <w:sz w:val="20"/>
              </w:rPr>
              <w:t>374;</w:t>
            </w:r>
            <w:r>
              <w:rPr>
                <w:spacing w:val="13"/>
                <w:sz w:val="20"/>
              </w:rPr>
              <w:t> </w:t>
            </w:r>
            <w:r>
              <w:rPr>
                <w:sz w:val="20"/>
              </w:rPr>
              <w:t>Furmston</w:t>
            </w:r>
            <w:r>
              <w:rPr>
                <w:spacing w:val="13"/>
                <w:sz w:val="20"/>
              </w:rPr>
              <w:t> </w:t>
            </w:r>
            <w:r>
              <w:rPr>
                <w:sz w:val="20"/>
              </w:rPr>
              <w:t>(1960)</w:t>
            </w:r>
            <w:r>
              <w:rPr>
                <w:spacing w:val="13"/>
                <w:sz w:val="20"/>
              </w:rPr>
              <w:t> </w:t>
            </w:r>
            <w:r>
              <w:rPr>
                <w:sz w:val="20"/>
              </w:rPr>
              <w:t>23</w:t>
            </w:r>
            <w:r>
              <w:rPr>
                <w:spacing w:val="13"/>
                <w:sz w:val="20"/>
              </w:rPr>
              <w:t> </w:t>
            </w:r>
            <w:r>
              <w:rPr>
                <w:sz w:val="20"/>
              </w:rPr>
              <w:t>M.L.R.</w:t>
            </w:r>
            <w:r>
              <w:rPr>
                <w:spacing w:val="13"/>
                <w:sz w:val="20"/>
              </w:rPr>
              <w:t> </w:t>
            </w:r>
            <w:r>
              <w:rPr>
                <w:sz w:val="20"/>
              </w:rPr>
              <w:t>373;</w:t>
            </w:r>
            <w:r>
              <w:rPr>
                <w:spacing w:val="13"/>
                <w:sz w:val="20"/>
              </w:rPr>
              <w:t> </w:t>
            </w:r>
            <w:r>
              <w:rPr>
                <w:sz w:val="20"/>
              </w:rPr>
              <w:t>Wilson,</w:t>
            </w:r>
            <w:r>
              <w:rPr>
                <w:spacing w:val="13"/>
                <w:sz w:val="20"/>
              </w:rPr>
              <w:t> </w:t>
            </w:r>
            <w:r>
              <w:rPr>
                <w:sz w:val="20"/>
              </w:rPr>
              <w:t>11</w:t>
            </w:r>
            <w:r>
              <w:rPr>
                <w:spacing w:val="13"/>
                <w:sz w:val="20"/>
              </w:rPr>
              <w:t> </w:t>
            </w:r>
            <w:r>
              <w:rPr>
                <w:sz w:val="20"/>
              </w:rPr>
              <w:t>Sydney</w:t>
            </w:r>
            <w:r>
              <w:rPr>
                <w:spacing w:val="13"/>
                <w:sz w:val="20"/>
              </w:rPr>
              <w:t> </w:t>
            </w:r>
            <w:r>
              <w:rPr>
                <w:sz w:val="20"/>
              </w:rPr>
              <w:t>L.Rev.</w:t>
            </w:r>
            <w:r>
              <w:rPr>
                <w:spacing w:val="13"/>
                <w:sz w:val="20"/>
              </w:rPr>
              <w:t> </w:t>
            </w:r>
            <w:r>
              <w:rPr>
                <w:sz w:val="20"/>
              </w:rPr>
              <w:t>230</w:t>
            </w:r>
            <w:r>
              <w:rPr>
                <w:spacing w:val="13"/>
                <w:sz w:val="20"/>
              </w:rPr>
              <w:t> </w:t>
            </w:r>
            <w:r>
              <w:rPr>
                <w:sz w:val="20"/>
              </w:rPr>
              <w:t>(1987).</w:t>
            </w:r>
            <w:r>
              <w:rPr>
                <w:spacing w:val="13"/>
                <w:sz w:val="20"/>
              </w:rPr>
              <w:t> </w:t>
            </w:r>
            <w:r>
              <w:rPr>
                <w:spacing w:val="-2"/>
                <w:sz w:val="20"/>
              </w:rPr>
              <w:t>Flannigan</w:t>
            </w:r>
          </w:p>
          <w:p>
            <w:pPr>
              <w:pStyle w:val="TableParagraph"/>
              <w:spacing w:line="227" w:lineRule="exact" w:before="0"/>
              <w:rPr>
                <w:sz w:val="20"/>
              </w:rPr>
            </w:pPr>
            <w:r>
              <w:rPr>
                <w:sz w:val="20"/>
              </w:rPr>
              <w:t>(1989) 105 L.Q.R. 564; Kincaid [1989] C.L.J. 454; Andrews (1988) L.S. </w:t>
            </w:r>
            <w:r>
              <w:rPr>
                <w:spacing w:val="-5"/>
                <w:sz w:val="20"/>
              </w:rPr>
              <w:t>14.</w:t>
            </w:r>
          </w:p>
        </w:tc>
      </w:tr>
      <w:tr>
        <w:trPr>
          <w:trHeight w:val="465" w:hRule="atLeast"/>
        </w:trPr>
        <w:tc>
          <w:tcPr>
            <w:tcW w:w="457" w:type="dxa"/>
          </w:tcPr>
          <w:p>
            <w:pPr>
              <w:pStyle w:val="TableParagraph"/>
              <w:ind w:left="50"/>
              <w:rPr>
                <w:sz w:val="14"/>
              </w:rPr>
            </w:pPr>
            <w:bookmarkStart w:name="_bookmark738" w:id="740"/>
            <w:bookmarkEnd w:id="740"/>
            <w:r>
              <w:rPr/>
            </w:r>
            <w:hyperlink w:history="true" w:anchor="_bookmark545">
              <w:r>
                <w:rPr>
                  <w:color w:val="005DA1"/>
                  <w:spacing w:val="-4"/>
                  <w:sz w:val="14"/>
                  <w:u w:val="single" w:color="005DA1"/>
                </w:rPr>
                <w:t>287</w:t>
              </w:r>
            </w:hyperlink>
            <w:r>
              <w:rPr>
                <w:spacing w:val="-4"/>
                <w:sz w:val="14"/>
              </w:rPr>
              <w:t>.</w:t>
            </w:r>
          </w:p>
        </w:tc>
        <w:tc>
          <w:tcPr>
            <w:tcW w:w="8659" w:type="dxa"/>
          </w:tcPr>
          <w:p>
            <w:pPr>
              <w:pStyle w:val="TableParagraph"/>
              <w:spacing w:before="114"/>
              <w:rPr>
                <w:sz w:val="20"/>
              </w:rPr>
            </w:pPr>
            <w:r>
              <w:rPr>
                <w:rFonts w:ascii="Arial"/>
                <w:i/>
                <w:sz w:val="20"/>
              </w:rPr>
              <w:t>[1968]</w:t>
            </w:r>
            <w:r>
              <w:rPr>
                <w:rFonts w:ascii="Arial"/>
                <w:i/>
                <w:spacing w:val="-1"/>
                <w:sz w:val="20"/>
              </w:rPr>
              <w:t> </w:t>
            </w:r>
            <w:r>
              <w:rPr>
                <w:rFonts w:ascii="Arial"/>
                <w:i/>
                <w:sz w:val="20"/>
              </w:rPr>
              <w:t>A.C. 58</w:t>
            </w:r>
            <w:r>
              <w:rPr>
                <w:sz w:val="20"/>
              </w:rPr>
              <w:t>; above, para.18-</w:t>
            </w:r>
            <w:r>
              <w:rPr>
                <w:spacing w:val="-4"/>
                <w:sz w:val="20"/>
              </w:rPr>
              <w:t>022.</w:t>
            </w:r>
          </w:p>
        </w:tc>
      </w:tr>
      <w:tr>
        <w:trPr>
          <w:trHeight w:val="465" w:hRule="atLeast"/>
        </w:trPr>
        <w:tc>
          <w:tcPr>
            <w:tcW w:w="457" w:type="dxa"/>
          </w:tcPr>
          <w:p>
            <w:pPr>
              <w:pStyle w:val="TableParagraph"/>
              <w:ind w:left="50"/>
              <w:rPr>
                <w:sz w:val="14"/>
              </w:rPr>
            </w:pPr>
            <w:bookmarkStart w:name="_bookmark739" w:id="741"/>
            <w:bookmarkEnd w:id="741"/>
            <w:r>
              <w:rPr/>
            </w:r>
            <w:hyperlink w:history="true" w:anchor="_bookmark546">
              <w:r>
                <w:rPr>
                  <w:color w:val="005DA1"/>
                  <w:spacing w:val="-4"/>
                  <w:sz w:val="14"/>
                  <w:u w:val="single" w:color="005DA1"/>
                </w:rPr>
                <w:t>288</w:t>
              </w:r>
            </w:hyperlink>
            <w:r>
              <w:rPr>
                <w:spacing w:val="-4"/>
                <w:sz w:val="14"/>
              </w:rPr>
              <w:t>.</w:t>
            </w:r>
          </w:p>
        </w:tc>
        <w:tc>
          <w:tcPr>
            <w:tcW w:w="8659" w:type="dxa"/>
          </w:tcPr>
          <w:p>
            <w:pPr>
              <w:pStyle w:val="TableParagraph"/>
              <w:spacing w:before="114"/>
              <w:rPr>
                <w:sz w:val="20"/>
              </w:rPr>
            </w:pPr>
            <w:r>
              <w:rPr>
                <w:sz w:val="20"/>
              </w:rPr>
              <w:t>Below, paras 27-054-27-</w:t>
            </w:r>
            <w:r>
              <w:rPr>
                <w:spacing w:val="-4"/>
                <w:sz w:val="20"/>
              </w:rPr>
              <w:t>058.</w:t>
            </w:r>
          </w:p>
        </w:tc>
      </w:tr>
      <w:tr>
        <w:trPr>
          <w:trHeight w:val="690" w:hRule="atLeast"/>
        </w:trPr>
        <w:tc>
          <w:tcPr>
            <w:tcW w:w="457" w:type="dxa"/>
          </w:tcPr>
          <w:p>
            <w:pPr>
              <w:pStyle w:val="TableParagraph"/>
              <w:ind w:left="50"/>
              <w:rPr>
                <w:sz w:val="14"/>
              </w:rPr>
            </w:pPr>
            <w:bookmarkStart w:name="_bookmark740" w:id="742"/>
            <w:bookmarkEnd w:id="742"/>
            <w:r>
              <w:rPr/>
            </w:r>
            <w:hyperlink w:history="true" w:anchor="_bookmark547">
              <w:r>
                <w:rPr>
                  <w:color w:val="005DA1"/>
                  <w:spacing w:val="-4"/>
                  <w:sz w:val="14"/>
                  <w:u w:val="single" w:color="005DA1"/>
                </w:rPr>
                <w:t>289</w:t>
              </w:r>
            </w:hyperlink>
            <w:r>
              <w:rPr>
                <w:spacing w:val="-4"/>
                <w:sz w:val="14"/>
              </w:rPr>
              <w:t>.</w:t>
            </w:r>
          </w:p>
        </w:tc>
        <w:tc>
          <w:tcPr>
            <w:tcW w:w="8659" w:type="dxa"/>
          </w:tcPr>
          <w:p>
            <w:pPr>
              <w:pStyle w:val="TableParagraph"/>
              <w:spacing w:line="235" w:lineRule="auto" w:before="118"/>
              <w:rPr>
                <w:sz w:val="20"/>
              </w:rPr>
            </w:pPr>
            <w:r>
              <w:rPr>
                <w:sz w:val="20"/>
              </w:rPr>
              <w:t>As</w:t>
            </w:r>
            <w:r>
              <w:rPr>
                <w:spacing w:val="40"/>
                <w:sz w:val="20"/>
              </w:rPr>
              <w:t> </w:t>
            </w:r>
            <w:r>
              <w:rPr>
                <w:sz w:val="20"/>
              </w:rPr>
              <w:t>there</w:t>
            </w:r>
            <w:r>
              <w:rPr>
                <w:spacing w:val="40"/>
                <w:sz w:val="20"/>
              </w:rPr>
              <w:t> </w:t>
            </w:r>
            <w:r>
              <w:rPr>
                <w:sz w:val="20"/>
              </w:rPr>
              <w:t>would</w:t>
            </w:r>
            <w:r>
              <w:rPr>
                <w:spacing w:val="40"/>
                <w:sz w:val="20"/>
              </w:rPr>
              <w:t> </w:t>
            </w:r>
            <w:r>
              <w:rPr>
                <w:sz w:val="20"/>
              </w:rPr>
              <w:t>be</w:t>
            </w:r>
            <w:r>
              <w:rPr>
                <w:spacing w:val="40"/>
                <w:sz w:val="20"/>
              </w:rPr>
              <w:t> </w:t>
            </w:r>
            <w:r>
              <w:rPr>
                <w:sz w:val="20"/>
              </w:rPr>
              <w:t>no</w:t>
            </w:r>
            <w:r>
              <w:rPr>
                <w:spacing w:val="40"/>
                <w:sz w:val="20"/>
              </w:rPr>
              <w:t> </w:t>
            </w:r>
            <w:r>
              <w:rPr>
                <w:sz w:val="20"/>
              </w:rPr>
              <w:t>“total</w:t>
            </w:r>
            <w:r>
              <w:rPr>
                <w:spacing w:val="40"/>
                <w:sz w:val="20"/>
              </w:rPr>
              <w:t> </w:t>
            </w:r>
            <w:r>
              <w:rPr>
                <w:sz w:val="20"/>
              </w:rPr>
              <w:t>failure</w:t>
            </w:r>
            <w:r>
              <w:rPr>
                <w:spacing w:val="40"/>
                <w:sz w:val="20"/>
              </w:rPr>
              <w:t> </w:t>
            </w:r>
            <w:r>
              <w:rPr>
                <w:sz w:val="20"/>
              </w:rPr>
              <w:t>of</w:t>
            </w:r>
            <w:r>
              <w:rPr>
                <w:spacing w:val="40"/>
                <w:sz w:val="20"/>
              </w:rPr>
              <w:t> </w:t>
            </w:r>
            <w:r>
              <w:rPr>
                <w:sz w:val="20"/>
              </w:rPr>
              <w:t>consideration”;</w:t>
            </w:r>
            <w:r>
              <w:rPr>
                <w:spacing w:val="40"/>
                <w:sz w:val="20"/>
              </w:rPr>
              <w:t> </w:t>
            </w:r>
            <w:r>
              <w:rPr>
                <w:sz w:val="20"/>
              </w:rPr>
              <w:t>and</w:t>
            </w:r>
            <w:r>
              <w:rPr>
                <w:spacing w:val="40"/>
                <w:sz w:val="20"/>
              </w:rPr>
              <w:t> </w:t>
            </w:r>
            <w:r>
              <w:rPr>
                <w:sz w:val="20"/>
              </w:rPr>
              <w:t>as</w:t>
            </w:r>
            <w:r>
              <w:rPr>
                <w:spacing w:val="40"/>
                <w:sz w:val="20"/>
              </w:rPr>
              <w:t> </w:t>
            </w:r>
            <w:r>
              <w:rPr>
                <w:sz w:val="20"/>
              </w:rPr>
              <w:t>“rescission”</w:t>
            </w:r>
            <w:r>
              <w:rPr>
                <w:spacing w:val="40"/>
                <w:sz w:val="20"/>
              </w:rPr>
              <w:t> </w:t>
            </w:r>
            <w:r>
              <w:rPr>
                <w:sz w:val="20"/>
              </w:rPr>
              <w:t>for</w:t>
            </w:r>
            <w:r>
              <w:rPr>
                <w:spacing w:val="40"/>
                <w:sz w:val="20"/>
              </w:rPr>
              <w:t> </w:t>
            </w:r>
            <w:r>
              <w:rPr>
                <w:sz w:val="20"/>
              </w:rPr>
              <w:t>breach</w:t>
            </w:r>
            <w:r>
              <w:rPr>
                <w:spacing w:val="40"/>
                <w:sz w:val="20"/>
              </w:rPr>
              <w:t> </w:t>
            </w:r>
            <w:r>
              <w:rPr>
                <w:sz w:val="20"/>
              </w:rPr>
              <w:t>could probably not be allowed unless the third party was willing to restore any performance received.</w:t>
            </w:r>
          </w:p>
        </w:tc>
      </w:tr>
      <w:tr>
        <w:trPr>
          <w:trHeight w:val="915" w:hRule="atLeast"/>
        </w:trPr>
        <w:tc>
          <w:tcPr>
            <w:tcW w:w="457" w:type="dxa"/>
          </w:tcPr>
          <w:p>
            <w:pPr>
              <w:pStyle w:val="TableParagraph"/>
              <w:ind w:left="50"/>
              <w:rPr>
                <w:sz w:val="14"/>
              </w:rPr>
            </w:pPr>
            <w:bookmarkStart w:name="_bookmark741" w:id="743"/>
            <w:bookmarkEnd w:id="743"/>
            <w:r>
              <w:rPr/>
            </w:r>
            <w:hyperlink w:history="true" w:anchor="_bookmark548">
              <w:r>
                <w:rPr>
                  <w:color w:val="005DA1"/>
                  <w:spacing w:val="-4"/>
                  <w:sz w:val="14"/>
                  <w:u w:val="single" w:color="005DA1"/>
                </w:rPr>
                <w:t>290</w:t>
              </w:r>
            </w:hyperlink>
            <w:r>
              <w:rPr>
                <w:spacing w:val="-4"/>
                <w:sz w:val="14"/>
              </w:rPr>
              <w:t>.</w:t>
            </w:r>
          </w:p>
        </w:tc>
        <w:tc>
          <w:tcPr>
            <w:tcW w:w="8659" w:type="dxa"/>
          </w:tcPr>
          <w:p>
            <w:pPr>
              <w:pStyle w:val="TableParagraph"/>
              <w:spacing w:line="235" w:lineRule="auto" w:before="118"/>
              <w:ind w:right="48"/>
              <w:jc w:val="both"/>
              <w:rPr>
                <w:sz w:val="20"/>
              </w:rPr>
            </w:pPr>
            <w:r>
              <w:rPr>
                <w:sz w:val="20"/>
              </w:rPr>
              <w:t>e.g. where the person on whose death the policy moneys were payable had died after only a relatively small number of premiums, amounting to much less than the sum payable on </w:t>
            </w:r>
            <w:r>
              <w:rPr>
                <w:sz w:val="20"/>
              </w:rPr>
              <w:t>that death by the promisor, had been paid by the promisee.</w:t>
            </w:r>
          </w:p>
        </w:tc>
      </w:tr>
      <w:tr>
        <w:trPr>
          <w:trHeight w:val="690" w:hRule="atLeast"/>
        </w:trPr>
        <w:tc>
          <w:tcPr>
            <w:tcW w:w="457" w:type="dxa"/>
          </w:tcPr>
          <w:p>
            <w:pPr>
              <w:pStyle w:val="TableParagraph"/>
              <w:ind w:left="50"/>
              <w:rPr>
                <w:sz w:val="14"/>
              </w:rPr>
            </w:pPr>
            <w:bookmarkStart w:name="_bookmark742" w:id="744"/>
            <w:bookmarkEnd w:id="744"/>
            <w:r>
              <w:rPr/>
            </w:r>
            <w:hyperlink w:history="true" w:anchor="_bookmark549">
              <w:r>
                <w:rPr>
                  <w:color w:val="005DA1"/>
                  <w:spacing w:val="-4"/>
                  <w:sz w:val="14"/>
                  <w:u w:val="single" w:color="005DA1"/>
                </w:rPr>
                <w:t>291</w:t>
              </w:r>
            </w:hyperlink>
            <w:r>
              <w:rPr>
                <w:spacing w:val="-4"/>
                <w:sz w:val="14"/>
              </w:rPr>
              <w:t>.</w:t>
            </w:r>
          </w:p>
        </w:tc>
        <w:tc>
          <w:tcPr>
            <w:tcW w:w="8659" w:type="dxa"/>
          </w:tcPr>
          <w:p>
            <w:pPr>
              <w:pStyle w:val="TableParagraph"/>
              <w:spacing w:line="235" w:lineRule="auto" w:before="118"/>
              <w:rPr>
                <w:sz w:val="20"/>
              </w:rPr>
            </w:pPr>
            <w:r>
              <w:rPr>
                <w:sz w:val="20"/>
              </w:rPr>
              <w:t>See </w:t>
            </w:r>
            <w:r>
              <w:rPr>
                <w:rFonts w:ascii="Arial" w:hAnsi="Arial"/>
                <w:i/>
                <w:sz w:val="20"/>
              </w:rPr>
              <w:t>Coulls v Bagot’s Executor and Trustee Co Ltd [1967] A.L.R. 385 </w:t>
            </w:r>
            <w:r>
              <w:rPr>
                <w:sz w:val="20"/>
              </w:rPr>
              <w:t>at 409–411; cf. </w:t>
            </w:r>
            <w:r>
              <w:rPr>
                <w:rFonts w:ascii="Arial" w:hAnsi="Arial"/>
                <w:i/>
                <w:sz w:val="20"/>
              </w:rPr>
              <w:t>Beswick </w:t>
            </w:r>
            <w:r>
              <w:rPr>
                <w:rFonts w:ascii="Arial" w:hAnsi="Arial"/>
                <w:i/>
                <w:sz w:val="20"/>
              </w:rPr>
              <w:t>v Beswick [1968] A.C. at 88</w:t>
            </w:r>
            <w:r>
              <w:rPr>
                <w:sz w:val="20"/>
              </w:rPr>
              <w:t>, 101 (dealing with the remedy of damages: see below, para.18-049).</w:t>
            </w:r>
          </w:p>
        </w:tc>
      </w:tr>
      <w:tr>
        <w:trPr>
          <w:trHeight w:val="465" w:hRule="atLeast"/>
        </w:trPr>
        <w:tc>
          <w:tcPr>
            <w:tcW w:w="457" w:type="dxa"/>
          </w:tcPr>
          <w:p>
            <w:pPr>
              <w:pStyle w:val="TableParagraph"/>
              <w:ind w:left="50"/>
              <w:rPr>
                <w:sz w:val="14"/>
              </w:rPr>
            </w:pPr>
            <w:bookmarkStart w:name="_bookmark743" w:id="745"/>
            <w:bookmarkEnd w:id="745"/>
            <w:r>
              <w:rPr/>
            </w:r>
            <w:hyperlink w:history="true" w:anchor="_bookmark550">
              <w:r>
                <w:rPr>
                  <w:color w:val="005DA1"/>
                  <w:spacing w:val="-4"/>
                  <w:sz w:val="14"/>
                  <w:u w:val="single" w:color="005DA1"/>
                </w:rPr>
                <w:t>292</w:t>
              </w:r>
            </w:hyperlink>
            <w:r>
              <w:rPr>
                <w:spacing w:val="-4"/>
                <w:sz w:val="14"/>
              </w:rPr>
              <w:t>.</w:t>
            </w:r>
          </w:p>
        </w:tc>
        <w:tc>
          <w:tcPr>
            <w:tcW w:w="8659" w:type="dxa"/>
          </w:tcPr>
          <w:p>
            <w:pPr>
              <w:pStyle w:val="TableParagraph"/>
              <w:spacing w:before="114"/>
              <w:rPr>
                <w:sz w:val="20"/>
              </w:rPr>
            </w:pPr>
            <w:r>
              <w:rPr>
                <w:sz w:val="20"/>
              </w:rPr>
              <w:t>See</w:t>
            </w:r>
            <w:r>
              <w:rPr>
                <w:spacing w:val="-2"/>
                <w:sz w:val="20"/>
              </w:rPr>
              <w:t> </w:t>
            </w:r>
            <w:r>
              <w:rPr>
                <w:rFonts w:ascii="Arial"/>
                <w:i/>
                <w:sz w:val="20"/>
              </w:rPr>
              <w:t>Cleaver v Mutual Reserve Fund Life Association [1892] 1 Q.B. 147</w:t>
            </w:r>
            <w:r>
              <w:rPr>
                <w:sz w:val="20"/>
              </w:rPr>
              <w:t>; below, para.18-</w:t>
            </w:r>
            <w:r>
              <w:rPr>
                <w:spacing w:val="-4"/>
                <w:sz w:val="20"/>
              </w:rPr>
              <w:t>086.</w:t>
            </w:r>
          </w:p>
        </w:tc>
      </w:tr>
      <w:tr>
        <w:trPr>
          <w:trHeight w:val="690" w:hRule="atLeast"/>
        </w:trPr>
        <w:tc>
          <w:tcPr>
            <w:tcW w:w="457" w:type="dxa"/>
          </w:tcPr>
          <w:p>
            <w:pPr>
              <w:pStyle w:val="TableParagraph"/>
              <w:ind w:left="50"/>
              <w:rPr>
                <w:sz w:val="14"/>
              </w:rPr>
            </w:pPr>
            <w:bookmarkStart w:name="_bookmark744" w:id="746"/>
            <w:bookmarkEnd w:id="746"/>
            <w:r>
              <w:rPr/>
            </w:r>
            <w:hyperlink w:history="true" w:anchor="_bookmark551">
              <w:r>
                <w:rPr>
                  <w:color w:val="005DA1"/>
                  <w:spacing w:val="-4"/>
                  <w:sz w:val="14"/>
                  <w:u w:val="single" w:color="005DA1"/>
                </w:rPr>
                <w:t>293</w:t>
              </w:r>
            </w:hyperlink>
            <w:r>
              <w:rPr>
                <w:spacing w:val="-4"/>
                <w:sz w:val="14"/>
              </w:rPr>
              <w:t>.</w:t>
            </w:r>
          </w:p>
        </w:tc>
        <w:tc>
          <w:tcPr>
            <w:tcW w:w="8659" w:type="dxa"/>
          </w:tcPr>
          <w:p>
            <w:pPr>
              <w:pStyle w:val="TableParagraph"/>
              <w:spacing w:line="235" w:lineRule="auto" w:before="118"/>
              <w:rPr>
                <w:sz w:val="20"/>
              </w:rPr>
            </w:pPr>
            <w:r>
              <w:rPr>
                <w:rFonts w:ascii="Arial" w:hAnsi="Arial"/>
                <w:i/>
                <w:sz w:val="20"/>
              </w:rPr>
              <w:t>Tradigrain SA v King Diamond Shipping SA (The Spiros C) [2000] 2 Lloyd’s Rep. 319 </w:t>
            </w:r>
            <w:r>
              <w:rPr>
                <w:sz w:val="20"/>
              </w:rPr>
              <w:t>at 331;</w:t>
            </w:r>
            <w:r>
              <w:rPr>
                <w:spacing w:val="80"/>
                <w:sz w:val="20"/>
              </w:rPr>
              <w:t> </w:t>
            </w:r>
            <w:r>
              <w:rPr>
                <w:sz w:val="20"/>
              </w:rPr>
              <w:t>below, para.18-075.</w:t>
            </w:r>
          </w:p>
        </w:tc>
      </w:tr>
      <w:tr>
        <w:trPr>
          <w:trHeight w:val="465" w:hRule="atLeast"/>
        </w:trPr>
        <w:tc>
          <w:tcPr>
            <w:tcW w:w="457" w:type="dxa"/>
          </w:tcPr>
          <w:p>
            <w:pPr>
              <w:pStyle w:val="TableParagraph"/>
              <w:ind w:left="50"/>
              <w:rPr>
                <w:sz w:val="14"/>
              </w:rPr>
            </w:pPr>
            <w:bookmarkStart w:name="_bookmark745" w:id="747"/>
            <w:bookmarkEnd w:id="747"/>
            <w:r>
              <w:rPr/>
            </w:r>
            <w:hyperlink w:history="true" w:anchor="_bookmark552">
              <w:r>
                <w:rPr>
                  <w:color w:val="005DA1"/>
                  <w:spacing w:val="-4"/>
                  <w:sz w:val="14"/>
                  <w:u w:val="single" w:color="005DA1"/>
                </w:rPr>
                <w:t>294</w:t>
              </w:r>
            </w:hyperlink>
            <w:r>
              <w:rPr>
                <w:spacing w:val="-4"/>
                <w:sz w:val="14"/>
              </w:rPr>
              <w:t>.</w:t>
            </w:r>
          </w:p>
        </w:tc>
        <w:tc>
          <w:tcPr>
            <w:tcW w:w="8659" w:type="dxa"/>
          </w:tcPr>
          <w:p>
            <w:pPr>
              <w:pStyle w:val="TableParagraph"/>
              <w:spacing w:before="114"/>
              <w:rPr>
                <w:sz w:val="20"/>
              </w:rPr>
            </w:pPr>
            <w:r>
              <w:rPr>
                <w:rFonts w:ascii="Arial" w:hAnsi="Arial"/>
                <w:i/>
                <w:sz w:val="20"/>
              </w:rPr>
              <w:t>The Turiddu [1999] 2 Lloyd’s Rep. 401</w:t>
            </w:r>
            <w:r>
              <w:rPr>
                <w:rFonts w:ascii="Arial" w:hAnsi="Arial"/>
                <w:i/>
                <w:spacing w:val="-1"/>
                <w:sz w:val="20"/>
              </w:rPr>
              <w:t> </w:t>
            </w:r>
            <w:r>
              <w:rPr>
                <w:sz w:val="20"/>
              </w:rPr>
              <w:t>at </w:t>
            </w:r>
            <w:r>
              <w:rPr>
                <w:spacing w:val="-4"/>
                <w:sz w:val="20"/>
              </w:rPr>
              <w:t>407.</w:t>
            </w:r>
          </w:p>
        </w:tc>
      </w:tr>
      <w:tr>
        <w:trPr>
          <w:trHeight w:val="465" w:hRule="atLeast"/>
        </w:trPr>
        <w:tc>
          <w:tcPr>
            <w:tcW w:w="457" w:type="dxa"/>
          </w:tcPr>
          <w:p>
            <w:pPr>
              <w:pStyle w:val="TableParagraph"/>
              <w:ind w:left="50"/>
              <w:rPr>
                <w:sz w:val="14"/>
              </w:rPr>
            </w:pPr>
            <w:bookmarkStart w:name="_bookmark746" w:id="748"/>
            <w:bookmarkEnd w:id="748"/>
            <w:r>
              <w:rPr/>
            </w:r>
            <w:hyperlink w:history="true" w:anchor="_bookmark552">
              <w:r>
                <w:rPr>
                  <w:color w:val="005DA1"/>
                  <w:spacing w:val="-4"/>
                  <w:sz w:val="14"/>
                  <w:u w:val="single" w:color="005DA1"/>
                </w:rPr>
                <w:t>295</w:t>
              </w:r>
            </w:hyperlink>
            <w:r>
              <w:rPr>
                <w:spacing w:val="-4"/>
                <w:sz w:val="14"/>
              </w:rPr>
              <w:t>.</w:t>
            </w:r>
          </w:p>
        </w:tc>
        <w:tc>
          <w:tcPr>
            <w:tcW w:w="8659" w:type="dxa"/>
          </w:tcPr>
          <w:p>
            <w:pPr>
              <w:pStyle w:val="TableParagraph"/>
              <w:spacing w:before="114"/>
              <w:rPr>
                <w:sz w:val="20"/>
              </w:rPr>
            </w:pPr>
            <w:r>
              <w:rPr>
                <w:spacing w:val="-2"/>
                <w:sz w:val="20"/>
              </w:rPr>
              <w:t>ibid.</w:t>
            </w:r>
          </w:p>
        </w:tc>
      </w:tr>
      <w:tr>
        <w:trPr>
          <w:trHeight w:val="915" w:hRule="atLeast"/>
        </w:trPr>
        <w:tc>
          <w:tcPr>
            <w:tcW w:w="457" w:type="dxa"/>
          </w:tcPr>
          <w:p>
            <w:pPr>
              <w:pStyle w:val="TableParagraph"/>
              <w:ind w:left="50"/>
              <w:rPr>
                <w:sz w:val="14"/>
              </w:rPr>
            </w:pPr>
            <w:bookmarkStart w:name="_bookmark747" w:id="749"/>
            <w:bookmarkEnd w:id="749"/>
            <w:r>
              <w:rPr/>
            </w:r>
            <w:hyperlink w:history="true" w:anchor="_bookmark553">
              <w:r>
                <w:rPr>
                  <w:color w:val="005DA1"/>
                  <w:spacing w:val="-4"/>
                  <w:sz w:val="14"/>
                  <w:u w:val="single" w:color="005DA1"/>
                </w:rPr>
                <w:t>296</w:t>
              </w:r>
            </w:hyperlink>
            <w:r>
              <w:rPr>
                <w:spacing w:val="-4"/>
                <w:sz w:val="14"/>
              </w:rPr>
              <w:t>.</w:t>
            </w:r>
          </w:p>
        </w:tc>
        <w:tc>
          <w:tcPr>
            <w:tcW w:w="8659" w:type="dxa"/>
          </w:tcPr>
          <w:p>
            <w:pPr>
              <w:pStyle w:val="TableParagraph"/>
              <w:spacing w:line="235" w:lineRule="auto" w:before="118"/>
              <w:ind w:right="49"/>
              <w:jc w:val="both"/>
              <w:rPr>
                <w:sz w:val="20"/>
              </w:rPr>
            </w:pPr>
            <w:r>
              <w:rPr>
                <w:sz w:val="20"/>
              </w:rPr>
              <w:t>Lord Pearce thought that damages would be substantial: </w:t>
            </w:r>
            <w:r>
              <w:rPr>
                <w:rFonts w:ascii="Arial" w:hAnsi="Arial"/>
                <w:i/>
                <w:sz w:val="20"/>
              </w:rPr>
              <w:t>[1968] A.C. 58 </w:t>
            </w:r>
            <w:r>
              <w:rPr>
                <w:sz w:val="20"/>
              </w:rPr>
              <w:t>at 88. It was </w:t>
            </w:r>
            <w:r>
              <w:rPr>
                <w:sz w:val="20"/>
              </w:rPr>
              <w:t>not</w:t>
            </w:r>
            <w:r>
              <w:rPr>
                <w:spacing w:val="40"/>
                <w:sz w:val="20"/>
              </w:rPr>
              <w:t> </w:t>
            </w:r>
            <w:r>
              <w:rPr>
                <w:sz w:val="20"/>
              </w:rPr>
              <w:t>entirely clear whether he had in mind an action for </w:t>
            </w:r>
            <w:r>
              <w:rPr>
                <w:rFonts w:ascii="Arial" w:hAnsi="Arial"/>
                <w:i/>
                <w:sz w:val="20"/>
              </w:rPr>
              <w:t>damages </w:t>
            </w:r>
            <w:r>
              <w:rPr>
                <w:sz w:val="20"/>
              </w:rPr>
              <w:t>or one for the </w:t>
            </w:r>
            <w:r>
              <w:rPr>
                <w:rFonts w:ascii="Arial" w:hAnsi="Arial"/>
                <w:i/>
                <w:sz w:val="20"/>
              </w:rPr>
              <w:t>agreed sum</w:t>
            </w:r>
            <w:r>
              <w:rPr>
                <w:sz w:val="20"/>
              </w:rPr>
              <w:t>: see his reference at p.87 to “separate actions as each sum falls due”.</w:t>
            </w:r>
          </w:p>
        </w:tc>
      </w:tr>
      <w:tr>
        <w:trPr>
          <w:trHeight w:val="465" w:hRule="atLeast"/>
        </w:trPr>
        <w:tc>
          <w:tcPr>
            <w:tcW w:w="457" w:type="dxa"/>
          </w:tcPr>
          <w:p>
            <w:pPr>
              <w:pStyle w:val="TableParagraph"/>
              <w:ind w:left="50"/>
              <w:rPr>
                <w:sz w:val="14"/>
              </w:rPr>
            </w:pPr>
            <w:bookmarkStart w:name="_bookmark748" w:id="750"/>
            <w:bookmarkEnd w:id="750"/>
            <w:r>
              <w:rPr/>
            </w:r>
            <w:hyperlink w:history="true" w:anchor="_bookmark554">
              <w:r>
                <w:rPr>
                  <w:color w:val="005DA1"/>
                  <w:spacing w:val="-4"/>
                  <w:sz w:val="14"/>
                  <w:u w:val="single" w:color="005DA1"/>
                </w:rPr>
                <w:t>297</w:t>
              </w:r>
            </w:hyperlink>
            <w:r>
              <w:rPr>
                <w:spacing w:val="-4"/>
                <w:sz w:val="14"/>
              </w:rPr>
              <w:t>.</w:t>
            </w:r>
          </w:p>
        </w:tc>
        <w:tc>
          <w:tcPr>
            <w:tcW w:w="8659" w:type="dxa"/>
          </w:tcPr>
          <w:p>
            <w:pPr>
              <w:pStyle w:val="TableParagraph"/>
              <w:spacing w:before="114"/>
              <w:rPr>
                <w:sz w:val="20"/>
              </w:rPr>
            </w:pPr>
            <w:r>
              <w:rPr>
                <w:rFonts w:ascii="Arial"/>
                <w:i/>
                <w:sz w:val="20"/>
              </w:rPr>
              <w:t>[1968] A.C. 58</w:t>
            </w:r>
            <w:r>
              <w:rPr>
                <w:rFonts w:ascii="Arial"/>
                <w:i/>
                <w:spacing w:val="-1"/>
                <w:sz w:val="20"/>
              </w:rPr>
              <w:t> </w:t>
            </w:r>
            <w:r>
              <w:rPr>
                <w:sz w:val="20"/>
              </w:rPr>
              <w:t>at 102 (italics supplied). See further para.18-064, </w:t>
            </w:r>
            <w:r>
              <w:rPr>
                <w:spacing w:val="-2"/>
                <w:sz w:val="20"/>
              </w:rPr>
              <w:t>below.</w:t>
            </w:r>
          </w:p>
        </w:tc>
      </w:tr>
      <w:tr>
        <w:trPr>
          <w:trHeight w:val="690" w:hRule="atLeast"/>
        </w:trPr>
        <w:tc>
          <w:tcPr>
            <w:tcW w:w="457" w:type="dxa"/>
          </w:tcPr>
          <w:p>
            <w:pPr>
              <w:pStyle w:val="TableParagraph"/>
              <w:ind w:left="50"/>
              <w:rPr>
                <w:sz w:val="14"/>
              </w:rPr>
            </w:pPr>
            <w:bookmarkStart w:name="_bookmark749" w:id="751"/>
            <w:bookmarkEnd w:id="751"/>
            <w:r>
              <w:rPr/>
            </w:r>
            <w:hyperlink w:history="true" w:anchor="_bookmark555">
              <w:r>
                <w:rPr>
                  <w:color w:val="005DA1"/>
                  <w:spacing w:val="-4"/>
                  <w:sz w:val="14"/>
                  <w:u w:val="single" w:color="005DA1"/>
                </w:rPr>
                <w:t>298</w:t>
              </w:r>
            </w:hyperlink>
            <w:r>
              <w:rPr>
                <w:spacing w:val="-4"/>
                <w:sz w:val="14"/>
              </w:rPr>
              <w:t>.</w:t>
            </w:r>
          </w:p>
        </w:tc>
        <w:tc>
          <w:tcPr>
            <w:tcW w:w="8659" w:type="dxa"/>
          </w:tcPr>
          <w:p>
            <w:pPr>
              <w:pStyle w:val="TableParagraph"/>
              <w:spacing w:line="235" w:lineRule="auto" w:before="118"/>
              <w:rPr>
                <w:sz w:val="20"/>
              </w:rPr>
            </w:pPr>
            <w:r>
              <w:rPr>
                <w:sz w:val="20"/>
              </w:rPr>
              <w:t>e.g. under (at that time) the Inheritance (Family Provision) Act 1938, now Inheritance (Provision for Family and Dependants) Act 1975.</w:t>
            </w:r>
          </w:p>
        </w:tc>
      </w:tr>
      <w:tr>
        <w:trPr>
          <w:trHeight w:val="344" w:hRule="atLeast"/>
        </w:trPr>
        <w:tc>
          <w:tcPr>
            <w:tcW w:w="457" w:type="dxa"/>
          </w:tcPr>
          <w:p>
            <w:pPr>
              <w:pStyle w:val="TableParagraph"/>
              <w:ind w:left="50"/>
              <w:rPr>
                <w:sz w:val="14"/>
              </w:rPr>
            </w:pPr>
            <w:bookmarkStart w:name="_bookmark750" w:id="752"/>
            <w:bookmarkEnd w:id="752"/>
            <w:r>
              <w:rPr/>
            </w:r>
            <w:hyperlink w:history="true" w:anchor="_bookmark556">
              <w:r>
                <w:rPr>
                  <w:color w:val="005DA1"/>
                  <w:spacing w:val="-4"/>
                  <w:sz w:val="14"/>
                  <w:u w:val="single" w:color="005DA1"/>
                </w:rPr>
                <w:t>299</w:t>
              </w:r>
            </w:hyperlink>
            <w:r>
              <w:rPr>
                <w:spacing w:val="-4"/>
                <w:sz w:val="14"/>
              </w:rPr>
              <w:t>.</w:t>
            </w:r>
          </w:p>
        </w:tc>
        <w:tc>
          <w:tcPr>
            <w:tcW w:w="8659" w:type="dxa"/>
          </w:tcPr>
          <w:p>
            <w:pPr>
              <w:pStyle w:val="TableParagraph"/>
              <w:spacing w:line="210" w:lineRule="exact" w:before="114"/>
              <w:rPr>
                <w:sz w:val="20"/>
              </w:rPr>
            </w:pPr>
            <w:r>
              <w:rPr>
                <w:rFonts w:ascii="Arial"/>
                <w:i/>
                <w:sz w:val="20"/>
              </w:rPr>
              <w:t>Admiralty</w:t>
            </w:r>
            <w:r>
              <w:rPr>
                <w:rFonts w:ascii="Arial"/>
                <w:i/>
                <w:spacing w:val="2"/>
                <w:sz w:val="20"/>
              </w:rPr>
              <w:t> </w:t>
            </w:r>
            <w:r>
              <w:rPr>
                <w:rFonts w:ascii="Arial"/>
                <w:i/>
                <w:sz w:val="20"/>
              </w:rPr>
              <w:t>Commissioners</w:t>
            </w:r>
            <w:r>
              <w:rPr>
                <w:rFonts w:ascii="Arial"/>
                <w:i/>
                <w:spacing w:val="3"/>
                <w:sz w:val="20"/>
              </w:rPr>
              <w:t> </w:t>
            </w:r>
            <w:r>
              <w:rPr>
                <w:rFonts w:ascii="Arial"/>
                <w:i/>
                <w:sz w:val="20"/>
              </w:rPr>
              <w:t>v</w:t>
            </w:r>
            <w:r>
              <w:rPr>
                <w:rFonts w:ascii="Arial"/>
                <w:i/>
                <w:spacing w:val="3"/>
                <w:sz w:val="20"/>
              </w:rPr>
              <w:t> </w:t>
            </w:r>
            <w:r>
              <w:rPr>
                <w:rFonts w:ascii="Arial"/>
                <w:i/>
                <w:sz w:val="20"/>
              </w:rPr>
              <w:t>SS.</w:t>
            </w:r>
            <w:r>
              <w:rPr>
                <w:rFonts w:ascii="Arial"/>
                <w:i/>
                <w:spacing w:val="3"/>
                <w:sz w:val="20"/>
              </w:rPr>
              <w:t> </w:t>
            </w:r>
            <w:r>
              <w:rPr>
                <w:rFonts w:ascii="Arial"/>
                <w:i/>
                <w:sz w:val="20"/>
              </w:rPr>
              <w:t>Amerika</w:t>
            </w:r>
            <w:r>
              <w:rPr>
                <w:rFonts w:ascii="Arial"/>
                <w:i/>
                <w:spacing w:val="3"/>
                <w:sz w:val="20"/>
              </w:rPr>
              <w:t> </w:t>
            </w:r>
            <w:r>
              <w:rPr>
                <w:rFonts w:ascii="Arial"/>
                <w:i/>
                <w:sz w:val="20"/>
              </w:rPr>
              <w:t>[1917]</w:t>
            </w:r>
            <w:r>
              <w:rPr>
                <w:rFonts w:ascii="Arial"/>
                <w:i/>
                <w:spacing w:val="3"/>
                <w:sz w:val="20"/>
              </w:rPr>
              <w:t> </w:t>
            </w:r>
            <w:r>
              <w:rPr>
                <w:rFonts w:ascii="Arial"/>
                <w:i/>
                <w:sz w:val="20"/>
              </w:rPr>
              <w:t>A.C.</w:t>
            </w:r>
            <w:r>
              <w:rPr>
                <w:rFonts w:ascii="Arial"/>
                <w:i/>
                <w:spacing w:val="3"/>
                <w:sz w:val="20"/>
              </w:rPr>
              <w:t> </w:t>
            </w:r>
            <w:r>
              <w:rPr>
                <w:rFonts w:ascii="Arial"/>
                <w:i/>
                <w:sz w:val="20"/>
              </w:rPr>
              <w:t>38,</w:t>
            </w:r>
            <w:r>
              <w:rPr>
                <w:rFonts w:ascii="Arial"/>
                <w:i/>
                <w:spacing w:val="3"/>
                <w:sz w:val="20"/>
              </w:rPr>
              <w:t> </w:t>
            </w:r>
            <w:r>
              <w:rPr>
                <w:rFonts w:ascii="Arial"/>
                <w:i/>
                <w:sz w:val="20"/>
              </w:rPr>
              <w:t>61</w:t>
            </w:r>
            <w:r>
              <w:rPr>
                <w:sz w:val="20"/>
              </w:rPr>
              <w:t>,</w:t>
            </w:r>
            <w:r>
              <w:rPr>
                <w:spacing w:val="3"/>
                <w:sz w:val="20"/>
              </w:rPr>
              <w:t> </w:t>
            </w:r>
            <w:r>
              <w:rPr>
                <w:sz w:val="20"/>
              </w:rPr>
              <w:t>where</w:t>
            </w:r>
            <w:r>
              <w:rPr>
                <w:spacing w:val="3"/>
                <w:sz w:val="20"/>
              </w:rPr>
              <w:t> </w:t>
            </w:r>
            <w:r>
              <w:rPr>
                <w:sz w:val="20"/>
              </w:rPr>
              <w:t>the</w:t>
            </w:r>
            <w:r>
              <w:rPr>
                <w:spacing w:val="3"/>
                <w:sz w:val="20"/>
              </w:rPr>
              <w:t> </w:t>
            </w:r>
            <w:r>
              <w:rPr>
                <w:sz w:val="20"/>
              </w:rPr>
              <w:t>actual</w:t>
            </w:r>
            <w:r>
              <w:rPr>
                <w:spacing w:val="3"/>
                <w:sz w:val="20"/>
              </w:rPr>
              <w:t> </w:t>
            </w:r>
            <w:r>
              <w:rPr>
                <w:sz w:val="20"/>
              </w:rPr>
              <w:t>decision</w:t>
            </w:r>
            <w:r>
              <w:rPr>
                <w:spacing w:val="3"/>
                <w:sz w:val="20"/>
              </w:rPr>
              <w:t> </w:t>
            </w:r>
            <w:r>
              <w:rPr>
                <w:sz w:val="20"/>
              </w:rPr>
              <w:t>was</w:t>
            </w:r>
            <w:r>
              <w:rPr>
                <w:spacing w:val="3"/>
                <w:sz w:val="20"/>
              </w:rPr>
              <w:t> </w:t>
            </w:r>
            <w:r>
              <w:rPr>
                <w:spacing w:val="-4"/>
                <w:sz w:val="20"/>
              </w:rPr>
              <w:t>that</w:t>
            </w:r>
          </w:p>
        </w:tc>
      </w:tr>
    </w:tbl>
    <w:p>
      <w:pPr>
        <w:pStyle w:val="TableParagraph"/>
        <w:spacing w:after="0" w:line="210" w:lineRule="exact"/>
        <w:rPr>
          <w:sz w:val="20"/>
        </w:rPr>
        <w:sectPr>
          <w:pgSz w:w="11900" w:h="16840"/>
          <w:pgMar w:header="971" w:footer="0" w:top="1160" w:bottom="280" w:left="1275" w:right="1275"/>
        </w:sectPr>
      </w:pPr>
    </w:p>
    <w:p>
      <w:pPr>
        <w:pStyle w:val="BodyText"/>
        <w:spacing w:before="24"/>
      </w:pPr>
    </w:p>
    <w:p>
      <w:pPr>
        <w:spacing w:line="235" w:lineRule="auto" w:before="1"/>
        <w:ind w:left="705" w:right="167" w:firstLine="0"/>
        <w:jc w:val="both"/>
        <w:rPr>
          <w:sz w:val="20"/>
        </w:rPr>
      </w:pPr>
      <w:r>
        <w:rPr>
          <w:sz w:val="20"/>
        </w:rPr>
        <w:t>payments voluntarily made to the victim of an alleged tort could not be recovered; on this point, see also </w:t>
      </w:r>
      <w:r>
        <w:rPr>
          <w:rFonts w:ascii="Arial" w:hAnsi="Arial"/>
          <w:i/>
          <w:sz w:val="20"/>
        </w:rPr>
        <w:t>Esso Petroleum Co Ltd v Hall Russell &amp; Co Ltd [1989] A.C. 643 </w:t>
      </w:r>
      <w:r>
        <w:rPr>
          <w:sz w:val="20"/>
        </w:rPr>
        <w:t>(where there was no causal link between the voluntary payment and the defendants’ wrongdoing). For the possibility of recovering, as damages for breach of contract, voluntary payments to or benefits </w:t>
      </w:r>
      <w:r>
        <w:rPr>
          <w:sz w:val="20"/>
        </w:rPr>
        <w:t>voluntarily conferred on, third parties see also </w:t>
      </w:r>
      <w:r>
        <w:rPr>
          <w:rFonts w:ascii="Arial" w:hAnsi="Arial"/>
          <w:i/>
          <w:sz w:val="20"/>
        </w:rPr>
        <w:t>Banco de Portugal v Waterlow &amp; Son Ltd [1932] A.C. 452</w:t>
      </w:r>
      <w:r>
        <w:rPr>
          <w:sz w:val="20"/>
        </w:rPr>
        <w:t>, where a bank recovered damages in respect of payments which it was not legally liable to make: below, para.26-082. And see the discussion in paras 18-055 and 18-060-18-068 below</w:t>
      </w:r>
      <w:r>
        <w:rPr>
          <w:spacing w:val="40"/>
          <w:sz w:val="20"/>
        </w:rPr>
        <w:t> </w:t>
      </w:r>
      <w:r>
        <w:rPr>
          <w:sz w:val="20"/>
        </w:rPr>
        <w:t>of </w:t>
      </w:r>
      <w:r>
        <w:rPr>
          <w:rFonts w:ascii="Arial" w:hAnsi="Arial"/>
          <w:i/>
          <w:sz w:val="20"/>
        </w:rPr>
        <w:t>Linden Gardens Trust Ltd v Lenesta Sludge Disposals Ltd [1994] A.C. 85 </w:t>
      </w:r>
      <w:r>
        <w:rPr>
          <w:sz w:val="20"/>
        </w:rPr>
        <w:t>and of </w:t>
      </w:r>
      <w:r>
        <w:rPr>
          <w:rFonts w:ascii="Arial" w:hAnsi="Arial"/>
          <w:i/>
          <w:sz w:val="20"/>
        </w:rPr>
        <w:t>Alfred McAlpine Construction Ltd v Panatown Ltd [2001] 1 A.C. 518</w:t>
      </w:r>
      <w:r>
        <w:rPr>
          <w:sz w:val="20"/>
        </w:rPr>
        <w:t>.</w:t>
      </w:r>
    </w:p>
    <w:p>
      <w:pPr>
        <w:pStyle w:val="BodyText"/>
        <w:spacing w:before="2"/>
      </w:pPr>
    </w:p>
    <w:p>
      <w:pPr>
        <w:tabs>
          <w:tab w:pos="705" w:val="left" w:leader="none"/>
        </w:tabs>
        <w:spacing w:before="1"/>
        <w:ind w:left="165" w:right="0" w:firstLine="0"/>
        <w:jc w:val="left"/>
        <w:rPr>
          <w:sz w:val="20"/>
        </w:rPr>
      </w:pPr>
      <w:bookmarkStart w:name="_bookmark751" w:id="753"/>
      <w:bookmarkEnd w:id="753"/>
      <w:r>
        <w:rPr/>
      </w:r>
      <w:hyperlink w:history="true" w:anchor="_bookmark557">
        <w:r>
          <w:rPr>
            <w:color w:val="005DA1"/>
            <w:spacing w:val="-4"/>
            <w:position w:val="5"/>
            <w:sz w:val="14"/>
            <w:u w:val="single" w:color="005DA1"/>
          </w:rPr>
          <w:t>300</w:t>
        </w:r>
      </w:hyperlink>
      <w:r>
        <w:rPr>
          <w:spacing w:val="-4"/>
          <w:position w:val="5"/>
          <w:sz w:val="14"/>
        </w:rPr>
        <w:t>.</w:t>
      </w:r>
      <w:r>
        <w:rPr>
          <w:position w:val="5"/>
          <w:sz w:val="14"/>
        </w:rPr>
        <w:tab/>
      </w:r>
      <w:r>
        <w:rPr>
          <w:rFonts w:ascii="Arial"/>
          <w:i/>
          <w:sz w:val="20"/>
        </w:rPr>
        <w:t>Chappell v Somers &amp; Blake [2003] EWHC 1644 (Ch), [2004] Ch. </w:t>
      </w:r>
      <w:r>
        <w:rPr>
          <w:rFonts w:ascii="Arial"/>
          <w:i/>
          <w:spacing w:val="-5"/>
          <w:sz w:val="20"/>
        </w:rPr>
        <w:t>19</w:t>
      </w:r>
      <w:r>
        <w:rPr>
          <w:spacing w:val="-5"/>
          <w:sz w:val="20"/>
        </w:rPr>
        <w:t>.</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752" w:id="754"/>
      <w:bookmarkEnd w:id="754"/>
      <w:r>
        <w:rPr/>
      </w:r>
      <w:hyperlink w:history="true" w:anchor="_bookmark558">
        <w:r>
          <w:rPr>
            <w:color w:val="005DA1"/>
            <w:spacing w:val="-4"/>
            <w:sz w:val="14"/>
            <w:u w:val="single" w:color="005DA1"/>
          </w:rPr>
          <w:t>301</w:t>
        </w:r>
      </w:hyperlink>
      <w:r>
        <w:rPr>
          <w:spacing w:val="-4"/>
          <w:sz w:val="14"/>
        </w:rPr>
        <w:t>.</w:t>
      </w:r>
    </w:p>
    <w:p>
      <w:pPr>
        <w:spacing w:before="209"/>
        <w:ind w:left="335" w:right="0" w:firstLine="0"/>
        <w:jc w:val="left"/>
        <w:rPr>
          <w:sz w:val="20"/>
        </w:rPr>
      </w:pPr>
      <w:r>
        <w:rPr/>
        <w:br w:type="column"/>
      </w:r>
      <w:r>
        <w:rPr>
          <w:rFonts w:ascii="Arial" w:hAnsi="Arial"/>
          <w:i/>
          <w:sz w:val="20"/>
        </w:rPr>
        <w:t>[2016] EWHC 293 (Comm), [2016] 1 Lloyd’s Rep. </w:t>
      </w:r>
      <w:r>
        <w:rPr>
          <w:rFonts w:ascii="Arial" w:hAnsi="Arial"/>
          <w:i/>
          <w:spacing w:val="-4"/>
          <w:sz w:val="20"/>
        </w:rPr>
        <w:t>571</w:t>
      </w:r>
      <w:r>
        <w:rPr>
          <w:spacing w:val="-4"/>
          <w:sz w:val="20"/>
        </w:rPr>
        <w:t>.</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-210891</wp:posOffset>
            </wp:positionV>
            <wp:extent cx="107988" cy="107988"/>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5776">
            <wp:simplePos x="0" y="0"/>
            <wp:positionH relativeFrom="page">
              <wp:posOffset>1257846</wp:posOffset>
            </wp:positionH>
            <wp:positionV relativeFrom="paragraph">
              <wp:posOffset>160583</wp:posOffset>
            </wp:positionV>
            <wp:extent cx="107988" cy="107988"/>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53" w:id="755"/>
      <w:bookmarkEnd w:id="755"/>
      <w:r>
        <w:rPr/>
      </w:r>
      <w:hyperlink w:history="true" w:anchor="_bookmark559">
        <w:r>
          <w:rPr>
            <w:color w:val="005DA1"/>
            <w:spacing w:val="-4"/>
            <w:sz w:val="14"/>
            <w:u w:val="single" w:color="005DA1"/>
          </w:rPr>
          <w:t>302</w:t>
        </w:r>
      </w:hyperlink>
      <w:r>
        <w:rPr>
          <w:spacing w:val="-4"/>
          <w:sz w:val="14"/>
        </w:rPr>
        <w:t>.</w:t>
      </w:r>
    </w:p>
    <w:p>
      <w:pPr>
        <w:pStyle w:val="BodyText"/>
        <w:spacing w:line="235" w:lineRule="auto" w:before="212"/>
        <w:ind w:left="165" w:firstLine="170"/>
      </w:pPr>
      <w:r>
        <w:rPr/>
        <w:br w:type="column"/>
      </w:r>
      <w:r>
        <w:rPr/>
        <w:t>At [6]. There was no appeal against the arbitrator’s decision that this “turpitude”, being only</w:t>
      </w:r>
      <w:r>
        <w:rPr>
          <w:spacing w:val="80"/>
        </w:rPr>
        <w:t> </w:t>
      </w:r>
      <w:r>
        <w:rPr/>
        <w:t>“incidental”, did not give rise to the “defence of illegality” : at [8].</w:t>
      </w:r>
    </w:p>
    <w:p>
      <w:pPr>
        <w:pStyle w:val="BodyText"/>
        <w:spacing w:after="0" w:line="235" w:lineRule="auto"/>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754" w:id="756"/>
      <w:bookmarkEnd w:id="756"/>
      <w:r>
        <w:rPr/>
      </w:r>
      <w:hyperlink w:history="true" w:anchor="_bookmark560">
        <w:r>
          <w:rPr>
            <w:color w:val="005DA1"/>
            <w:spacing w:val="-4"/>
            <w:sz w:val="14"/>
            <w:u w:val="single" w:color="005DA1"/>
          </w:rPr>
          <w:t>303</w:t>
        </w:r>
      </w:hyperlink>
      <w:r>
        <w:rPr>
          <w:spacing w:val="-4"/>
          <w:sz w:val="14"/>
        </w:rPr>
        <w:t>.</w:t>
      </w:r>
    </w:p>
    <w:p>
      <w:pPr>
        <w:spacing w:before="209"/>
        <w:ind w:left="335" w:right="0" w:firstLine="0"/>
        <w:jc w:val="left"/>
        <w:rPr>
          <w:sz w:val="20"/>
        </w:rPr>
      </w:pPr>
      <w:r>
        <w:rPr/>
        <w:br w:type="column"/>
      </w:r>
      <w:r>
        <w:rPr>
          <w:rFonts w:ascii="Arial"/>
          <w:i/>
          <w:sz w:val="20"/>
        </w:rPr>
        <w:t>[2016] EWHC 293 (Comm)</w:t>
      </w:r>
      <w:r>
        <w:rPr>
          <w:rFonts w:ascii="Arial"/>
          <w:i/>
          <w:spacing w:val="-1"/>
          <w:sz w:val="20"/>
        </w:rPr>
        <w:t> </w:t>
      </w:r>
      <w:r>
        <w:rPr>
          <w:sz w:val="20"/>
        </w:rPr>
        <w:t>at </w:t>
      </w:r>
      <w:r>
        <w:rPr>
          <w:spacing w:val="-2"/>
          <w:sz w:val="20"/>
        </w:rPr>
        <w:t>[12].</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6288">
            <wp:simplePos x="0" y="0"/>
            <wp:positionH relativeFrom="page">
              <wp:posOffset>1257846</wp:posOffset>
            </wp:positionH>
            <wp:positionV relativeFrom="paragraph">
              <wp:posOffset>-210712</wp:posOffset>
            </wp:positionV>
            <wp:extent cx="107988" cy="107988"/>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55" w:id="757"/>
      <w:bookmarkEnd w:id="757"/>
      <w:r>
        <w:rPr/>
      </w:r>
      <w:hyperlink w:history="true" w:anchor="_bookmark561">
        <w:r>
          <w:rPr>
            <w:color w:val="005DA1"/>
            <w:spacing w:val="-4"/>
            <w:sz w:val="14"/>
            <w:u w:val="single" w:color="005DA1"/>
          </w:rPr>
          <w:t>304</w:t>
        </w:r>
      </w:hyperlink>
      <w:r>
        <w:rPr>
          <w:spacing w:val="-4"/>
          <w:sz w:val="14"/>
        </w:rPr>
        <w:t>.</w:t>
      </w:r>
    </w:p>
    <w:p>
      <w:pPr>
        <w:spacing w:before="209"/>
        <w:ind w:left="335" w:right="0" w:firstLine="0"/>
        <w:jc w:val="left"/>
        <w:rPr>
          <w:sz w:val="20"/>
        </w:rPr>
      </w:pPr>
      <w:r>
        <w:rPr/>
        <w:br w:type="column"/>
      </w:r>
      <w:r>
        <w:rPr>
          <w:rFonts w:ascii="Arial"/>
          <w:i/>
          <w:sz w:val="20"/>
        </w:rPr>
        <w:t>[2016] EWHC 293 (Comm)</w:t>
      </w:r>
      <w:r>
        <w:rPr>
          <w:rFonts w:ascii="Arial"/>
          <w:i/>
          <w:spacing w:val="-1"/>
          <w:sz w:val="20"/>
        </w:rPr>
        <w:t> </w:t>
      </w:r>
      <w:r>
        <w:rPr>
          <w:sz w:val="20"/>
        </w:rPr>
        <w:t>at [18], </w:t>
      </w:r>
      <w:r>
        <w:rPr>
          <w:spacing w:val="-2"/>
          <w:sz w:val="20"/>
        </w:rPr>
        <w:t>[25].</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6800">
            <wp:simplePos x="0" y="0"/>
            <wp:positionH relativeFrom="page">
              <wp:posOffset>1257846</wp:posOffset>
            </wp:positionH>
            <wp:positionV relativeFrom="paragraph">
              <wp:posOffset>-210692</wp:posOffset>
            </wp:positionV>
            <wp:extent cx="107988" cy="107988"/>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56" w:id="758"/>
      <w:bookmarkEnd w:id="758"/>
      <w:r>
        <w:rPr/>
      </w:r>
      <w:hyperlink w:history="true" w:anchor="_bookmark562">
        <w:r>
          <w:rPr>
            <w:color w:val="005DA1"/>
            <w:spacing w:val="-4"/>
            <w:sz w:val="14"/>
            <w:u w:val="single" w:color="005DA1"/>
          </w:rPr>
          <w:t>305</w:t>
        </w:r>
      </w:hyperlink>
      <w:r>
        <w:rPr>
          <w:spacing w:val="-4"/>
          <w:sz w:val="14"/>
        </w:rPr>
        <w:t>.</w:t>
      </w:r>
    </w:p>
    <w:p>
      <w:pPr>
        <w:spacing w:before="209"/>
        <w:ind w:left="335" w:right="0" w:firstLine="0"/>
        <w:jc w:val="left"/>
        <w:rPr>
          <w:sz w:val="20"/>
        </w:rPr>
      </w:pPr>
      <w:r>
        <w:rPr/>
        <w:br w:type="column"/>
      </w:r>
      <w:r>
        <w:rPr>
          <w:rFonts w:ascii="Arial"/>
          <w:i/>
          <w:sz w:val="20"/>
        </w:rPr>
        <w:t>[2016] EWHC 293 (Comm)</w:t>
      </w:r>
      <w:r>
        <w:rPr>
          <w:rFonts w:ascii="Arial"/>
          <w:i/>
          <w:spacing w:val="-1"/>
          <w:sz w:val="20"/>
        </w:rPr>
        <w:t> </w:t>
      </w:r>
      <w:r>
        <w:rPr>
          <w:sz w:val="20"/>
        </w:rPr>
        <w:t>at </w:t>
      </w:r>
      <w:r>
        <w:rPr>
          <w:spacing w:val="-2"/>
          <w:sz w:val="20"/>
        </w:rPr>
        <w:t>[25].</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7312">
            <wp:simplePos x="0" y="0"/>
            <wp:positionH relativeFrom="page">
              <wp:posOffset>1257846</wp:posOffset>
            </wp:positionH>
            <wp:positionV relativeFrom="paragraph">
              <wp:posOffset>-211308</wp:posOffset>
            </wp:positionV>
            <wp:extent cx="107988" cy="107988"/>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7824">
            <wp:simplePos x="0" y="0"/>
            <wp:positionH relativeFrom="page">
              <wp:posOffset>1257846</wp:posOffset>
            </wp:positionH>
            <wp:positionV relativeFrom="paragraph">
              <wp:posOffset>160166</wp:posOffset>
            </wp:positionV>
            <wp:extent cx="107988" cy="107988"/>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57" w:id="759"/>
      <w:bookmarkEnd w:id="759"/>
      <w:r>
        <w:rPr/>
      </w:r>
      <w:hyperlink w:history="true" w:anchor="_bookmark563">
        <w:r>
          <w:rPr>
            <w:color w:val="005DA1"/>
            <w:spacing w:val="-4"/>
            <w:sz w:val="14"/>
            <w:u w:val="single" w:color="005DA1"/>
          </w:rPr>
          <w:t>306</w:t>
        </w:r>
      </w:hyperlink>
      <w:r>
        <w:rPr>
          <w:spacing w:val="-4"/>
          <w:sz w:val="14"/>
        </w:rPr>
        <w:t>.</w:t>
      </w:r>
    </w:p>
    <w:p>
      <w:pPr>
        <w:pStyle w:val="BodyText"/>
        <w:spacing w:line="235" w:lineRule="auto" w:before="212"/>
        <w:ind w:left="165" w:right="167" w:firstLine="170"/>
        <w:jc w:val="both"/>
      </w:pPr>
      <w:r>
        <w:rPr/>
        <w:br w:type="column"/>
      </w:r>
      <w:r>
        <w:rPr>
          <w:rFonts w:ascii="Arial" w:hAnsi="Arial"/>
          <w:i/>
        </w:rPr>
        <w:t>[2016] EWHC 293 (Comm)</w:t>
      </w:r>
      <w:r>
        <w:rPr/>
        <w:t>. Teare J. reached this conclusion “without enthusiasm” </w:t>
      </w:r>
      <w:r>
        <w:rPr/>
        <w:t>because</w:t>
      </w:r>
      <w:r>
        <w:rPr>
          <w:spacing w:val="40"/>
        </w:rPr>
        <w:t> </w:t>
      </w:r>
      <w:r>
        <w:rPr/>
        <w:t>of A’s “dishonest concealment and turpitude” </w:t>
      </w:r>
      <w:r>
        <w:rPr>
          <w:rFonts w:ascii="Arial" w:hAnsi="Arial"/>
          <w:i/>
        </w:rPr>
        <w:t>[2016] EWHC 293 (Comm) </w:t>
      </w:r>
      <w:r>
        <w:rPr/>
        <w:t>at [28] but (no doubt for the reason given in n.298b above) these matters “could not affect the court’s consideration</w:t>
      </w:r>
      <w:r>
        <w:rPr>
          <w:spacing w:val="40"/>
        </w:rPr>
        <w:t> </w:t>
      </w:r>
      <w:r>
        <w:rPr/>
        <w:t>of the question of law raised by this appeal”. For the formulation of this question, see </w:t>
      </w:r>
      <w:r>
        <w:rPr>
          <w:rFonts w:ascii="Arial" w:hAnsi="Arial"/>
          <w:i/>
        </w:rPr>
        <w:t>[2016] EWHC 293 (Comm) </w:t>
      </w:r>
      <w:r>
        <w:rPr/>
        <w:t>at [3].</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758" w:id="760"/>
      <w:bookmarkEnd w:id="760"/>
      <w:r>
        <w:rPr/>
      </w:r>
      <w:hyperlink w:history="true" w:anchor="_bookmark564">
        <w:r>
          <w:rPr>
            <w:color w:val="005DA1"/>
            <w:spacing w:val="-4"/>
            <w:sz w:val="14"/>
            <w:u w:val="single" w:color="005DA1"/>
          </w:rPr>
          <w:t>307</w:t>
        </w:r>
      </w:hyperlink>
      <w:r>
        <w:rPr>
          <w:spacing w:val="-4"/>
          <w:sz w:val="14"/>
        </w:rPr>
        <w:t>.</w:t>
      </w:r>
    </w:p>
    <w:p>
      <w:pPr>
        <w:spacing w:line="227" w:lineRule="exact" w:before="208"/>
        <w:ind w:left="335" w:right="0" w:firstLine="0"/>
        <w:jc w:val="left"/>
        <w:rPr>
          <w:sz w:val="20"/>
        </w:rPr>
      </w:pPr>
      <w:r>
        <w:rPr/>
        <w:br w:type="column"/>
      </w:r>
      <w:r>
        <w:rPr>
          <w:rFonts w:ascii="Arial"/>
          <w:i/>
          <w:sz w:val="20"/>
        </w:rPr>
        <w:t>[2005]</w:t>
      </w:r>
      <w:r>
        <w:rPr>
          <w:rFonts w:ascii="Arial"/>
          <w:i/>
          <w:spacing w:val="18"/>
          <w:sz w:val="20"/>
        </w:rPr>
        <w:t> </w:t>
      </w:r>
      <w:r>
        <w:rPr>
          <w:rFonts w:ascii="Arial"/>
          <w:i/>
          <w:sz w:val="20"/>
        </w:rPr>
        <w:t>All</w:t>
      </w:r>
      <w:r>
        <w:rPr>
          <w:rFonts w:ascii="Arial"/>
          <w:i/>
          <w:spacing w:val="19"/>
          <w:sz w:val="20"/>
        </w:rPr>
        <w:t> </w:t>
      </w:r>
      <w:r>
        <w:rPr>
          <w:rFonts w:ascii="Arial"/>
          <w:i/>
          <w:sz w:val="20"/>
        </w:rPr>
        <w:t>E.R.</w:t>
      </w:r>
      <w:r>
        <w:rPr>
          <w:rFonts w:ascii="Arial"/>
          <w:i/>
          <w:spacing w:val="19"/>
          <w:sz w:val="20"/>
        </w:rPr>
        <w:t> </w:t>
      </w:r>
      <w:r>
        <w:rPr>
          <w:rFonts w:ascii="Arial"/>
          <w:i/>
          <w:sz w:val="20"/>
        </w:rPr>
        <w:t>(D)</w:t>
      </w:r>
      <w:r>
        <w:rPr>
          <w:rFonts w:ascii="Arial"/>
          <w:i/>
          <w:spacing w:val="19"/>
          <w:sz w:val="20"/>
        </w:rPr>
        <w:t> </w:t>
      </w:r>
      <w:r>
        <w:rPr>
          <w:rFonts w:ascii="Arial"/>
          <w:i/>
          <w:sz w:val="20"/>
        </w:rPr>
        <w:t>331</w:t>
      </w:r>
      <w:r>
        <w:rPr>
          <w:rFonts w:ascii="Arial"/>
          <w:i/>
          <w:spacing w:val="19"/>
          <w:sz w:val="20"/>
        </w:rPr>
        <w:t> </w:t>
      </w:r>
      <w:r>
        <w:rPr>
          <w:rFonts w:ascii="Arial"/>
          <w:i/>
          <w:sz w:val="20"/>
        </w:rPr>
        <w:t>(Jul);</w:t>
      </w:r>
      <w:r>
        <w:rPr>
          <w:rFonts w:ascii="Arial"/>
          <w:i/>
          <w:spacing w:val="19"/>
          <w:sz w:val="20"/>
        </w:rPr>
        <w:t> </w:t>
      </w:r>
      <w:r>
        <w:rPr>
          <w:rFonts w:ascii="Arial"/>
          <w:i/>
          <w:sz w:val="20"/>
        </w:rPr>
        <w:t>Q.B.D.,</w:t>
      </w:r>
      <w:r>
        <w:rPr>
          <w:rFonts w:ascii="Arial"/>
          <w:i/>
          <w:spacing w:val="19"/>
          <w:sz w:val="20"/>
        </w:rPr>
        <w:t> </w:t>
      </w:r>
      <w:r>
        <w:rPr>
          <w:rFonts w:ascii="Arial"/>
          <w:i/>
          <w:sz w:val="20"/>
        </w:rPr>
        <w:t>22</w:t>
      </w:r>
      <w:r>
        <w:rPr>
          <w:rFonts w:ascii="Arial"/>
          <w:i/>
          <w:spacing w:val="19"/>
          <w:sz w:val="20"/>
        </w:rPr>
        <w:t> </w:t>
      </w:r>
      <w:r>
        <w:rPr>
          <w:rFonts w:ascii="Arial"/>
          <w:i/>
          <w:sz w:val="20"/>
        </w:rPr>
        <w:t>July</w:t>
      </w:r>
      <w:r>
        <w:rPr>
          <w:rFonts w:ascii="Arial"/>
          <w:i/>
          <w:spacing w:val="19"/>
          <w:sz w:val="20"/>
        </w:rPr>
        <w:t> </w:t>
      </w:r>
      <w:r>
        <w:rPr>
          <w:rFonts w:ascii="Arial"/>
          <w:i/>
          <w:sz w:val="20"/>
        </w:rPr>
        <w:t>2005</w:t>
      </w:r>
      <w:r>
        <w:rPr>
          <w:sz w:val="20"/>
        </w:rPr>
        <w:t>;</w:t>
      </w:r>
      <w:r>
        <w:rPr>
          <w:spacing w:val="19"/>
          <w:sz w:val="20"/>
        </w:rPr>
        <w:t> </w:t>
      </w:r>
      <w:r>
        <w:rPr>
          <w:sz w:val="20"/>
        </w:rPr>
        <w:t>for</w:t>
      </w:r>
      <w:r>
        <w:rPr>
          <w:spacing w:val="19"/>
          <w:sz w:val="20"/>
        </w:rPr>
        <w:t> </w:t>
      </w:r>
      <w:r>
        <w:rPr>
          <w:sz w:val="20"/>
        </w:rPr>
        <w:t>earlier</w:t>
      </w:r>
      <w:r>
        <w:rPr>
          <w:spacing w:val="19"/>
          <w:sz w:val="20"/>
        </w:rPr>
        <w:t> </w:t>
      </w:r>
      <w:r>
        <w:rPr>
          <w:sz w:val="20"/>
        </w:rPr>
        <w:t>proceedings</w:t>
      </w:r>
      <w:r>
        <w:rPr>
          <w:spacing w:val="19"/>
          <w:sz w:val="20"/>
        </w:rPr>
        <w:t> </w:t>
      </w:r>
      <w:r>
        <w:rPr>
          <w:sz w:val="20"/>
        </w:rPr>
        <w:t>in</w:t>
      </w:r>
      <w:r>
        <w:rPr>
          <w:spacing w:val="19"/>
          <w:sz w:val="20"/>
        </w:rPr>
        <w:t> </w:t>
      </w:r>
      <w:r>
        <w:rPr>
          <w:sz w:val="20"/>
        </w:rPr>
        <w:t>this</w:t>
      </w:r>
      <w:r>
        <w:rPr>
          <w:spacing w:val="19"/>
          <w:sz w:val="20"/>
        </w:rPr>
        <w:t> </w:t>
      </w:r>
      <w:r>
        <w:rPr>
          <w:sz w:val="20"/>
        </w:rPr>
        <w:t>case,</w:t>
      </w:r>
      <w:r>
        <w:rPr>
          <w:spacing w:val="19"/>
          <w:sz w:val="20"/>
        </w:rPr>
        <w:t> </w:t>
      </w:r>
      <w:r>
        <w:rPr>
          <w:spacing w:val="-5"/>
          <w:sz w:val="20"/>
        </w:rPr>
        <w:t>see</w:t>
      </w:r>
    </w:p>
    <w:p>
      <w:pPr>
        <w:spacing w:line="227" w:lineRule="exact" w:before="0"/>
        <w:ind w:left="165" w:right="0" w:firstLine="0"/>
        <w:jc w:val="left"/>
        <w:rPr>
          <w:sz w:val="20"/>
        </w:rPr>
      </w:pPr>
      <w:r>
        <w:rPr>
          <w:sz w:val="20"/>
        </w:rPr>
        <w:drawing>
          <wp:anchor distT="0" distB="0" distL="0" distR="0" allowOverlap="1" layoutInCell="1" locked="0" behindDoc="0" simplePos="0" relativeHeight="15758336">
            <wp:simplePos x="0" y="0"/>
            <wp:positionH relativeFrom="page">
              <wp:posOffset>1257846</wp:posOffset>
            </wp:positionH>
            <wp:positionV relativeFrom="paragraph">
              <wp:posOffset>-116301</wp:posOffset>
            </wp:positionV>
            <wp:extent cx="107988" cy="107988"/>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[2003] EWCA Civ </w:t>
      </w:r>
      <w:r>
        <w:rPr>
          <w:rFonts w:ascii="Arial"/>
          <w:i/>
          <w:spacing w:val="-4"/>
          <w:sz w:val="20"/>
        </w:rPr>
        <w:t>1058</w:t>
      </w:r>
      <w:r>
        <w:rPr>
          <w:spacing w:val="-4"/>
          <w:sz w:val="20"/>
        </w:rPr>
        <w:t>.</w:t>
      </w:r>
    </w:p>
    <w:p>
      <w:pPr>
        <w:spacing w:after="0" w:line="227" w:lineRule="exact"/>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759" w:id="761"/>
      <w:bookmarkEnd w:id="761"/>
      <w:r>
        <w:rPr/>
      </w:r>
      <w:hyperlink w:history="true" w:anchor="_bookmark565">
        <w:r>
          <w:rPr>
            <w:color w:val="005DA1"/>
            <w:spacing w:val="-4"/>
            <w:sz w:val="14"/>
            <w:u w:val="single" w:color="005DA1"/>
          </w:rPr>
          <w:t>308</w:t>
        </w:r>
      </w:hyperlink>
      <w:r>
        <w:rPr>
          <w:spacing w:val="-4"/>
          <w:sz w:val="14"/>
        </w:rPr>
        <w:t>.</w:t>
      </w:r>
    </w:p>
    <w:p>
      <w:pPr>
        <w:spacing w:before="208"/>
        <w:ind w:left="335" w:right="0" w:firstLine="0"/>
        <w:jc w:val="left"/>
        <w:rPr>
          <w:sz w:val="20"/>
        </w:rPr>
      </w:pPr>
      <w:r>
        <w:rPr/>
        <w:br w:type="column"/>
      </w:r>
      <w:r>
        <w:rPr>
          <w:rFonts w:ascii="Arial"/>
          <w:i/>
          <w:sz w:val="20"/>
        </w:rPr>
        <w:t>[2005]</w:t>
      </w:r>
      <w:r>
        <w:rPr>
          <w:rFonts w:ascii="Arial"/>
          <w:i/>
          <w:spacing w:val="-1"/>
          <w:sz w:val="20"/>
        </w:rPr>
        <w:t> </w:t>
      </w:r>
      <w:r>
        <w:rPr>
          <w:rFonts w:ascii="Arial"/>
          <w:i/>
          <w:sz w:val="20"/>
        </w:rPr>
        <w:t>All E.R. (D) 331 (Jul)</w:t>
      </w:r>
      <w:r>
        <w:rPr>
          <w:sz w:val="20"/>
        </w:rPr>
        <w:t>, at [2], </w:t>
      </w:r>
      <w:r>
        <w:rPr>
          <w:spacing w:val="-2"/>
          <w:sz w:val="20"/>
        </w:rPr>
        <w:t>[25].</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8848">
            <wp:simplePos x="0" y="0"/>
            <wp:positionH relativeFrom="page">
              <wp:posOffset>1257846</wp:posOffset>
            </wp:positionH>
            <wp:positionV relativeFrom="paragraph">
              <wp:posOffset>-211200</wp:posOffset>
            </wp:positionV>
            <wp:extent cx="107988" cy="107988"/>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60" w:id="762"/>
      <w:bookmarkEnd w:id="762"/>
      <w:r>
        <w:rPr/>
      </w:r>
      <w:hyperlink w:history="true" w:anchor="_bookmark566">
        <w:r>
          <w:rPr>
            <w:color w:val="005DA1"/>
            <w:spacing w:val="-4"/>
            <w:sz w:val="14"/>
            <w:u w:val="single" w:color="005DA1"/>
          </w:rPr>
          <w:t>309</w:t>
        </w:r>
      </w:hyperlink>
      <w:r>
        <w:rPr>
          <w:spacing w:val="-4"/>
          <w:sz w:val="14"/>
        </w:rPr>
        <w:t>.</w:t>
      </w:r>
    </w:p>
    <w:p>
      <w:pPr>
        <w:pStyle w:val="BodyText"/>
        <w:spacing w:before="208"/>
        <w:ind w:left="335"/>
      </w:pPr>
      <w:r>
        <w:rPr/>
        <w:br w:type="column"/>
      </w:r>
      <w:r>
        <w:rPr/>
        <w:t>ibid., at </w:t>
      </w:r>
      <w:r>
        <w:rPr>
          <w:spacing w:val="-2"/>
        </w:rPr>
        <w:t>[30].</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9360">
            <wp:simplePos x="0" y="0"/>
            <wp:positionH relativeFrom="page">
              <wp:posOffset>1257846</wp:posOffset>
            </wp:positionH>
            <wp:positionV relativeFrom="paragraph">
              <wp:posOffset>-211180</wp:posOffset>
            </wp:positionV>
            <wp:extent cx="107988" cy="107988"/>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61" w:id="763"/>
      <w:bookmarkEnd w:id="763"/>
      <w:r>
        <w:rPr/>
      </w:r>
      <w:hyperlink w:history="true" w:anchor="_bookmark567">
        <w:r>
          <w:rPr>
            <w:color w:val="005DA1"/>
            <w:spacing w:val="-4"/>
            <w:sz w:val="14"/>
            <w:u w:val="single" w:color="005DA1"/>
          </w:rPr>
          <w:t>310</w:t>
        </w:r>
      </w:hyperlink>
      <w:r>
        <w:rPr>
          <w:spacing w:val="-4"/>
          <w:sz w:val="14"/>
        </w:rPr>
        <w:t>.</w:t>
      </w:r>
    </w:p>
    <w:p>
      <w:pPr>
        <w:pStyle w:val="BodyText"/>
        <w:spacing w:before="208"/>
        <w:ind w:left="335"/>
      </w:pPr>
      <w:r>
        <w:rPr/>
        <w:br w:type="column"/>
      </w:r>
      <w:r>
        <w:rPr>
          <w:spacing w:val="-2"/>
        </w:rPr>
        <w:t>ibid.</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9872">
            <wp:simplePos x="0" y="0"/>
            <wp:positionH relativeFrom="page">
              <wp:posOffset>1257846</wp:posOffset>
            </wp:positionH>
            <wp:positionV relativeFrom="paragraph">
              <wp:posOffset>-211160</wp:posOffset>
            </wp:positionV>
            <wp:extent cx="107988" cy="107988"/>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62" w:id="764"/>
      <w:bookmarkEnd w:id="764"/>
      <w:r>
        <w:rPr/>
      </w:r>
      <w:hyperlink w:history="true" w:anchor="_bookmark568">
        <w:r>
          <w:rPr>
            <w:color w:val="005DA1"/>
            <w:spacing w:val="-4"/>
            <w:sz w:val="14"/>
            <w:u w:val="single" w:color="005DA1"/>
          </w:rPr>
          <w:t>311</w:t>
        </w:r>
      </w:hyperlink>
      <w:r>
        <w:rPr>
          <w:spacing w:val="-4"/>
          <w:sz w:val="14"/>
        </w:rPr>
        <w:t>.</w:t>
      </w:r>
    </w:p>
    <w:p>
      <w:pPr>
        <w:pStyle w:val="BodyText"/>
        <w:spacing w:before="208"/>
        <w:ind w:left="335"/>
      </w:pPr>
      <w:r>
        <w:rPr/>
        <w:br w:type="column"/>
      </w:r>
      <w:r>
        <w:rPr/>
        <w:t>ibid., at </w:t>
      </w:r>
      <w:r>
        <w:rPr>
          <w:spacing w:val="-2"/>
        </w:rPr>
        <w:t>[26].</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-211140</wp:posOffset>
            </wp:positionV>
            <wp:extent cx="107988" cy="107988"/>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63" w:id="765"/>
      <w:bookmarkEnd w:id="765"/>
      <w:r>
        <w:rPr/>
      </w:r>
      <w:hyperlink w:history="true" w:anchor="_bookmark569">
        <w:r>
          <w:rPr>
            <w:color w:val="005DA1"/>
            <w:spacing w:val="-4"/>
            <w:sz w:val="14"/>
            <w:u w:val="single" w:color="005DA1"/>
          </w:rPr>
          <w:t>312</w:t>
        </w:r>
      </w:hyperlink>
      <w:r>
        <w:rPr>
          <w:spacing w:val="-4"/>
          <w:sz w:val="14"/>
        </w:rPr>
        <w:t>.</w:t>
      </w:r>
    </w:p>
    <w:p>
      <w:pPr>
        <w:pStyle w:val="BodyText"/>
        <w:spacing w:before="208"/>
        <w:ind w:left="335"/>
      </w:pPr>
      <w:r>
        <w:rPr/>
        <w:br w:type="column"/>
      </w:r>
      <w:r>
        <w:rPr/>
        <w:t>i.e., 29th ed., paras 18-044 to 18-</w:t>
      </w:r>
      <w:r>
        <w:rPr>
          <w:spacing w:val="-4"/>
        </w:rPr>
        <w:t>049.</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pPr>
    </w:p>
    <w:p>
      <w:pPr>
        <w:pStyle w:val="BodyText"/>
        <w:spacing w:line="235" w:lineRule="auto"/>
        <w:ind w:left="705" w:right="167" w:hanging="541"/>
        <w:jc w:val="both"/>
      </w:pPr>
      <w:r>
        <w:rPr/>
        <w:drawing>
          <wp:anchor distT="0" distB="0" distL="0" distR="0" allowOverlap="1" layoutInCell="1" locked="0" behindDoc="0" simplePos="0" relativeHeight="15760896">
            <wp:simplePos x="0" y="0"/>
            <wp:positionH relativeFrom="page">
              <wp:posOffset>1257846</wp:posOffset>
            </wp:positionH>
            <wp:positionV relativeFrom="paragraph">
              <wp:posOffset>-269535</wp:posOffset>
            </wp:positionV>
            <wp:extent cx="107988" cy="107988"/>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764" w:id="766"/>
      <w:bookmarkEnd w:id="766"/>
      <w:r>
        <w:rPr/>
      </w:r>
      <w:hyperlink w:history="true" w:anchor="_bookmark570">
        <w:r>
          <w:rPr>
            <w:color w:val="005DA1"/>
            <w:position w:val="5"/>
            <w:sz w:val="14"/>
            <w:u w:val="single" w:color="005DA1"/>
          </w:rPr>
          <w:t>313</w:t>
        </w:r>
      </w:hyperlink>
      <w:r>
        <w:rPr>
          <w:position w:val="5"/>
          <w:sz w:val="14"/>
        </w:rPr>
        <w:t>.</w:t>
      </w:r>
      <w:r>
        <w:rPr>
          <w:spacing w:val="80"/>
          <w:position w:val="5"/>
          <w:sz w:val="14"/>
        </w:rPr>
        <w:t> </w:t>
      </w:r>
      <w:r>
        <w:rPr/>
        <w:t>Below, para.26-046; cf. </w:t>
      </w:r>
      <w:r>
        <w:rPr>
          <w:rFonts w:ascii="Arial"/>
          <w:i/>
        </w:rPr>
        <w:t>White v Jones [1995] 2 A.C. 207 </w:t>
      </w:r>
      <w:r>
        <w:rPr/>
        <w:t>(above, para.18-039), where </w:t>
      </w:r>
      <w:r>
        <w:rPr/>
        <w:t>the damages recoverable by the estate of the other contracting party would have been no more than nominal.</w:t>
      </w:r>
    </w:p>
    <w:p>
      <w:pPr>
        <w:pStyle w:val="BodyText"/>
        <w:spacing w:before="9"/>
      </w:pPr>
    </w:p>
    <w:p>
      <w:pPr>
        <w:pStyle w:val="BodyText"/>
        <w:spacing w:line="235" w:lineRule="auto"/>
        <w:ind w:left="705" w:right="167" w:hanging="541"/>
        <w:jc w:val="both"/>
      </w:pPr>
      <w:bookmarkStart w:name="_bookmark765" w:id="767"/>
      <w:bookmarkEnd w:id="767"/>
      <w:r>
        <w:rPr/>
      </w:r>
      <w:hyperlink w:history="true" w:anchor="_bookmark571">
        <w:r>
          <w:rPr>
            <w:color w:val="005DA1"/>
            <w:position w:val="5"/>
            <w:sz w:val="14"/>
            <w:u w:val="single" w:color="005DA1"/>
          </w:rPr>
          <w:t>314</w:t>
        </w:r>
      </w:hyperlink>
      <w:r>
        <w:rPr>
          <w:position w:val="5"/>
          <w:sz w:val="14"/>
        </w:rPr>
        <w:t>.</w:t>
      </w:r>
      <w:r>
        <w:rPr>
          <w:spacing w:val="80"/>
          <w:position w:val="5"/>
          <w:sz w:val="14"/>
        </w:rPr>
        <w:t>  </w:t>
      </w:r>
      <w:r>
        <w:rPr/>
        <w:t>A fortiori, a promisee cannot recover damages in respect of loss suffered by a third party </w:t>
      </w:r>
      <w:r>
        <w:rPr>
          <w:rFonts w:ascii="Arial" w:hAnsi="Arial"/>
          <w:i/>
        </w:rPr>
        <w:t>other </w:t>
      </w:r>
      <w:r>
        <w:rPr/>
        <w:t>than one for whose benefit the contract was made. Thus if A agrees to buy goods from B which B intends to acquire from C, and A repudiates the contract so that B does not in turn buy the goods from C, then B cannot recover damages in respect of any loss suffered by C: </w:t>
      </w:r>
      <w:r>
        <w:rPr>
          <w:rFonts w:ascii="Arial" w:hAnsi="Arial"/>
          <w:i/>
        </w:rPr>
        <w:t>And so to Bed Ltd v Dixon, Transcript November 21, 2000 </w:t>
      </w:r>
      <w:r>
        <w:rPr/>
        <w:t>at 46-49, 54 (Ch. D.). Similarly, it has been</w:t>
      </w:r>
      <w:r>
        <w:rPr>
          <w:spacing w:val="40"/>
        </w:rPr>
        <w:t> </w:t>
      </w:r>
      <w:r>
        <w:rPr/>
        <w:t>said that B could not recover damages in respect of loss suffered by B’s intended supplier C in</w:t>
      </w:r>
      <w:r>
        <w:rPr>
          <w:spacing w:val="40"/>
        </w:rPr>
        <w:t> </w:t>
      </w:r>
      <w:r>
        <w:rPr/>
        <w:t>a</w:t>
      </w:r>
      <w:r>
        <w:rPr>
          <w:spacing w:val="-2"/>
        </w:rPr>
        <w:t> </w:t>
      </w:r>
      <w:r>
        <w:rPr/>
        <w:t>case</w:t>
      </w:r>
      <w:r>
        <w:rPr>
          <w:spacing w:val="-2"/>
        </w:rPr>
        <w:t> </w:t>
      </w:r>
      <w:r>
        <w:rPr/>
        <w:t>falling</w:t>
      </w:r>
      <w:r>
        <w:rPr>
          <w:spacing w:val="-2"/>
        </w:rPr>
        <w:t> </w:t>
      </w:r>
      <w:r>
        <w:rPr/>
        <w:t>within</w:t>
      </w:r>
      <w:r>
        <w:rPr>
          <w:spacing w:val="-2"/>
        </w:rPr>
        <w:t> </w:t>
      </w:r>
      <w:r>
        <w:rPr/>
        <w:t>an</w:t>
      </w:r>
      <w:r>
        <w:rPr>
          <w:spacing w:val="-2"/>
        </w:rPr>
        <w:t> </w:t>
      </w:r>
      <w:r>
        <w:rPr/>
        <w:t>exception</w:t>
      </w:r>
      <w:r>
        <w:rPr>
          <w:spacing w:val="-2"/>
        </w:rPr>
        <w:t> </w:t>
      </w:r>
      <w:r>
        <w:rPr/>
        <w:t>to</w:t>
      </w:r>
      <w:r>
        <w:rPr>
          <w:spacing w:val="-2"/>
        </w:rPr>
        <w:t> </w:t>
      </w:r>
      <w:r>
        <w:rPr/>
        <w:t>the</w:t>
      </w:r>
      <w:r>
        <w:rPr>
          <w:spacing w:val="-2"/>
        </w:rPr>
        <w:t> </w:t>
      </w:r>
      <w:r>
        <w:rPr/>
        <w:t>general</w:t>
      </w:r>
      <w:r>
        <w:rPr>
          <w:spacing w:val="-2"/>
        </w:rPr>
        <w:t> </w:t>
      </w:r>
      <w:r>
        <w:rPr/>
        <w:t>rule</w:t>
      </w:r>
      <w:r>
        <w:rPr>
          <w:spacing w:val="-2"/>
        </w:rPr>
        <w:t> </w:t>
      </w:r>
      <w:r>
        <w:rPr/>
        <w:t>stated</w:t>
      </w:r>
      <w:r>
        <w:rPr>
          <w:spacing w:val="-2"/>
        </w:rPr>
        <w:t> </w:t>
      </w:r>
      <w:r>
        <w:rPr/>
        <w:t>in</w:t>
      </w:r>
      <w:r>
        <w:rPr>
          <w:spacing w:val="-2"/>
        </w:rPr>
        <w:t> </w:t>
      </w:r>
      <w:r>
        <w:rPr/>
        <w:t>the</w:t>
      </w:r>
      <w:r>
        <w:rPr>
          <w:spacing w:val="-2"/>
        </w:rPr>
        <w:t> </w:t>
      </w:r>
      <w:r>
        <w:rPr/>
        <w:t>present</w:t>
      </w:r>
      <w:r>
        <w:rPr>
          <w:spacing w:val="-2"/>
        </w:rPr>
        <w:t> </w:t>
      </w:r>
      <w:r>
        <w:rPr/>
        <w:t>paragraph:</w:t>
      </w:r>
      <w:r>
        <w:rPr>
          <w:spacing w:val="-3"/>
        </w:rPr>
        <w:t> </w:t>
      </w:r>
      <w:r>
        <w:rPr>
          <w:rFonts w:ascii="Arial" w:hAnsi="Arial"/>
          <w:i/>
        </w:rPr>
        <w:t>Smithkline Beecham</w:t>
      </w:r>
      <w:r>
        <w:rPr>
          <w:rFonts w:ascii="Arial" w:hAnsi="Arial"/>
          <w:i/>
          <w:spacing w:val="2"/>
        </w:rPr>
        <w:t> </w:t>
      </w:r>
      <w:r>
        <w:rPr>
          <w:rFonts w:ascii="Arial" w:hAnsi="Arial"/>
          <w:i/>
        </w:rPr>
        <w:t>plc</w:t>
      </w:r>
      <w:r>
        <w:rPr>
          <w:rFonts w:ascii="Arial" w:hAnsi="Arial"/>
          <w:i/>
          <w:spacing w:val="4"/>
        </w:rPr>
        <w:t> </w:t>
      </w:r>
      <w:r>
        <w:rPr>
          <w:rFonts w:ascii="Arial" w:hAnsi="Arial"/>
          <w:i/>
        </w:rPr>
        <w:t>v</w:t>
      </w:r>
      <w:r>
        <w:rPr>
          <w:rFonts w:ascii="Arial" w:hAnsi="Arial"/>
          <w:i/>
          <w:spacing w:val="4"/>
        </w:rPr>
        <w:t> </w:t>
      </w:r>
      <w:r>
        <w:rPr>
          <w:rFonts w:ascii="Arial" w:hAnsi="Arial"/>
          <w:i/>
        </w:rPr>
        <w:t>Apotex</w:t>
      </w:r>
      <w:r>
        <w:rPr>
          <w:rFonts w:ascii="Arial" w:hAnsi="Arial"/>
          <w:i/>
          <w:spacing w:val="4"/>
        </w:rPr>
        <w:t> </w:t>
      </w:r>
      <w:r>
        <w:rPr>
          <w:rFonts w:ascii="Arial" w:hAnsi="Arial"/>
          <w:i/>
        </w:rPr>
        <w:t>Ltd</w:t>
      </w:r>
      <w:r>
        <w:rPr>
          <w:rFonts w:ascii="Arial" w:hAnsi="Arial"/>
          <w:i/>
          <w:spacing w:val="4"/>
        </w:rPr>
        <w:t> </w:t>
      </w:r>
      <w:r>
        <w:rPr>
          <w:rFonts w:ascii="Arial" w:hAnsi="Arial"/>
          <w:i/>
        </w:rPr>
        <w:t>[2006]</w:t>
      </w:r>
      <w:r>
        <w:rPr>
          <w:rFonts w:ascii="Arial" w:hAnsi="Arial"/>
          <w:i/>
          <w:spacing w:val="4"/>
        </w:rPr>
        <w:t> </w:t>
      </w:r>
      <w:r>
        <w:rPr>
          <w:rFonts w:ascii="Arial" w:hAnsi="Arial"/>
          <w:i/>
        </w:rPr>
        <w:t>EWCA</w:t>
      </w:r>
      <w:r>
        <w:rPr>
          <w:rFonts w:ascii="Arial" w:hAnsi="Arial"/>
          <w:i/>
          <w:spacing w:val="4"/>
        </w:rPr>
        <w:t> </w:t>
      </w:r>
      <w:r>
        <w:rPr>
          <w:rFonts w:ascii="Arial" w:hAnsi="Arial"/>
          <w:i/>
        </w:rPr>
        <w:t>Civ</w:t>
      </w:r>
      <w:r>
        <w:rPr>
          <w:rFonts w:ascii="Arial" w:hAnsi="Arial"/>
          <w:i/>
          <w:spacing w:val="4"/>
        </w:rPr>
        <w:t> </w:t>
      </w:r>
      <w:r>
        <w:rPr>
          <w:rFonts w:ascii="Arial" w:hAnsi="Arial"/>
          <w:i/>
        </w:rPr>
        <w:t>658,</w:t>
      </w:r>
      <w:r>
        <w:rPr>
          <w:rFonts w:ascii="Arial" w:hAnsi="Arial"/>
          <w:i/>
          <w:spacing w:val="4"/>
        </w:rPr>
        <w:t> </w:t>
      </w:r>
      <w:r>
        <w:rPr>
          <w:rFonts w:ascii="Arial" w:hAnsi="Arial"/>
          <w:i/>
        </w:rPr>
        <w:t>[2007]</w:t>
      </w:r>
      <w:r>
        <w:rPr>
          <w:rFonts w:ascii="Arial" w:hAnsi="Arial"/>
          <w:i/>
          <w:spacing w:val="4"/>
        </w:rPr>
        <w:t> </w:t>
      </w:r>
      <w:r>
        <w:rPr>
          <w:rFonts w:ascii="Arial" w:hAnsi="Arial"/>
          <w:i/>
        </w:rPr>
        <w:t>Ch.</w:t>
      </w:r>
      <w:r>
        <w:rPr>
          <w:rFonts w:ascii="Arial" w:hAnsi="Arial"/>
          <w:i/>
          <w:spacing w:val="4"/>
        </w:rPr>
        <w:t> </w:t>
      </w:r>
      <w:r>
        <w:rPr>
          <w:rFonts w:ascii="Arial" w:hAnsi="Arial"/>
          <w:i/>
        </w:rPr>
        <w:t>71</w:t>
      </w:r>
      <w:r>
        <w:rPr>
          <w:rFonts w:ascii="Arial" w:hAnsi="Arial"/>
          <w:i/>
          <w:spacing w:val="4"/>
        </w:rPr>
        <w:t> </w:t>
      </w:r>
      <w:r>
        <w:rPr/>
        <w:t>at</w:t>
      </w:r>
      <w:r>
        <w:rPr>
          <w:spacing w:val="4"/>
        </w:rPr>
        <w:t> </w:t>
      </w:r>
      <w:r>
        <w:rPr/>
        <w:t>[94],</w:t>
      </w:r>
      <w:r>
        <w:rPr>
          <w:spacing w:val="4"/>
        </w:rPr>
        <w:t> </w:t>
      </w:r>
      <w:r>
        <w:rPr/>
        <w:t>where</w:t>
      </w:r>
      <w:r>
        <w:rPr>
          <w:spacing w:val="4"/>
        </w:rPr>
        <w:t> </w:t>
      </w:r>
      <w:r>
        <w:rPr/>
        <w:t>the</w:t>
      </w:r>
      <w:r>
        <w:rPr>
          <w:spacing w:val="4"/>
        </w:rPr>
        <w:t> </w:t>
      </w:r>
      <w:r>
        <w:rPr/>
        <w:t>main</w:t>
      </w:r>
      <w:r>
        <w:rPr>
          <w:spacing w:val="4"/>
        </w:rPr>
        <w:t> </w:t>
      </w:r>
      <w:r>
        <w:rPr>
          <w:spacing w:val="-2"/>
        </w:rPr>
        <w:t>reason</w:t>
      </w:r>
    </w:p>
    <w:p>
      <w:pPr>
        <w:pStyle w:val="BodyText"/>
        <w:spacing w:after="0" w:line="235" w:lineRule="auto"/>
        <w:jc w:val="both"/>
        <w:sectPr>
          <w:type w:val="continuous"/>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for</w:t>
      </w:r>
      <w:r>
        <w:rPr>
          <w:spacing w:val="-2"/>
        </w:rPr>
        <w:t> </w:t>
      </w:r>
      <w:r>
        <w:rPr/>
        <w:t>actual</w:t>
      </w:r>
      <w:r>
        <w:rPr>
          <w:spacing w:val="-2"/>
        </w:rPr>
        <w:t> </w:t>
      </w:r>
      <w:r>
        <w:rPr/>
        <w:t>decision</w:t>
      </w:r>
      <w:r>
        <w:rPr>
          <w:spacing w:val="-2"/>
        </w:rPr>
        <w:t> </w:t>
      </w:r>
      <w:r>
        <w:rPr/>
        <w:t>was</w:t>
      </w:r>
      <w:r>
        <w:rPr>
          <w:spacing w:val="-2"/>
        </w:rPr>
        <w:t> </w:t>
      </w:r>
      <w:r>
        <w:rPr/>
        <w:t>that</w:t>
      </w:r>
      <w:r>
        <w:rPr>
          <w:spacing w:val="-2"/>
        </w:rPr>
        <w:t> </w:t>
      </w:r>
      <w:r>
        <w:rPr/>
        <w:t>there</w:t>
      </w:r>
      <w:r>
        <w:rPr>
          <w:spacing w:val="-2"/>
        </w:rPr>
        <w:t> </w:t>
      </w:r>
      <w:r>
        <w:rPr/>
        <w:t>was</w:t>
      </w:r>
      <w:r>
        <w:rPr>
          <w:spacing w:val="-2"/>
        </w:rPr>
        <w:t> </w:t>
      </w:r>
      <w:r>
        <w:rPr/>
        <w:t>no</w:t>
      </w:r>
      <w:r>
        <w:rPr>
          <w:spacing w:val="-2"/>
        </w:rPr>
        <w:t> </w:t>
      </w:r>
      <w:r>
        <w:rPr/>
        <w:t>contract</w:t>
      </w:r>
      <w:r>
        <w:rPr>
          <w:spacing w:val="-2"/>
        </w:rPr>
        <w:t> </w:t>
      </w:r>
      <w:r>
        <w:rPr/>
        <w:t>between</w:t>
      </w:r>
      <w:r>
        <w:rPr>
          <w:spacing w:val="-2"/>
        </w:rPr>
        <w:t> </w:t>
      </w:r>
      <w:r>
        <w:rPr/>
        <w:t>A</w:t>
      </w:r>
      <w:r>
        <w:rPr>
          <w:spacing w:val="-2"/>
        </w:rPr>
        <w:t> </w:t>
      </w:r>
      <w:r>
        <w:rPr/>
        <w:t>and</w:t>
      </w:r>
      <w:r>
        <w:rPr>
          <w:spacing w:val="-2"/>
        </w:rPr>
        <w:t> </w:t>
      </w:r>
      <w:r>
        <w:rPr/>
        <w:t>B</w:t>
      </w:r>
      <w:r>
        <w:rPr>
          <w:spacing w:val="-2"/>
        </w:rPr>
        <w:t> </w:t>
      </w:r>
      <w:r>
        <w:rPr/>
        <w:t>(at</w:t>
      </w:r>
      <w:r>
        <w:rPr>
          <w:spacing w:val="-2"/>
        </w:rPr>
        <w:t> </w:t>
      </w:r>
      <w:r>
        <w:rPr/>
        <w:t>[86],</w:t>
      </w:r>
      <w:r>
        <w:rPr>
          <w:spacing w:val="-2"/>
        </w:rPr>
        <w:t> </w:t>
      </w:r>
      <w:r>
        <w:rPr/>
        <w:t>[88]).</w:t>
      </w:r>
      <w:r>
        <w:rPr>
          <w:spacing w:val="-2"/>
        </w:rPr>
        <w:t> </w:t>
      </w:r>
      <w:r>
        <w:rPr/>
        <w:t>Of</w:t>
      </w:r>
      <w:r>
        <w:rPr>
          <w:spacing w:val="-2"/>
        </w:rPr>
        <w:t> </w:t>
      </w:r>
      <w:r>
        <w:rPr/>
        <w:t>course</w:t>
      </w:r>
      <w:r>
        <w:rPr>
          <w:spacing w:val="-2"/>
        </w:rPr>
        <w:t> </w:t>
      </w:r>
      <w:r>
        <w:rPr/>
        <w:t>if</w:t>
      </w:r>
      <w:r>
        <w:rPr>
          <w:spacing w:val="-2"/>
        </w:rPr>
        <w:t> </w:t>
      </w:r>
      <w:r>
        <w:rPr/>
        <w:t>B had</w:t>
      </w:r>
      <w:r>
        <w:rPr>
          <w:spacing w:val="-1"/>
        </w:rPr>
        <w:t> </w:t>
      </w:r>
      <w:r>
        <w:rPr>
          <w:rFonts w:ascii="Arial" w:hAnsi="Arial"/>
          <w:i/>
        </w:rPr>
        <w:t>contracted</w:t>
      </w:r>
      <w:r>
        <w:rPr>
          <w:rFonts w:ascii="Arial" w:hAnsi="Arial"/>
          <w:i/>
          <w:spacing w:val="-1"/>
        </w:rPr>
        <w:t> </w:t>
      </w:r>
      <w:r>
        <w:rPr/>
        <w:t>to</w:t>
      </w:r>
      <w:r>
        <w:rPr>
          <w:spacing w:val="-1"/>
        </w:rPr>
        <w:t> </w:t>
      </w:r>
      <w:r>
        <w:rPr/>
        <w:t>acquire</w:t>
      </w:r>
      <w:r>
        <w:rPr>
          <w:spacing w:val="-1"/>
        </w:rPr>
        <w:t> </w:t>
      </w:r>
      <w:r>
        <w:rPr/>
        <w:t>the</w:t>
      </w:r>
      <w:r>
        <w:rPr>
          <w:spacing w:val="-1"/>
        </w:rPr>
        <w:t> </w:t>
      </w:r>
      <w:r>
        <w:rPr/>
        <w:t>goods</w:t>
      </w:r>
      <w:r>
        <w:rPr>
          <w:spacing w:val="-1"/>
        </w:rPr>
        <w:t> </w:t>
      </w:r>
      <w:r>
        <w:rPr/>
        <w:t>from</w:t>
      </w:r>
      <w:r>
        <w:rPr>
          <w:spacing w:val="-1"/>
        </w:rPr>
        <w:t> </w:t>
      </w:r>
      <w:r>
        <w:rPr/>
        <w:t>C</w:t>
      </w:r>
      <w:r>
        <w:rPr>
          <w:spacing w:val="-1"/>
        </w:rPr>
        <w:t> </w:t>
      </w:r>
      <w:r>
        <w:rPr/>
        <w:t>and</w:t>
      </w:r>
      <w:r>
        <w:rPr>
          <w:spacing w:val="-1"/>
        </w:rPr>
        <w:t> </w:t>
      </w:r>
      <w:r>
        <w:rPr/>
        <w:t>was</w:t>
      </w:r>
      <w:r>
        <w:rPr>
          <w:spacing w:val="-1"/>
        </w:rPr>
        <w:t> </w:t>
      </w:r>
      <w:r>
        <w:rPr/>
        <w:t>in</w:t>
      </w:r>
      <w:r>
        <w:rPr>
          <w:spacing w:val="-1"/>
        </w:rPr>
        <w:t> </w:t>
      </w:r>
      <w:r>
        <w:rPr/>
        <w:t>consequence</w:t>
      </w:r>
      <w:r>
        <w:rPr>
          <w:spacing w:val="-1"/>
        </w:rPr>
        <w:t> </w:t>
      </w:r>
      <w:r>
        <w:rPr/>
        <w:t>of</w:t>
      </w:r>
      <w:r>
        <w:rPr>
          <w:spacing w:val="-1"/>
        </w:rPr>
        <w:t> </w:t>
      </w:r>
      <w:r>
        <w:rPr/>
        <w:t>A’s</w:t>
      </w:r>
      <w:r>
        <w:rPr>
          <w:spacing w:val="-1"/>
        </w:rPr>
        <w:t> </w:t>
      </w:r>
      <w:r>
        <w:rPr/>
        <w:t>repudiation</w:t>
      </w:r>
      <w:r>
        <w:rPr>
          <w:spacing w:val="-1"/>
        </w:rPr>
        <w:t> </w:t>
      </w:r>
      <w:r>
        <w:rPr/>
        <w:t>liable</w:t>
      </w:r>
      <w:r>
        <w:rPr>
          <w:spacing w:val="-1"/>
        </w:rPr>
        <w:t> </w:t>
      </w:r>
      <w:r>
        <w:rPr/>
        <w:t>in damages to C, then B could recover the amount for which he was so liable from A as damages in respect of his (B’s) </w:t>
      </w:r>
      <w:r>
        <w:rPr>
          <w:rFonts w:ascii="Arial" w:hAnsi="Arial"/>
          <w:i/>
        </w:rPr>
        <w:t>own </w:t>
      </w:r>
      <w:r>
        <w:rPr/>
        <w:t>loss.</w:t>
      </w:r>
    </w:p>
    <w:p>
      <w:pPr>
        <w:pStyle w:val="BodyText"/>
        <w:spacing w:before="8"/>
      </w:pPr>
    </w:p>
    <w:p>
      <w:pPr>
        <w:spacing w:line="235" w:lineRule="auto" w:before="0"/>
        <w:ind w:left="705" w:right="167" w:hanging="541"/>
        <w:jc w:val="both"/>
        <w:rPr>
          <w:sz w:val="20"/>
        </w:rPr>
      </w:pPr>
      <w:bookmarkStart w:name="_bookmark766" w:id="768"/>
      <w:bookmarkEnd w:id="768"/>
      <w:r>
        <w:rPr/>
      </w:r>
      <w:hyperlink w:history="true" w:anchor="_bookmark572">
        <w:r>
          <w:rPr>
            <w:color w:val="005DA1"/>
            <w:position w:val="5"/>
            <w:sz w:val="14"/>
            <w:u w:val="single" w:color="005DA1"/>
          </w:rPr>
          <w:t>315</w:t>
        </w:r>
      </w:hyperlink>
      <w:r>
        <w:rPr>
          <w:position w:val="5"/>
          <w:sz w:val="14"/>
        </w:rPr>
        <w:t>.</w:t>
      </w:r>
      <w:r>
        <w:rPr>
          <w:spacing w:val="80"/>
          <w:position w:val="5"/>
          <w:sz w:val="14"/>
        </w:rPr>
        <w:t> </w:t>
      </w:r>
      <w:r>
        <w:rPr>
          <w:rFonts w:ascii="Arial" w:hAnsi="Arial"/>
          <w:i/>
          <w:sz w:val="20"/>
        </w:rPr>
        <w:t>Albacruz (Cargo Owners) v Albazero (Owners) (The Albazero) [1977] A.C. 774, 846</w:t>
      </w:r>
      <w:r>
        <w:rPr>
          <w:sz w:val="20"/>
        </w:rPr>
        <w:t>; </w:t>
      </w:r>
      <w:r>
        <w:rPr>
          <w:rFonts w:ascii="Arial" w:hAnsi="Arial"/>
          <w:i/>
          <w:sz w:val="20"/>
        </w:rPr>
        <w:t>Linden Gardens </w:t>
      </w:r>
      <w:r>
        <w:rPr>
          <w:sz w:val="20"/>
        </w:rPr>
        <w:t>case, above, n.297 at 114, and see below, para.18-060, at nn.372 and 373; </w:t>
      </w:r>
      <w:r>
        <w:rPr>
          <w:sz w:val="20"/>
        </w:rPr>
        <w:t>Weir [1977] C.L.J. 24. See also </w:t>
      </w:r>
      <w:r>
        <w:rPr>
          <w:rFonts w:ascii="Arial" w:hAnsi="Arial"/>
          <w:i/>
          <w:sz w:val="20"/>
        </w:rPr>
        <w:t>Ramco (UK) Ltd v International Insurance Co of Hanover [2004] EWCA Civ 675, [2004] 2 All E.R. (Comm) 866 </w:t>
      </w:r>
      <w:r>
        <w:rPr>
          <w:sz w:val="20"/>
        </w:rPr>
        <w:t>at [32]; the actual decision (that an insurance policy did not cover a third party’s loss) turned on the wording of the policy.</w:t>
      </w:r>
    </w:p>
    <w:p>
      <w:pPr>
        <w:pStyle w:val="BodyText"/>
        <w:spacing w:before="4"/>
      </w:pPr>
    </w:p>
    <w:p>
      <w:pPr>
        <w:tabs>
          <w:tab w:pos="705" w:val="left" w:leader="none"/>
        </w:tabs>
        <w:spacing w:before="1"/>
        <w:ind w:left="165" w:right="0" w:firstLine="0"/>
        <w:jc w:val="left"/>
        <w:rPr>
          <w:sz w:val="20"/>
        </w:rPr>
      </w:pPr>
      <w:bookmarkStart w:name="_bookmark767" w:id="769"/>
      <w:bookmarkEnd w:id="769"/>
      <w:r>
        <w:rPr/>
      </w:r>
      <w:hyperlink w:history="true" w:anchor="_bookmark573">
        <w:r>
          <w:rPr>
            <w:color w:val="005DA1"/>
            <w:spacing w:val="-4"/>
            <w:position w:val="5"/>
            <w:sz w:val="14"/>
            <w:u w:val="single" w:color="005DA1"/>
          </w:rPr>
          <w:t>316</w:t>
        </w:r>
      </w:hyperlink>
      <w:r>
        <w:rPr>
          <w:spacing w:val="-4"/>
          <w:position w:val="5"/>
          <w:sz w:val="14"/>
        </w:rPr>
        <w:t>.</w:t>
      </w:r>
      <w:r>
        <w:rPr>
          <w:position w:val="5"/>
          <w:sz w:val="14"/>
        </w:rPr>
        <w:tab/>
      </w:r>
      <w:r>
        <w:rPr>
          <w:rFonts w:ascii="Arial"/>
          <w:i/>
          <w:sz w:val="20"/>
        </w:rPr>
        <w:t>[1975]</w:t>
      </w:r>
      <w:r>
        <w:rPr>
          <w:rFonts w:ascii="Arial"/>
          <w:i/>
          <w:spacing w:val="-1"/>
          <w:sz w:val="20"/>
        </w:rPr>
        <w:t> </w:t>
      </w:r>
      <w:r>
        <w:rPr>
          <w:rFonts w:ascii="Arial"/>
          <w:i/>
          <w:sz w:val="20"/>
        </w:rPr>
        <w:t>1 W.L.R. 1468</w:t>
      </w:r>
      <w:r>
        <w:rPr>
          <w:sz w:val="20"/>
        </w:rPr>
        <w:t>; Yates (1975) 39 M.L.R. </w:t>
      </w:r>
      <w:r>
        <w:rPr>
          <w:spacing w:val="-4"/>
          <w:sz w:val="20"/>
        </w:rPr>
        <w:t>202.</w:t>
      </w:r>
    </w:p>
    <w:p>
      <w:pPr>
        <w:pStyle w:val="BodyText"/>
        <w:spacing w:before="8"/>
      </w:pPr>
    </w:p>
    <w:p>
      <w:pPr>
        <w:tabs>
          <w:tab w:pos="705" w:val="left" w:leader="none"/>
        </w:tabs>
        <w:spacing w:line="235" w:lineRule="auto" w:before="0"/>
        <w:ind w:left="705" w:right="168" w:hanging="541"/>
        <w:jc w:val="left"/>
        <w:rPr>
          <w:sz w:val="20"/>
        </w:rPr>
      </w:pPr>
      <w:bookmarkStart w:name="_bookmark768" w:id="770"/>
      <w:bookmarkEnd w:id="770"/>
      <w:r>
        <w:rPr/>
      </w:r>
      <w:hyperlink w:history="true" w:anchor="_bookmark574">
        <w:r>
          <w:rPr>
            <w:color w:val="005DA1"/>
            <w:spacing w:val="-4"/>
            <w:position w:val="5"/>
            <w:sz w:val="14"/>
            <w:u w:val="single" w:color="005DA1"/>
          </w:rPr>
          <w:t>317</w:t>
        </w:r>
      </w:hyperlink>
      <w:r>
        <w:rPr>
          <w:spacing w:val="-4"/>
          <w:position w:val="5"/>
          <w:sz w:val="14"/>
        </w:rPr>
        <w:t>.</w:t>
      </w:r>
      <w:r>
        <w:rPr>
          <w:position w:val="5"/>
          <w:sz w:val="14"/>
        </w:rPr>
        <w:tab/>
      </w:r>
      <w:r>
        <w:rPr>
          <w:sz w:val="20"/>
        </w:rPr>
        <w:t>Contrast</w:t>
      </w:r>
      <w:r>
        <w:rPr>
          <w:spacing w:val="28"/>
          <w:sz w:val="20"/>
        </w:rPr>
        <w:t> </w:t>
      </w:r>
      <w:r>
        <w:rPr>
          <w:rFonts w:ascii="Arial" w:hAnsi="Arial"/>
          <w:i/>
          <w:sz w:val="20"/>
        </w:rPr>
        <w:t>Daly</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General</w:t>
      </w:r>
      <w:r>
        <w:rPr>
          <w:rFonts w:ascii="Arial" w:hAnsi="Arial"/>
          <w:i/>
          <w:spacing w:val="28"/>
          <w:sz w:val="20"/>
        </w:rPr>
        <w:t> </w:t>
      </w:r>
      <w:r>
        <w:rPr>
          <w:rFonts w:ascii="Arial" w:hAnsi="Arial"/>
          <w:i/>
          <w:sz w:val="20"/>
        </w:rPr>
        <w:t>Steam</w:t>
      </w:r>
      <w:r>
        <w:rPr>
          <w:rFonts w:ascii="Arial" w:hAnsi="Arial"/>
          <w:i/>
          <w:spacing w:val="28"/>
          <w:sz w:val="20"/>
        </w:rPr>
        <w:t> </w:t>
      </w:r>
      <w:r>
        <w:rPr>
          <w:rFonts w:ascii="Arial" w:hAnsi="Arial"/>
          <w:i/>
          <w:sz w:val="20"/>
        </w:rPr>
        <w:t>Navigation</w:t>
      </w:r>
      <w:r>
        <w:rPr>
          <w:rFonts w:ascii="Arial" w:hAnsi="Arial"/>
          <w:i/>
          <w:spacing w:val="28"/>
          <w:sz w:val="20"/>
        </w:rPr>
        <w:t> </w:t>
      </w:r>
      <w:r>
        <w:rPr>
          <w:rFonts w:ascii="Arial" w:hAnsi="Arial"/>
          <w:i/>
          <w:sz w:val="20"/>
        </w:rPr>
        <w:t>Co</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(The</w:t>
      </w:r>
      <w:r>
        <w:rPr>
          <w:rFonts w:ascii="Arial" w:hAnsi="Arial"/>
          <w:i/>
          <w:spacing w:val="28"/>
          <w:sz w:val="20"/>
        </w:rPr>
        <w:t> </w:t>
      </w:r>
      <w:r>
        <w:rPr>
          <w:rFonts w:ascii="Arial" w:hAnsi="Arial"/>
          <w:i/>
          <w:sz w:val="20"/>
        </w:rPr>
        <w:t>Dragon)</w:t>
      </w:r>
      <w:r>
        <w:rPr>
          <w:rFonts w:ascii="Arial" w:hAnsi="Arial"/>
          <w:i/>
          <w:spacing w:val="28"/>
          <w:sz w:val="20"/>
        </w:rPr>
        <w:t> </w:t>
      </w:r>
      <w:r>
        <w:rPr>
          <w:rFonts w:ascii="Arial" w:hAnsi="Arial"/>
          <w:i/>
          <w:sz w:val="20"/>
        </w:rPr>
        <w:t>[1979]</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Lloyd’s</w:t>
      </w:r>
      <w:r>
        <w:rPr>
          <w:rFonts w:ascii="Arial" w:hAnsi="Arial"/>
          <w:i/>
          <w:spacing w:val="28"/>
          <w:sz w:val="20"/>
        </w:rPr>
        <w:t> </w:t>
      </w:r>
      <w:r>
        <w:rPr>
          <w:rFonts w:ascii="Arial" w:hAnsi="Arial"/>
          <w:i/>
          <w:sz w:val="20"/>
        </w:rPr>
        <w:t>Rep.</w:t>
      </w:r>
      <w:r>
        <w:rPr>
          <w:rFonts w:ascii="Arial" w:hAnsi="Arial"/>
          <w:i/>
          <w:spacing w:val="28"/>
          <w:sz w:val="20"/>
        </w:rPr>
        <w:t> </w:t>
      </w:r>
      <w:r>
        <w:rPr>
          <w:rFonts w:ascii="Arial" w:hAnsi="Arial"/>
          <w:i/>
          <w:sz w:val="20"/>
        </w:rPr>
        <w:t>257, 262; affirmed [1980] 2 Lloyd’s Rep. 415</w:t>
      </w:r>
      <w:r>
        <w:rPr>
          <w:sz w:val="20"/>
        </w:rPr>
        <w:t>, above, para.18-014.</w:t>
      </w:r>
    </w:p>
    <w:p>
      <w:pPr>
        <w:pStyle w:val="BodyText"/>
        <w:spacing w:before="6"/>
      </w:pPr>
    </w:p>
    <w:p>
      <w:pPr>
        <w:tabs>
          <w:tab w:pos="705" w:val="left" w:leader="none"/>
        </w:tabs>
        <w:spacing w:before="0"/>
        <w:ind w:left="165" w:right="0" w:firstLine="0"/>
        <w:jc w:val="left"/>
        <w:rPr>
          <w:sz w:val="20"/>
        </w:rPr>
      </w:pPr>
      <w:bookmarkStart w:name="_bookmark769" w:id="771"/>
      <w:bookmarkEnd w:id="771"/>
      <w:r>
        <w:rPr/>
      </w:r>
      <w:hyperlink w:history="true" w:anchor="_bookmark575">
        <w:r>
          <w:rPr>
            <w:color w:val="005DA1"/>
            <w:spacing w:val="-4"/>
            <w:position w:val="5"/>
            <w:sz w:val="14"/>
            <w:u w:val="single" w:color="005DA1"/>
          </w:rPr>
          <w:t>318</w:t>
        </w:r>
      </w:hyperlink>
      <w:r>
        <w:rPr>
          <w:spacing w:val="-4"/>
          <w:position w:val="5"/>
          <w:sz w:val="14"/>
        </w:rPr>
        <w:t>.</w:t>
      </w:r>
      <w:r>
        <w:rPr>
          <w:position w:val="5"/>
          <w:sz w:val="14"/>
        </w:rPr>
        <w:tab/>
      </w:r>
      <w:r>
        <w:rPr>
          <w:rFonts w:ascii="Arial"/>
          <w:i/>
          <w:sz w:val="20"/>
        </w:rPr>
        <w:t>[1975] 1 W.L.R. 1468</w:t>
      </w:r>
      <w:r>
        <w:rPr>
          <w:rFonts w:ascii="Arial"/>
          <w:i/>
          <w:spacing w:val="-1"/>
          <w:sz w:val="20"/>
        </w:rPr>
        <w:t> </w:t>
      </w:r>
      <w:r>
        <w:rPr>
          <w:sz w:val="20"/>
        </w:rPr>
        <w:t>at </w:t>
      </w:r>
      <w:r>
        <w:rPr>
          <w:spacing w:val="-2"/>
          <w:sz w:val="20"/>
        </w:rPr>
        <w:t>1472.</w:t>
      </w:r>
    </w:p>
    <w:p>
      <w:pPr>
        <w:pStyle w:val="BodyText"/>
        <w:spacing w:before="5"/>
      </w:pPr>
    </w:p>
    <w:p>
      <w:pPr>
        <w:tabs>
          <w:tab w:pos="705" w:val="left" w:leader="none"/>
        </w:tabs>
        <w:spacing w:before="0"/>
        <w:ind w:left="165" w:right="0" w:firstLine="0"/>
        <w:jc w:val="left"/>
        <w:rPr>
          <w:sz w:val="20"/>
        </w:rPr>
      </w:pPr>
      <w:bookmarkStart w:name="_bookmark770" w:id="772"/>
      <w:bookmarkEnd w:id="772"/>
      <w:r>
        <w:rPr/>
      </w:r>
      <w:hyperlink w:history="true" w:anchor="_bookmark576">
        <w:r>
          <w:rPr>
            <w:color w:val="005DA1"/>
            <w:spacing w:val="-4"/>
            <w:position w:val="5"/>
            <w:sz w:val="14"/>
            <w:u w:val="single" w:color="005DA1"/>
          </w:rPr>
          <w:t>319</w:t>
        </w:r>
      </w:hyperlink>
      <w:r>
        <w:rPr>
          <w:spacing w:val="-4"/>
          <w:position w:val="5"/>
          <w:sz w:val="14"/>
        </w:rPr>
        <w:t>.</w:t>
      </w:r>
      <w:r>
        <w:rPr>
          <w:position w:val="5"/>
          <w:sz w:val="14"/>
        </w:rPr>
        <w:tab/>
      </w:r>
      <w:r>
        <w:rPr>
          <w:sz w:val="20"/>
        </w:rPr>
        <w:t>ibid., at </w:t>
      </w:r>
      <w:r>
        <w:rPr>
          <w:spacing w:val="-2"/>
          <w:sz w:val="20"/>
        </w:rPr>
        <w:t>1474.</w:t>
      </w:r>
    </w:p>
    <w:p>
      <w:pPr>
        <w:pStyle w:val="BodyText"/>
        <w:spacing w:before="5"/>
      </w:pPr>
    </w:p>
    <w:p>
      <w:pPr>
        <w:tabs>
          <w:tab w:pos="705" w:val="left" w:leader="none"/>
        </w:tabs>
        <w:spacing w:before="0"/>
        <w:ind w:left="165" w:right="0" w:firstLine="0"/>
        <w:jc w:val="left"/>
        <w:rPr>
          <w:sz w:val="20"/>
        </w:rPr>
      </w:pPr>
      <w:bookmarkStart w:name="_bookmark771" w:id="773"/>
      <w:bookmarkEnd w:id="773"/>
      <w:r>
        <w:rPr/>
      </w:r>
      <w:hyperlink w:history="true" w:anchor="_bookmark577">
        <w:r>
          <w:rPr>
            <w:color w:val="005DA1"/>
            <w:spacing w:val="-4"/>
            <w:position w:val="5"/>
            <w:sz w:val="14"/>
            <w:u w:val="single" w:color="005DA1"/>
          </w:rPr>
          <w:t>320</w:t>
        </w:r>
      </w:hyperlink>
      <w:r>
        <w:rPr>
          <w:spacing w:val="-4"/>
          <w:position w:val="5"/>
          <w:sz w:val="14"/>
        </w:rPr>
        <w:t>.</w:t>
      </w:r>
      <w:r>
        <w:rPr>
          <w:position w:val="5"/>
          <w:sz w:val="14"/>
        </w:rPr>
        <w:tab/>
      </w:r>
      <w:r>
        <w:rPr>
          <w:sz w:val="20"/>
        </w:rPr>
        <w:t>ibid.; cf. </w:t>
      </w:r>
      <w:r>
        <w:rPr>
          <w:rFonts w:ascii="Arial"/>
          <w:i/>
          <w:sz w:val="20"/>
        </w:rPr>
        <w:t>McCall v Abelesz [1976] Q.B. 585, </w:t>
      </w:r>
      <w:r>
        <w:rPr>
          <w:rFonts w:ascii="Arial"/>
          <w:i/>
          <w:spacing w:val="-4"/>
          <w:sz w:val="20"/>
        </w:rPr>
        <w:t>594</w:t>
      </w:r>
      <w:r>
        <w:rPr>
          <w:spacing w:val="-4"/>
          <w:sz w:val="20"/>
        </w:rPr>
        <w:t>.</w:t>
      </w:r>
    </w:p>
    <w:p>
      <w:pPr>
        <w:pStyle w:val="BodyText"/>
        <w:spacing w:before="5"/>
      </w:pPr>
    </w:p>
    <w:p>
      <w:pPr>
        <w:spacing w:line="227" w:lineRule="exact" w:before="0"/>
        <w:ind w:left="165" w:right="0" w:firstLine="0"/>
        <w:jc w:val="both"/>
        <w:rPr>
          <w:rFonts w:ascii="Arial" w:hAnsi="Arial"/>
          <w:i/>
          <w:sz w:val="20"/>
        </w:rPr>
      </w:pPr>
      <w:bookmarkStart w:name="_bookmark772" w:id="774"/>
      <w:bookmarkEnd w:id="774"/>
      <w:r>
        <w:rPr/>
      </w:r>
      <w:hyperlink w:history="true" w:anchor="_bookmark578">
        <w:r>
          <w:rPr>
            <w:color w:val="005DA1"/>
            <w:position w:val="5"/>
            <w:sz w:val="14"/>
            <w:u w:val="single" w:color="005DA1"/>
          </w:rPr>
          <w:t>321</w:t>
        </w:r>
      </w:hyperlink>
      <w:r>
        <w:rPr>
          <w:position w:val="5"/>
          <w:sz w:val="14"/>
        </w:rPr>
        <w:t>.</w:t>
      </w:r>
      <w:r>
        <w:rPr>
          <w:spacing w:val="75"/>
          <w:w w:val="150"/>
          <w:position w:val="5"/>
          <w:sz w:val="14"/>
        </w:rPr>
        <w:t>  </w:t>
      </w:r>
      <w:r>
        <w:rPr>
          <w:sz w:val="20"/>
        </w:rPr>
        <w:t>Lord</w:t>
      </w:r>
      <w:r>
        <w:rPr>
          <w:spacing w:val="2"/>
          <w:sz w:val="20"/>
        </w:rPr>
        <w:t> </w:t>
      </w:r>
      <w:r>
        <w:rPr>
          <w:sz w:val="20"/>
        </w:rPr>
        <w:t>Denning</w:t>
      </w:r>
      <w:r>
        <w:rPr>
          <w:spacing w:val="2"/>
          <w:sz w:val="20"/>
        </w:rPr>
        <w:t> </w:t>
      </w:r>
      <w:r>
        <w:rPr>
          <w:sz w:val="20"/>
        </w:rPr>
        <w:t>M.R.</w:t>
      </w:r>
      <w:r>
        <w:rPr>
          <w:spacing w:val="2"/>
          <w:sz w:val="20"/>
        </w:rPr>
        <w:t> </w:t>
      </w:r>
      <w:r>
        <w:rPr>
          <w:sz w:val="20"/>
        </w:rPr>
        <w:t>relied</w:t>
      </w:r>
      <w:r>
        <w:rPr>
          <w:spacing w:val="2"/>
          <w:sz w:val="20"/>
        </w:rPr>
        <w:t> </w:t>
      </w:r>
      <w:r>
        <w:rPr>
          <w:sz w:val="20"/>
        </w:rPr>
        <w:t>on</w:t>
      </w:r>
      <w:r>
        <w:rPr>
          <w:spacing w:val="2"/>
          <w:sz w:val="20"/>
        </w:rPr>
        <w:t> </w:t>
      </w:r>
      <w:r>
        <w:rPr>
          <w:sz w:val="20"/>
        </w:rPr>
        <w:t>a</w:t>
      </w:r>
      <w:r>
        <w:rPr>
          <w:spacing w:val="2"/>
          <w:sz w:val="20"/>
        </w:rPr>
        <w:t> </w:t>
      </w:r>
      <w:r>
        <w:rPr>
          <w:sz w:val="20"/>
        </w:rPr>
        <w:t>dictum</w:t>
      </w:r>
      <w:r>
        <w:rPr>
          <w:spacing w:val="2"/>
          <w:sz w:val="20"/>
        </w:rPr>
        <w:t> </w:t>
      </w:r>
      <w:r>
        <w:rPr>
          <w:sz w:val="20"/>
        </w:rPr>
        <w:t>of</w:t>
      </w:r>
      <w:r>
        <w:rPr>
          <w:spacing w:val="2"/>
          <w:sz w:val="20"/>
        </w:rPr>
        <w:t> </w:t>
      </w:r>
      <w:r>
        <w:rPr>
          <w:sz w:val="20"/>
        </w:rPr>
        <w:t>Lush</w:t>
      </w:r>
      <w:r>
        <w:rPr>
          <w:spacing w:val="2"/>
          <w:sz w:val="20"/>
        </w:rPr>
        <w:t> </w:t>
      </w:r>
      <w:r>
        <w:rPr>
          <w:sz w:val="20"/>
        </w:rPr>
        <w:t>L.J.</w:t>
      </w:r>
      <w:r>
        <w:rPr>
          <w:spacing w:val="2"/>
          <w:sz w:val="20"/>
        </w:rPr>
        <w:t> </w:t>
      </w:r>
      <w:r>
        <w:rPr>
          <w:sz w:val="20"/>
        </w:rPr>
        <w:t>in</w:t>
      </w:r>
      <w:r>
        <w:rPr>
          <w:spacing w:val="1"/>
          <w:sz w:val="20"/>
        </w:rPr>
        <w:t> </w:t>
      </w:r>
      <w:r>
        <w:rPr>
          <w:rFonts w:ascii="Arial" w:hAnsi="Arial"/>
          <w:i/>
          <w:sz w:val="20"/>
        </w:rPr>
        <w:t>Lloyd’s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Harper</w:t>
      </w:r>
      <w:r>
        <w:rPr>
          <w:rFonts w:ascii="Arial" w:hAnsi="Arial"/>
          <w:i/>
          <w:spacing w:val="2"/>
          <w:sz w:val="20"/>
        </w:rPr>
        <w:t> </w:t>
      </w:r>
      <w:r>
        <w:rPr>
          <w:rFonts w:ascii="Arial" w:hAnsi="Arial"/>
          <w:i/>
          <w:sz w:val="20"/>
        </w:rPr>
        <w:t>(1880)</w:t>
      </w:r>
      <w:r>
        <w:rPr>
          <w:rFonts w:ascii="Arial" w:hAnsi="Arial"/>
          <w:i/>
          <w:spacing w:val="2"/>
          <w:sz w:val="20"/>
        </w:rPr>
        <w:t> </w:t>
      </w:r>
      <w:r>
        <w:rPr>
          <w:rFonts w:ascii="Arial" w:hAnsi="Arial"/>
          <w:i/>
          <w:sz w:val="20"/>
        </w:rPr>
        <w:t>16</w:t>
      </w:r>
      <w:r>
        <w:rPr>
          <w:rFonts w:ascii="Arial" w:hAnsi="Arial"/>
          <w:i/>
          <w:spacing w:val="2"/>
          <w:sz w:val="20"/>
        </w:rPr>
        <w:t> </w:t>
      </w:r>
      <w:r>
        <w:rPr>
          <w:rFonts w:ascii="Arial" w:hAnsi="Arial"/>
          <w:i/>
          <w:sz w:val="20"/>
        </w:rPr>
        <w:t>Ch.D.</w:t>
      </w:r>
      <w:r>
        <w:rPr>
          <w:rFonts w:ascii="Arial" w:hAnsi="Arial"/>
          <w:i/>
          <w:spacing w:val="2"/>
          <w:sz w:val="20"/>
        </w:rPr>
        <w:t> </w:t>
      </w:r>
      <w:r>
        <w:rPr>
          <w:rFonts w:ascii="Arial" w:hAnsi="Arial"/>
          <w:i/>
          <w:sz w:val="20"/>
        </w:rPr>
        <w:t>290,</w:t>
      </w:r>
      <w:r>
        <w:rPr>
          <w:rFonts w:ascii="Arial" w:hAnsi="Arial"/>
          <w:i/>
          <w:spacing w:val="2"/>
          <w:sz w:val="20"/>
        </w:rPr>
        <w:t> </w:t>
      </w:r>
      <w:r>
        <w:rPr>
          <w:rFonts w:ascii="Arial" w:hAnsi="Arial"/>
          <w:i/>
          <w:spacing w:val="-5"/>
          <w:sz w:val="20"/>
        </w:rPr>
        <w:t>331</w:t>
      </w:r>
    </w:p>
    <w:p>
      <w:pPr>
        <w:pStyle w:val="BodyText"/>
        <w:spacing w:line="235" w:lineRule="auto" w:before="1"/>
        <w:ind w:left="705" w:right="167"/>
        <w:jc w:val="both"/>
      </w:pPr>
      <w:r>
        <w:rPr/>
        <w:t>, said to have been quoted by Lord Pearce in </w:t>
      </w:r>
      <w:r>
        <w:rPr>
          <w:rFonts w:ascii="Arial" w:hAnsi="Arial"/>
          <w:i/>
        </w:rPr>
        <w:t>Beswick v Beswick </w:t>
      </w:r>
      <w:r>
        <w:rPr/>
        <w:t>“with considerable approval”: </w:t>
      </w:r>
      <w:r>
        <w:rPr>
          <w:rFonts w:ascii="Arial" w:hAnsi="Arial"/>
          <w:i/>
        </w:rPr>
        <w:t>[1975] 1 W.L.R. 1468 </w:t>
      </w:r>
      <w:r>
        <w:rPr/>
        <w:t>at 1473. In fact, Lord Pearce said that the dictum “cannot be accepted without qualification and regardless of the context”: </w:t>
      </w:r>
      <w:r>
        <w:rPr>
          <w:rFonts w:ascii="Arial" w:hAnsi="Arial"/>
          <w:i/>
        </w:rPr>
        <w:t>[1968] A.C. 58, 88</w:t>
      </w:r>
      <w:r>
        <w:rPr/>
        <w:t>; cf. ibid. at 101; he agreed with the view expressed in </w:t>
      </w:r>
      <w:r>
        <w:rPr>
          <w:rFonts w:ascii="Arial" w:hAnsi="Arial"/>
          <w:i/>
        </w:rPr>
        <w:t>Coulls v Bagot’s Executor &amp; Trustee Co Ltd [1967] A.L.R. 385,</w:t>
      </w:r>
      <w:r>
        <w:rPr>
          <w:rFonts w:ascii="Arial" w:hAnsi="Arial"/>
          <w:i/>
          <w:spacing w:val="-2"/>
        </w:rPr>
        <w:t> </w:t>
      </w:r>
      <w:r>
        <w:rPr>
          <w:rFonts w:ascii="Arial" w:hAnsi="Arial"/>
          <w:i/>
        </w:rPr>
        <w:t>411</w:t>
      </w:r>
      <w:r>
        <w:rPr/>
        <w:t>,</w:t>
      </w:r>
      <w:r>
        <w:rPr>
          <w:spacing w:val="-2"/>
        </w:rPr>
        <w:t> </w:t>
      </w:r>
      <w:r>
        <w:rPr/>
        <w:t>that</w:t>
      </w:r>
      <w:r>
        <w:rPr>
          <w:spacing w:val="-2"/>
        </w:rPr>
        <w:t> </w:t>
      </w:r>
      <w:r>
        <w:rPr/>
        <w:t>Lush</w:t>
      </w:r>
      <w:r>
        <w:rPr>
          <w:spacing w:val="-2"/>
        </w:rPr>
        <w:t> </w:t>
      </w:r>
      <w:r>
        <w:rPr/>
        <w:t>L.J.’s</w:t>
      </w:r>
      <w:r>
        <w:rPr>
          <w:spacing w:val="-2"/>
        </w:rPr>
        <w:t> </w:t>
      </w:r>
      <w:r>
        <w:rPr/>
        <w:t>dictum</w:t>
      </w:r>
      <w:r>
        <w:rPr>
          <w:spacing w:val="-2"/>
        </w:rPr>
        <w:t> </w:t>
      </w:r>
      <w:r>
        <w:rPr/>
        <w:t>must</w:t>
      </w:r>
      <w:r>
        <w:rPr>
          <w:spacing w:val="-2"/>
        </w:rPr>
        <w:t> </w:t>
      </w:r>
      <w:r>
        <w:rPr/>
        <w:t>be</w:t>
      </w:r>
      <w:r>
        <w:rPr>
          <w:spacing w:val="-2"/>
        </w:rPr>
        <w:t> </w:t>
      </w:r>
      <w:r>
        <w:rPr/>
        <w:t>confined</w:t>
      </w:r>
      <w:r>
        <w:rPr>
          <w:spacing w:val="-2"/>
        </w:rPr>
        <w:t> </w:t>
      </w:r>
      <w:r>
        <w:rPr/>
        <w:t>to</w:t>
      </w:r>
      <w:r>
        <w:rPr>
          <w:spacing w:val="-2"/>
        </w:rPr>
        <w:t> </w:t>
      </w:r>
      <w:r>
        <w:rPr/>
        <w:t>cases</w:t>
      </w:r>
      <w:r>
        <w:rPr>
          <w:spacing w:val="-2"/>
        </w:rPr>
        <w:t> </w:t>
      </w:r>
      <w:r>
        <w:rPr/>
        <w:t>in</w:t>
      </w:r>
      <w:r>
        <w:rPr>
          <w:spacing w:val="-2"/>
        </w:rPr>
        <w:t> </w:t>
      </w:r>
      <w:r>
        <w:rPr/>
        <w:t>which</w:t>
      </w:r>
      <w:r>
        <w:rPr>
          <w:spacing w:val="-2"/>
        </w:rPr>
        <w:t> </w:t>
      </w:r>
      <w:r>
        <w:rPr/>
        <w:t>the</w:t>
      </w:r>
      <w:r>
        <w:rPr>
          <w:spacing w:val="-2"/>
        </w:rPr>
        <w:t> </w:t>
      </w:r>
      <w:r>
        <w:rPr/>
        <w:t>contract</w:t>
      </w:r>
      <w:r>
        <w:rPr>
          <w:spacing w:val="-2"/>
        </w:rPr>
        <w:t> </w:t>
      </w:r>
      <w:r>
        <w:rPr/>
        <w:t>creates</w:t>
      </w:r>
      <w:r>
        <w:rPr>
          <w:spacing w:val="-2"/>
        </w:rPr>
        <w:t> </w:t>
      </w:r>
      <w:r>
        <w:rPr/>
        <w:t>a</w:t>
      </w:r>
      <w:r>
        <w:rPr>
          <w:spacing w:val="-2"/>
        </w:rPr>
        <w:t> </w:t>
      </w:r>
      <w:r>
        <w:rPr/>
        <w:t>trust in favour of the third party: below, paras 18-080-18-088. </w:t>
      </w:r>
      <w:r>
        <w:rPr>
          <w:rFonts w:ascii="Arial" w:hAnsi="Arial"/>
          <w:i/>
        </w:rPr>
        <w:t>Lloyd’s v Harper</w:t>
      </w:r>
      <w:r>
        <w:rPr/>
        <w:t>, above, was treated</w:t>
      </w:r>
      <w:r>
        <w:rPr>
          <w:spacing w:val="40"/>
        </w:rPr>
        <w:t> </w:t>
      </w:r>
      <w:r>
        <w:rPr/>
        <w:t>as a case of trust by Fry J. at first instance, and by James and Cotton L.JJ in the Court of Appeal.</w:t>
      </w:r>
      <w:r>
        <w:rPr>
          <w:spacing w:val="-1"/>
        </w:rPr>
        <w:t> </w:t>
      </w:r>
      <w:r>
        <w:rPr/>
        <w:t>Cases</w:t>
      </w:r>
      <w:r>
        <w:rPr>
          <w:spacing w:val="-1"/>
        </w:rPr>
        <w:t> </w:t>
      </w:r>
      <w:r>
        <w:rPr/>
        <w:t>of</w:t>
      </w:r>
      <w:r>
        <w:rPr>
          <w:spacing w:val="-1"/>
        </w:rPr>
        <w:t> </w:t>
      </w:r>
      <w:r>
        <w:rPr/>
        <w:t>trust</w:t>
      </w:r>
      <w:r>
        <w:rPr>
          <w:spacing w:val="-1"/>
        </w:rPr>
        <w:t> </w:t>
      </w:r>
      <w:r>
        <w:rPr/>
        <w:t>fall</w:t>
      </w:r>
      <w:r>
        <w:rPr>
          <w:spacing w:val="-1"/>
        </w:rPr>
        <w:t> </w:t>
      </w:r>
      <w:r>
        <w:rPr/>
        <w:t>within</w:t>
      </w:r>
      <w:r>
        <w:rPr>
          <w:spacing w:val="-1"/>
        </w:rPr>
        <w:t> </w:t>
      </w:r>
      <w:r>
        <w:rPr/>
        <w:t>the</w:t>
      </w:r>
      <w:r>
        <w:rPr>
          <w:spacing w:val="-1"/>
        </w:rPr>
        <w:t> </w:t>
      </w:r>
      <w:r>
        <w:rPr/>
        <w:t>exceptions</w:t>
      </w:r>
      <w:r>
        <w:rPr>
          <w:spacing w:val="-1"/>
        </w:rPr>
        <w:t> </w:t>
      </w:r>
      <w:r>
        <w:rPr/>
        <w:t>stated</w:t>
      </w:r>
      <w:r>
        <w:rPr>
          <w:spacing w:val="-1"/>
        </w:rPr>
        <w:t> </w:t>
      </w:r>
      <w:r>
        <w:rPr/>
        <w:t>in</w:t>
      </w:r>
      <w:r>
        <w:rPr>
          <w:spacing w:val="-1"/>
        </w:rPr>
        <w:t> </w:t>
      </w:r>
      <w:r>
        <w:rPr/>
        <w:t>para.18-054,</w:t>
      </w:r>
      <w:r>
        <w:rPr>
          <w:spacing w:val="-1"/>
        </w:rPr>
        <w:t> </w:t>
      </w:r>
      <w:r>
        <w:rPr/>
        <w:t>below</w:t>
      </w:r>
      <w:r>
        <w:rPr>
          <w:spacing w:val="-1"/>
        </w:rPr>
        <w:t> </w:t>
      </w:r>
      <w:r>
        <w:rPr/>
        <w:t>to</w:t>
      </w:r>
      <w:r>
        <w:rPr>
          <w:spacing w:val="-1"/>
        </w:rPr>
        <w:t> </w:t>
      </w:r>
      <w:r>
        <w:rPr/>
        <w:t>the</w:t>
      </w:r>
      <w:r>
        <w:rPr>
          <w:spacing w:val="-1"/>
        </w:rPr>
        <w:t> </w:t>
      </w:r>
      <w:r>
        <w:rPr/>
        <w:t>general</w:t>
      </w:r>
      <w:r>
        <w:rPr>
          <w:spacing w:val="-1"/>
        </w:rPr>
        <w:t> </w:t>
      </w:r>
      <w:r>
        <w:rPr/>
        <w:t>rule that in an action for damages the claimant can recover damages only in respect of his</w:t>
      </w:r>
      <w:r>
        <w:rPr>
          <w:spacing w:val="-2"/>
        </w:rPr>
        <w:t> </w:t>
      </w:r>
      <w:r>
        <w:rPr>
          <w:rFonts w:ascii="Arial" w:hAnsi="Arial"/>
          <w:i/>
        </w:rPr>
        <w:t>own</w:t>
      </w:r>
      <w:r>
        <w:rPr>
          <w:rFonts w:ascii="Arial" w:hAnsi="Arial"/>
          <w:i/>
          <w:spacing w:val="-1"/>
        </w:rPr>
        <w:t> </w:t>
      </w:r>
      <w:r>
        <w:rPr>
          <w:spacing w:val="-2"/>
        </w:rPr>
        <w:t>loss.</w:t>
      </w:r>
    </w:p>
    <w:p>
      <w:pPr>
        <w:pStyle w:val="BodyText"/>
        <w:spacing w:before="3"/>
      </w:pPr>
    </w:p>
    <w:p>
      <w:pPr>
        <w:tabs>
          <w:tab w:pos="705" w:val="left" w:leader="none"/>
        </w:tabs>
        <w:spacing w:before="0"/>
        <w:ind w:left="165" w:right="0" w:firstLine="0"/>
        <w:jc w:val="left"/>
        <w:rPr>
          <w:sz w:val="20"/>
        </w:rPr>
      </w:pPr>
      <w:bookmarkStart w:name="_bookmark773" w:id="775"/>
      <w:bookmarkEnd w:id="775"/>
      <w:r>
        <w:rPr/>
      </w:r>
      <w:hyperlink w:history="true" w:anchor="_bookmark579">
        <w:r>
          <w:rPr>
            <w:color w:val="005DA1"/>
            <w:spacing w:val="-4"/>
            <w:position w:val="5"/>
            <w:sz w:val="14"/>
            <w:u w:val="single" w:color="005DA1"/>
          </w:rPr>
          <w:t>322</w:t>
        </w:r>
      </w:hyperlink>
      <w:r>
        <w:rPr>
          <w:spacing w:val="-4"/>
          <w:position w:val="5"/>
          <w:sz w:val="14"/>
        </w:rPr>
        <w:t>.</w:t>
      </w:r>
      <w:r>
        <w:rPr>
          <w:position w:val="5"/>
          <w:sz w:val="14"/>
        </w:rPr>
        <w:tab/>
      </w:r>
      <w:r>
        <w:rPr>
          <w:rFonts w:ascii="Arial"/>
          <w:i/>
          <w:sz w:val="20"/>
        </w:rPr>
        <w:t>[1968] A.C. </w:t>
      </w:r>
      <w:r>
        <w:rPr>
          <w:rFonts w:ascii="Arial"/>
          <w:i/>
          <w:spacing w:val="-5"/>
          <w:sz w:val="20"/>
        </w:rPr>
        <w:t>58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74" w:id="776"/>
      <w:bookmarkEnd w:id="776"/>
      <w:r>
        <w:rPr/>
      </w:r>
      <w:hyperlink w:history="true" w:anchor="_bookmark580">
        <w:r>
          <w:rPr>
            <w:color w:val="005DA1"/>
            <w:spacing w:val="-4"/>
            <w:position w:val="5"/>
            <w:sz w:val="14"/>
            <w:u w:val="single" w:color="005DA1"/>
          </w:rPr>
          <w:t>323</w:t>
        </w:r>
      </w:hyperlink>
      <w:r>
        <w:rPr>
          <w:spacing w:val="-4"/>
          <w:position w:val="5"/>
          <w:sz w:val="14"/>
        </w:rPr>
        <w:t>.</w:t>
      </w:r>
      <w:r>
        <w:rPr>
          <w:position w:val="5"/>
          <w:sz w:val="14"/>
        </w:rPr>
        <w:tab/>
      </w:r>
      <w:r>
        <w:rPr>
          <w:sz w:val="20"/>
        </w:rPr>
        <w:t>Above, para.18-</w:t>
      </w:r>
      <w:r>
        <w:rPr>
          <w:spacing w:val="-4"/>
          <w:sz w:val="20"/>
        </w:rPr>
        <w:t>049.</w:t>
      </w:r>
    </w:p>
    <w:p>
      <w:pPr>
        <w:pStyle w:val="BodyText"/>
        <w:spacing w:before="5"/>
      </w:pPr>
    </w:p>
    <w:p>
      <w:pPr>
        <w:tabs>
          <w:tab w:pos="705" w:val="left" w:leader="none"/>
        </w:tabs>
        <w:spacing w:before="0"/>
        <w:ind w:left="165" w:right="0" w:firstLine="0"/>
        <w:jc w:val="left"/>
        <w:rPr>
          <w:sz w:val="20"/>
        </w:rPr>
      </w:pPr>
      <w:bookmarkStart w:name="_bookmark775" w:id="777"/>
      <w:bookmarkEnd w:id="777"/>
      <w:r>
        <w:rPr/>
      </w:r>
      <w:hyperlink w:history="true" w:anchor="_bookmark581">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[1975] 1 W.L.R. 1468</w:t>
      </w:r>
      <w:r>
        <w:rPr>
          <w:rFonts w:ascii="Arial"/>
          <w:i/>
          <w:spacing w:val="-1"/>
          <w:sz w:val="20"/>
        </w:rPr>
        <w:t> </w:t>
      </w:r>
      <w:r>
        <w:rPr>
          <w:sz w:val="20"/>
        </w:rPr>
        <w:t>at </w:t>
      </w:r>
      <w:r>
        <w:rPr>
          <w:spacing w:val="-2"/>
          <w:sz w:val="20"/>
        </w:rPr>
        <w:t>1474.</w:t>
      </w:r>
    </w:p>
    <w:p>
      <w:pPr>
        <w:pStyle w:val="BodyText"/>
        <w:spacing w:before="9"/>
      </w:pPr>
    </w:p>
    <w:p>
      <w:pPr>
        <w:spacing w:line="235" w:lineRule="auto" w:before="0"/>
        <w:ind w:left="705" w:right="167" w:hanging="541"/>
        <w:jc w:val="both"/>
        <w:rPr>
          <w:sz w:val="20"/>
        </w:rPr>
      </w:pPr>
      <w:bookmarkStart w:name="_bookmark776" w:id="778"/>
      <w:bookmarkEnd w:id="778"/>
      <w:r>
        <w:rPr/>
      </w:r>
      <w:hyperlink w:history="true" w:anchor="_bookmark582">
        <w:r>
          <w:rPr>
            <w:color w:val="005DA1"/>
            <w:position w:val="5"/>
            <w:sz w:val="14"/>
            <w:u w:val="single" w:color="005DA1"/>
          </w:rPr>
          <w:t>325</w:t>
        </w:r>
      </w:hyperlink>
      <w:r>
        <w:rPr>
          <w:position w:val="5"/>
          <w:sz w:val="14"/>
        </w:rPr>
        <w:t>.</w:t>
      </w:r>
      <w:r>
        <w:rPr>
          <w:spacing w:val="80"/>
          <w:position w:val="5"/>
          <w:sz w:val="14"/>
        </w:rPr>
        <w:t>  </w:t>
      </w:r>
      <w:r>
        <w:rPr>
          <w:sz w:val="20"/>
        </w:rPr>
        <w:t>cf. </w:t>
      </w:r>
      <w:r>
        <w:rPr>
          <w:rFonts w:ascii="Arial"/>
          <w:i/>
          <w:sz w:val="20"/>
        </w:rPr>
        <w:t>Radford v de Froberville [1977] 1 W.L.R. 1262 </w:t>
      </w:r>
      <w:r>
        <w:rPr>
          <w:sz w:val="20"/>
        </w:rPr>
        <w:t>(damages for failure to perform a contract to build a wall not reduced merely because the promisee had entered into the contract not only for his own benefit, but also for that of his tenants).</w:t>
      </w:r>
    </w:p>
    <w:p>
      <w:pPr>
        <w:pStyle w:val="BodyText"/>
        <w:spacing w:before="5"/>
      </w:pPr>
    </w:p>
    <w:p>
      <w:pPr>
        <w:tabs>
          <w:tab w:pos="705" w:val="left" w:leader="none"/>
        </w:tabs>
        <w:spacing w:before="0"/>
        <w:ind w:left="165" w:right="0" w:firstLine="0"/>
        <w:jc w:val="left"/>
        <w:rPr>
          <w:sz w:val="20"/>
        </w:rPr>
      </w:pPr>
      <w:bookmarkStart w:name="_bookmark777" w:id="779"/>
      <w:bookmarkEnd w:id="779"/>
      <w:r>
        <w:rPr/>
      </w:r>
      <w:hyperlink w:history="true" w:anchor="_bookmark583">
        <w:r>
          <w:rPr>
            <w:color w:val="005DA1"/>
            <w:spacing w:val="-4"/>
            <w:position w:val="5"/>
            <w:sz w:val="14"/>
            <w:u w:val="single" w:color="005DA1"/>
          </w:rPr>
          <w:t>326</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1 W.L.R. </w:t>
      </w:r>
      <w:r>
        <w:rPr>
          <w:rFonts w:ascii="Arial"/>
          <w:i/>
          <w:spacing w:val="-4"/>
          <w:sz w:val="20"/>
        </w:rPr>
        <w:t>277</w:t>
      </w:r>
      <w:r>
        <w:rPr>
          <w:spacing w:val="-4"/>
          <w:sz w:val="20"/>
        </w:rPr>
        <w:t>.</w:t>
      </w:r>
    </w:p>
    <w:p>
      <w:pPr>
        <w:pStyle w:val="BodyText"/>
        <w:spacing w:before="9"/>
      </w:pPr>
    </w:p>
    <w:p>
      <w:pPr>
        <w:spacing w:line="235" w:lineRule="auto" w:before="0"/>
        <w:ind w:left="705" w:right="167" w:hanging="541"/>
        <w:jc w:val="both"/>
        <w:rPr>
          <w:sz w:val="20"/>
        </w:rPr>
      </w:pPr>
      <w:bookmarkStart w:name="_bookmark778" w:id="780"/>
      <w:bookmarkEnd w:id="780"/>
      <w:r>
        <w:rPr/>
      </w:r>
      <w:hyperlink w:history="true" w:anchor="_bookmark584">
        <w:r>
          <w:rPr>
            <w:color w:val="005DA1"/>
            <w:position w:val="5"/>
            <w:sz w:val="14"/>
            <w:u w:val="single" w:color="005DA1"/>
          </w:rPr>
          <w:t>327</w:t>
        </w:r>
      </w:hyperlink>
      <w:r>
        <w:rPr>
          <w:position w:val="5"/>
          <w:sz w:val="14"/>
        </w:rPr>
        <w:t>.</w:t>
      </w:r>
      <w:r>
        <w:rPr>
          <w:spacing w:val="80"/>
          <w:position w:val="5"/>
          <w:sz w:val="14"/>
        </w:rPr>
        <w:t>  </w:t>
      </w:r>
      <w:r>
        <w:rPr>
          <w:sz w:val="20"/>
        </w:rPr>
        <w:t>ibid.,</w:t>
      </w:r>
      <w:r>
        <w:rPr>
          <w:spacing w:val="-2"/>
          <w:sz w:val="20"/>
        </w:rPr>
        <w:t> </w:t>
      </w:r>
      <w:r>
        <w:rPr>
          <w:sz w:val="20"/>
        </w:rPr>
        <w:t>at</w:t>
      </w:r>
      <w:r>
        <w:rPr>
          <w:spacing w:val="-2"/>
          <w:sz w:val="20"/>
        </w:rPr>
        <w:t> </w:t>
      </w:r>
      <w:r>
        <w:rPr>
          <w:sz w:val="20"/>
        </w:rPr>
        <w:t>283,</w:t>
      </w:r>
      <w:r>
        <w:rPr>
          <w:spacing w:val="-2"/>
          <w:sz w:val="20"/>
        </w:rPr>
        <w:t> </w:t>
      </w:r>
      <w:r>
        <w:rPr>
          <w:sz w:val="20"/>
        </w:rPr>
        <w:t>293,</w:t>
      </w:r>
      <w:r>
        <w:rPr>
          <w:spacing w:val="-2"/>
          <w:sz w:val="20"/>
        </w:rPr>
        <w:t> </w:t>
      </w:r>
      <w:r>
        <w:rPr>
          <w:sz w:val="20"/>
        </w:rPr>
        <w:t>297.</w:t>
      </w:r>
      <w:r>
        <w:rPr>
          <w:spacing w:val="-2"/>
          <w:sz w:val="20"/>
        </w:rPr>
        <w:t> </w:t>
      </w:r>
      <w:r>
        <w:rPr>
          <w:sz w:val="20"/>
        </w:rPr>
        <w:t>Where</w:t>
      </w:r>
      <w:r>
        <w:rPr>
          <w:spacing w:val="-2"/>
          <w:sz w:val="20"/>
        </w:rPr>
        <w:t> </w:t>
      </w:r>
      <w:r>
        <w:rPr>
          <w:sz w:val="20"/>
        </w:rPr>
        <w:t>a</w:t>
      </w:r>
      <w:r>
        <w:rPr>
          <w:spacing w:val="-2"/>
          <w:sz w:val="20"/>
        </w:rPr>
        <w:t> </w:t>
      </w:r>
      <w:r>
        <w:rPr>
          <w:sz w:val="20"/>
        </w:rPr>
        <w:t>contract</w:t>
      </w:r>
      <w:r>
        <w:rPr>
          <w:spacing w:val="-2"/>
          <w:sz w:val="20"/>
        </w:rPr>
        <w:t> </w:t>
      </w:r>
      <w:r>
        <w:rPr>
          <w:sz w:val="20"/>
        </w:rPr>
        <w:t>is</w:t>
      </w:r>
      <w:r>
        <w:rPr>
          <w:spacing w:val="-2"/>
          <w:sz w:val="20"/>
        </w:rPr>
        <w:t> </w:t>
      </w:r>
      <w:r>
        <w:rPr>
          <w:sz w:val="20"/>
        </w:rPr>
        <w:t>made</w:t>
      </w:r>
      <w:r>
        <w:rPr>
          <w:spacing w:val="-2"/>
          <w:sz w:val="20"/>
        </w:rPr>
        <w:t> </w:t>
      </w:r>
      <w:r>
        <w:rPr>
          <w:sz w:val="20"/>
        </w:rPr>
        <w:t>with</w:t>
      </w:r>
      <w:r>
        <w:rPr>
          <w:spacing w:val="-2"/>
          <w:sz w:val="20"/>
        </w:rPr>
        <w:t> </w:t>
      </w:r>
      <w:r>
        <w:rPr>
          <w:sz w:val="20"/>
        </w:rPr>
        <w:t>a</w:t>
      </w:r>
      <w:r>
        <w:rPr>
          <w:spacing w:val="-2"/>
          <w:sz w:val="20"/>
        </w:rPr>
        <w:t> </w:t>
      </w:r>
      <w:r>
        <w:rPr>
          <w:sz w:val="20"/>
        </w:rPr>
        <w:t>company</w:t>
      </w:r>
      <w:r>
        <w:rPr>
          <w:spacing w:val="-2"/>
          <w:sz w:val="20"/>
        </w:rPr>
        <w:t> </w:t>
      </w:r>
      <w:r>
        <w:rPr>
          <w:sz w:val="20"/>
        </w:rPr>
        <w:t>and</w:t>
      </w:r>
      <w:r>
        <w:rPr>
          <w:spacing w:val="-2"/>
          <w:sz w:val="20"/>
        </w:rPr>
        <w:t> </w:t>
      </w:r>
      <w:r>
        <w:rPr>
          <w:sz w:val="20"/>
        </w:rPr>
        <w:t>the</w:t>
      </w:r>
      <w:r>
        <w:rPr>
          <w:spacing w:val="-2"/>
          <w:sz w:val="20"/>
        </w:rPr>
        <w:t> </w:t>
      </w:r>
      <w:r>
        <w:rPr>
          <w:sz w:val="20"/>
        </w:rPr>
        <w:t>breach</w:t>
      </w:r>
      <w:r>
        <w:rPr>
          <w:spacing w:val="-2"/>
          <w:sz w:val="20"/>
        </w:rPr>
        <w:t> </w:t>
      </w:r>
      <w:r>
        <w:rPr>
          <w:sz w:val="20"/>
        </w:rPr>
        <w:t>causes</w:t>
      </w:r>
      <w:r>
        <w:rPr>
          <w:spacing w:val="-2"/>
          <w:sz w:val="20"/>
        </w:rPr>
        <w:t> </w:t>
      </w:r>
      <w:r>
        <w:rPr>
          <w:sz w:val="20"/>
        </w:rPr>
        <w:t>loss</w:t>
      </w:r>
      <w:r>
        <w:rPr>
          <w:spacing w:val="-2"/>
          <w:sz w:val="20"/>
        </w:rPr>
        <w:t> </w:t>
      </w:r>
      <w:r>
        <w:rPr>
          <w:sz w:val="20"/>
        </w:rPr>
        <w:t>to its subsidiary, damages can be recovered by the company since the value of its holding in the subsidiary will be reduced in consequence of the loss: </w:t>
      </w:r>
      <w:r>
        <w:rPr>
          <w:rFonts w:ascii="Arial"/>
          <w:i/>
          <w:sz w:val="20"/>
        </w:rPr>
        <w:t>George Fischer (Great Britain) Ltd v</w:t>
      </w:r>
      <w:r>
        <w:rPr>
          <w:rFonts w:ascii="Arial"/>
          <w:i/>
          <w:spacing w:val="40"/>
          <w:sz w:val="20"/>
        </w:rPr>
        <w:t> </w:t>
      </w:r>
      <w:r>
        <w:rPr>
          <w:rFonts w:ascii="Arial"/>
          <w:i/>
          <w:sz w:val="20"/>
        </w:rPr>
        <w:t>Multi Construction Ltd [1995] 1 B.C.L.C. 260</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779" w:id="781"/>
      <w:bookmarkEnd w:id="781"/>
      <w:r>
        <w:rPr/>
      </w:r>
      <w:hyperlink w:history="true" w:anchor="_bookmark585">
        <w:r>
          <w:rPr>
            <w:color w:val="005DA1"/>
            <w:spacing w:val="-4"/>
            <w:position w:val="5"/>
            <w:sz w:val="14"/>
            <w:u w:val="single" w:color="005DA1"/>
          </w:rPr>
          <w:t>328</w:t>
        </w:r>
      </w:hyperlink>
      <w:r>
        <w:rPr>
          <w:spacing w:val="-4"/>
          <w:position w:val="5"/>
          <w:sz w:val="14"/>
        </w:rPr>
        <w:t>.</w:t>
      </w:r>
      <w:r>
        <w:rPr>
          <w:position w:val="5"/>
          <w:sz w:val="14"/>
        </w:rPr>
        <w:tab/>
      </w:r>
      <w:r>
        <w:rPr>
          <w:sz w:val="20"/>
        </w:rPr>
        <w:t>cf. </w:t>
      </w:r>
      <w:r>
        <w:rPr>
          <w:rFonts w:ascii="Arial"/>
          <w:i/>
          <w:sz w:val="20"/>
        </w:rPr>
        <w:t>Lockett v A.M. Charles Ltd [1938] 4 All E.R. 170</w:t>
      </w:r>
      <w:r>
        <w:rPr>
          <w:sz w:val="20"/>
        </w:rPr>
        <w:t>, where agency reasoning was used in such a situation.</w:t>
      </w:r>
    </w:p>
    <w:p>
      <w:pPr>
        <w:pStyle w:val="BodyText"/>
        <w:spacing w:before="9"/>
      </w:pPr>
    </w:p>
    <w:p>
      <w:pPr>
        <w:spacing w:line="235" w:lineRule="auto" w:before="1"/>
        <w:ind w:left="705" w:right="167" w:hanging="541"/>
        <w:jc w:val="both"/>
        <w:rPr>
          <w:sz w:val="20"/>
        </w:rPr>
      </w:pPr>
      <w:bookmarkStart w:name="_bookmark780" w:id="782"/>
      <w:bookmarkEnd w:id="782"/>
      <w:r>
        <w:rPr/>
      </w:r>
      <w:hyperlink w:history="true" w:anchor="_bookmark585">
        <w:r>
          <w:rPr>
            <w:color w:val="005DA1"/>
            <w:position w:val="5"/>
            <w:sz w:val="14"/>
            <w:u w:val="single" w:color="005DA1"/>
          </w:rPr>
          <w:t>329</w:t>
        </w:r>
      </w:hyperlink>
      <w:r>
        <w:rPr>
          <w:position w:val="5"/>
          <w:sz w:val="14"/>
        </w:rPr>
        <w:t>.</w:t>
      </w:r>
      <w:r>
        <w:rPr>
          <w:spacing w:val="80"/>
          <w:position w:val="5"/>
          <w:sz w:val="14"/>
        </w:rPr>
        <w:t>  </w:t>
      </w:r>
      <w:r>
        <w:rPr>
          <w:rFonts w:ascii="Arial" w:hAnsi="Arial"/>
          <w:i/>
          <w:sz w:val="20"/>
        </w:rPr>
        <w:t>[1980] 1 W.L.R. 277, 283</w:t>
      </w:r>
      <w:r>
        <w:rPr>
          <w:sz w:val="20"/>
        </w:rPr>
        <w:t>. cf. </w:t>
      </w:r>
      <w:r>
        <w:rPr>
          <w:rFonts w:ascii="Arial" w:hAnsi="Arial"/>
          <w:i/>
          <w:sz w:val="20"/>
        </w:rPr>
        <w:t>Calabar Properties Ltd v Stitcher [1984] 1 W.L.R. 287, 290 </w:t>
      </w:r>
      <w:r>
        <w:rPr>
          <w:sz w:val="20"/>
        </w:rPr>
        <w:t>where</w:t>
      </w:r>
      <w:r>
        <w:rPr>
          <w:spacing w:val="40"/>
          <w:sz w:val="20"/>
        </w:rPr>
        <w:t> </w:t>
      </w:r>
      <w:r>
        <w:rPr>
          <w:sz w:val="20"/>
        </w:rPr>
        <w:t>it was not disputed that a tenant’s damages for her landlord’s breach of his covenant to </w:t>
      </w:r>
      <w:r>
        <w:rPr>
          <w:sz w:val="20"/>
        </w:rPr>
        <w:t>repair should include compensation for ill-health suffered by her husband.</w:t>
      </w:r>
    </w:p>
    <w:p>
      <w:pPr>
        <w:pStyle w:val="BodyText"/>
        <w:spacing w:before="5"/>
      </w:pPr>
    </w:p>
    <w:p>
      <w:pPr>
        <w:tabs>
          <w:tab w:pos="705" w:val="left" w:leader="none"/>
        </w:tabs>
        <w:spacing w:before="0"/>
        <w:ind w:left="165" w:right="0" w:firstLine="0"/>
        <w:jc w:val="left"/>
        <w:rPr>
          <w:sz w:val="20"/>
        </w:rPr>
      </w:pPr>
      <w:bookmarkStart w:name="_bookmark781" w:id="783"/>
      <w:bookmarkEnd w:id="783"/>
      <w:r>
        <w:rPr/>
      </w:r>
      <w:hyperlink w:history="true" w:anchor="_bookmark586">
        <w:r>
          <w:rPr>
            <w:color w:val="005DA1"/>
            <w:spacing w:val="-4"/>
            <w:position w:val="5"/>
            <w:sz w:val="14"/>
            <w:u w:val="single" w:color="005DA1"/>
          </w:rPr>
          <w:t>330</w:t>
        </w:r>
      </w:hyperlink>
      <w:r>
        <w:rPr>
          <w:spacing w:val="-4"/>
          <w:position w:val="5"/>
          <w:sz w:val="14"/>
        </w:rPr>
        <w:t>.</w:t>
      </w:r>
      <w:r>
        <w:rPr>
          <w:position w:val="5"/>
          <w:sz w:val="14"/>
        </w:rPr>
        <w:tab/>
      </w:r>
      <w:r>
        <w:rPr>
          <w:sz w:val="20"/>
        </w:rPr>
        <w:t>Below, para.24-</w:t>
      </w:r>
      <w:r>
        <w:rPr>
          <w:spacing w:val="-4"/>
          <w:sz w:val="20"/>
        </w:rPr>
        <w:t>018.</w:t>
      </w:r>
    </w:p>
    <w:p>
      <w:pPr>
        <w:pStyle w:val="BodyText"/>
        <w:spacing w:before="5"/>
      </w:pPr>
    </w:p>
    <w:p>
      <w:pPr>
        <w:tabs>
          <w:tab w:pos="705" w:val="left" w:leader="none"/>
        </w:tabs>
        <w:spacing w:before="0"/>
        <w:ind w:left="165" w:right="0" w:firstLine="0"/>
        <w:jc w:val="left"/>
        <w:rPr>
          <w:sz w:val="20"/>
        </w:rPr>
      </w:pPr>
      <w:bookmarkStart w:name="_bookmark782" w:id="784"/>
      <w:bookmarkEnd w:id="784"/>
      <w:r>
        <w:rPr/>
      </w:r>
      <w:hyperlink w:history="true" w:anchor="_bookmark587">
        <w:r>
          <w:rPr>
            <w:color w:val="005DA1"/>
            <w:spacing w:val="-4"/>
            <w:position w:val="5"/>
            <w:sz w:val="14"/>
            <w:u w:val="single" w:color="005DA1"/>
          </w:rPr>
          <w:t>331</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1 W.L.R. 277</w:t>
      </w:r>
      <w:r>
        <w:rPr>
          <w:rFonts w:ascii="Arial"/>
          <w:i/>
          <w:spacing w:val="-1"/>
          <w:sz w:val="20"/>
        </w:rPr>
        <w:t> </w:t>
      </w:r>
      <w:r>
        <w:rPr>
          <w:sz w:val="20"/>
        </w:rPr>
        <w:t>at </w:t>
      </w:r>
      <w:r>
        <w:rPr>
          <w:spacing w:val="-4"/>
          <w:sz w:val="20"/>
        </w:rPr>
        <w:t>284.</w:t>
      </w:r>
    </w:p>
    <w:p>
      <w:pPr>
        <w:spacing w:after="0"/>
        <w:jc w:val="left"/>
        <w:rPr>
          <w:sz w:val="20"/>
        </w:rPr>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588">
        <w:r>
          <w:rPr>
            <w:color w:val="005DA1"/>
            <w:spacing w:val="-4"/>
            <w:position w:val="5"/>
            <w:sz w:val="14"/>
            <w:u w:val="single" w:color="005DA1"/>
          </w:rPr>
          <w:t>332</w:t>
        </w:r>
      </w:hyperlink>
      <w:r>
        <w:rPr>
          <w:spacing w:val="-4"/>
          <w:position w:val="5"/>
          <w:sz w:val="14"/>
        </w:rPr>
        <w:t>.</w:t>
      </w:r>
      <w:r>
        <w:rPr>
          <w:position w:val="5"/>
          <w:sz w:val="14"/>
        </w:rPr>
        <w:tab/>
      </w:r>
      <w:r>
        <w:rPr>
          <w:rFonts w:ascii="Arial"/>
          <w:i/>
          <w:sz w:val="20"/>
        </w:rPr>
        <w:t>[1980]</w:t>
      </w:r>
      <w:r>
        <w:rPr>
          <w:rFonts w:ascii="Arial"/>
          <w:i/>
          <w:spacing w:val="-1"/>
          <w:sz w:val="20"/>
        </w:rPr>
        <w:t> </w:t>
      </w:r>
      <w:r>
        <w:rPr>
          <w:rFonts w:ascii="Arial"/>
          <w:i/>
          <w:sz w:val="20"/>
        </w:rPr>
        <w:t>1 W.L.R. 277</w:t>
      </w:r>
      <w:r>
        <w:rPr>
          <w:sz w:val="20"/>
        </w:rPr>
        <w:t>, above, para.18-</w:t>
      </w:r>
      <w:r>
        <w:rPr>
          <w:spacing w:val="-4"/>
          <w:sz w:val="20"/>
        </w:rPr>
        <w:t>052.</w:t>
      </w:r>
    </w:p>
    <w:p>
      <w:pPr>
        <w:pStyle w:val="BodyText"/>
        <w:spacing w:before="5"/>
      </w:pPr>
    </w:p>
    <w:p>
      <w:pPr>
        <w:tabs>
          <w:tab w:pos="705" w:val="left" w:leader="none"/>
        </w:tabs>
        <w:spacing w:before="0"/>
        <w:ind w:left="165" w:right="0" w:firstLine="0"/>
        <w:jc w:val="left"/>
        <w:rPr>
          <w:sz w:val="20"/>
        </w:rPr>
      </w:pPr>
      <w:bookmarkStart w:name="_bookmark783" w:id="785"/>
      <w:bookmarkEnd w:id="785"/>
      <w:r>
        <w:rPr/>
      </w:r>
      <w:hyperlink w:history="true" w:anchor="_bookmark589">
        <w:r>
          <w:rPr>
            <w:color w:val="005DA1"/>
            <w:spacing w:val="-4"/>
            <w:position w:val="5"/>
            <w:sz w:val="14"/>
            <w:u w:val="single" w:color="005DA1"/>
          </w:rPr>
          <w:t>333</w:t>
        </w:r>
      </w:hyperlink>
      <w:r>
        <w:rPr>
          <w:spacing w:val="-4"/>
          <w:position w:val="5"/>
          <w:sz w:val="14"/>
        </w:rPr>
        <w:t>.</w:t>
      </w:r>
      <w:r>
        <w:rPr>
          <w:position w:val="5"/>
          <w:sz w:val="14"/>
        </w:rPr>
        <w:tab/>
      </w:r>
      <w:r>
        <w:rPr>
          <w:rFonts w:ascii="Arial" w:hAnsi="Arial"/>
          <w:i/>
          <w:sz w:val="20"/>
        </w:rPr>
        <w:t>[1980] 1 W.L.R. 277</w:t>
      </w:r>
      <w:r>
        <w:rPr>
          <w:rFonts w:ascii="Arial" w:hAnsi="Arial"/>
          <w:i/>
          <w:spacing w:val="-1"/>
          <w:sz w:val="20"/>
        </w:rPr>
        <w:t> </w:t>
      </w:r>
      <w:r>
        <w:rPr>
          <w:sz w:val="20"/>
        </w:rPr>
        <w:t>at 291; cf. 297-298; </w:t>
      </w:r>
      <w:r>
        <w:rPr>
          <w:spacing w:val="-2"/>
          <w:sz w:val="20"/>
        </w:rPr>
        <w:t>300–301.</w:t>
      </w:r>
    </w:p>
    <w:p>
      <w:pPr>
        <w:pStyle w:val="BodyText"/>
        <w:spacing w:before="5"/>
      </w:pPr>
    </w:p>
    <w:p>
      <w:pPr>
        <w:pStyle w:val="BodyText"/>
        <w:tabs>
          <w:tab w:pos="705" w:val="left" w:leader="none"/>
        </w:tabs>
        <w:ind w:left="165"/>
      </w:pPr>
      <w:bookmarkStart w:name="_bookmark784" w:id="786"/>
      <w:bookmarkEnd w:id="786"/>
      <w:r>
        <w:rPr/>
      </w:r>
      <w:hyperlink w:history="true" w:anchor="_bookmark590">
        <w:r>
          <w:rPr>
            <w:color w:val="005DA1"/>
            <w:spacing w:val="-4"/>
            <w:position w:val="5"/>
            <w:sz w:val="14"/>
            <w:u w:val="single" w:color="005DA1"/>
          </w:rPr>
          <w:t>334</w:t>
        </w:r>
      </w:hyperlink>
      <w:r>
        <w:rPr>
          <w:spacing w:val="-4"/>
          <w:position w:val="5"/>
          <w:sz w:val="14"/>
        </w:rPr>
        <w:t>.</w:t>
      </w:r>
      <w:r>
        <w:rPr>
          <w:position w:val="5"/>
          <w:sz w:val="14"/>
        </w:rPr>
        <w:tab/>
      </w:r>
      <w:r>
        <w:rPr/>
        <w:t>cf. above, para.18-022 at nn.123-</w:t>
      </w:r>
      <w:r>
        <w:rPr>
          <w:spacing w:val="-4"/>
        </w:rPr>
        <w:t>126.</w:t>
      </w:r>
    </w:p>
    <w:p>
      <w:pPr>
        <w:pStyle w:val="BodyText"/>
        <w:spacing w:before="9"/>
      </w:pPr>
    </w:p>
    <w:p>
      <w:pPr>
        <w:tabs>
          <w:tab w:pos="705" w:val="left" w:leader="none"/>
        </w:tabs>
        <w:spacing w:line="235" w:lineRule="auto" w:before="0"/>
        <w:ind w:left="705" w:right="168" w:hanging="541"/>
        <w:jc w:val="left"/>
        <w:rPr>
          <w:sz w:val="20"/>
        </w:rPr>
      </w:pPr>
      <w:bookmarkStart w:name="_bookmark785" w:id="787"/>
      <w:bookmarkEnd w:id="787"/>
      <w:r>
        <w:rPr/>
      </w:r>
      <w:hyperlink w:history="true" w:anchor="_bookmark591">
        <w:r>
          <w:rPr>
            <w:color w:val="005DA1"/>
            <w:spacing w:val="-4"/>
            <w:position w:val="5"/>
            <w:sz w:val="14"/>
            <w:u w:val="single" w:color="005DA1"/>
          </w:rPr>
          <w:t>335</w:t>
        </w:r>
      </w:hyperlink>
      <w:r>
        <w:rPr>
          <w:spacing w:val="-4"/>
          <w:position w:val="5"/>
          <w:sz w:val="14"/>
        </w:rPr>
        <w:t>.</w:t>
      </w:r>
      <w:r>
        <w:rPr>
          <w:position w:val="5"/>
          <w:sz w:val="14"/>
        </w:rPr>
        <w:tab/>
      </w:r>
      <w:r>
        <w:rPr>
          <w:rFonts w:ascii="Arial"/>
          <w:i/>
          <w:sz w:val="20"/>
        </w:rPr>
        <w:t>Darlington</w:t>
      </w:r>
      <w:r>
        <w:rPr>
          <w:rFonts w:ascii="Arial"/>
          <w:i/>
          <w:spacing w:val="40"/>
          <w:sz w:val="20"/>
        </w:rPr>
        <w:t> </w:t>
      </w:r>
      <w:r>
        <w:rPr>
          <w:rFonts w:ascii="Arial"/>
          <w:i/>
          <w:sz w:val="20"/>
        </w:rPr>
        <w:t>B.C.</w:t>
      </w:r>
      <w:r>
        <w:rPr>
          <w:rFonts w:ascii="Arial"/>
          <w:i/>
          <w:spacing w:val="40"/>
          <w:sz w:val="20"/>
        </w:rPr>
        <w:t> </w:t>
      </w:r>
      <w:r>
        <w:rPr>
          <w:rFonts w:ascii="Arial"/>
          <w:i/>
          <w:sz w:val="20"/>
        </w:rPr>
        <w:t>Wiltshier</w:t>
      </w:r>
      <w:r>
        <w:rPr>
          <w:rFonts w:ascii="Arial"/>
          <w:i/>
          <w:spacing w:val="40"/>
          <w:sz w:val="20"/>
        </w:rPr>
        <w:t> </w:t>
      </w:r>
      <w:r>
        <w:rPr>
          <w:rFonts w:ascii="Arial"/>
          <w:i/>
          <w:sz w:val="20"/>
        </w:rPr>
        <w:t>(Northern)</w:t>
      </w:r>
      <w:r>
        <w:rPr>
          <w:rFonts w:ascii="Arial"/>
          <w:i/>
          <w:spacing w:val="40"/>
          <w:sz w:val="20"/>
        </w:rPr>
        <w:t> </w:t>
      </w:r>
      <w:r>
        <w:rPr>
          <w:rFonts w:ascii="Arial"/>
          <w:i/>
          <w:sz w:val="20"/>
        </w:rPr>
        <w:t>Ltd</w:t>
      </w:r>
      <w:r>
        <w:rPr>
          <w:rFonts w:ascii="Arial"/>
          <w:i/>
          <w:spacing w:val="40"/>
          <w:sz w:val="20"/>
        </w:rPr>
        <w:t> </w:t>
      </w:r>
      <w:r>
        <w:rPr>
          <w:rFonts w:ascii="Arial"/>
          <w:i/>
          <w:sz w:val="20"/>
        </w:rPr>
        <w:t>[1995]</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68</w:t>
      </w:r>
      <w:r>
        <w:rPr>
          <w:rFonts w:ascii="Arial"/>
          <w:i/>
          <w:spacing w:val="40"/>
          <w:sz w:val="20"/>
        </w:rPr>
        <w:t> </w:t>
      </w:r>
      <w:r>
        <w:rPr>
          <w:sz w:val="20"/>
        </w:rPr>
        <w:t>at</w:t>
      </w:r>
      <w:r>
        <w:rPr>
          <w:spacing w:val="40"/>
          <w:sz w:val="20"/>
        </w:rPr>
        <w:t> </w:t>
      </w:r>
      <w:r>
        <w:rPr>
          <w:sz w:val="20"/>
        </w:rPr>
        <w:t>79;</w:t>
      </w:r>
      <w:r>
        <w:rPr>
          <w:spacing w:val="40"/>
          <w:sz w:val="20"/>
        </w:rPr>
        <w:t> </w:t>
      </w:r>
      <w:r>
        <w:rPr>
          <w:sz w:val="20"/>
        </w:rPr>
        <w:t>for</w:t>
      </w:r>
      <w:r>
        <w:rPr>
          <w:spacing w:val="40"/>
          <w:sz w:val="20"/>
        </w:rPr>
        <w:t> </w:t>
      </w:r>
      <w:r>
        <w:rPr>
          <w:sz w:val="20"/>
        </w:rPr>
        <w:t>the</w:t>
      </w:r>
      <w:r>
        <w:rPr>
          <w:spacing w:val="40"/>
          <w:sz w:val="20"/>
        </w:rPr>
        <w:t> </w:t>
      </w:r>
      <w:r>
        <w:rPr>
          <w:sz w:val="20"/>
        </w:rPr>
        <w:t>origins</w:t>
      </w:r>
      <w:r>
        <w:rPr>
          <w:spacing w:val="40"/>
          <w:sz w:val="20"/>
        </w:rPr>
        <w:t> </w:t>
      </w:r>
      <w:r>
        <w:rPr>
          <w:sz w:val="20"/>
        </w:rPr>
        <w:t>of</w:t>
      </w:r>
      <w:r>
        <w:rPr>
          <w:spacing w:val="40"/>
          <w:sz w:val="20"/>
        </w:rPr>
        <w:t> </w:t>
      </w:r>
      <w:r>
        <w:rPr>
          <w:sz w:val="20"/>
        </w:rPr>
        <w:t>this</w:t>
      </w:r>
      <w:r>
        <w:rPr>
          <w:spacing w:val="40"/>
          <w:sz w:val="20"/>
        </w:rPr>
        <w:t> </w:t>
      </w:r>
      <w:r>
        <w:rPr>
          <w:sz w:val="20"/>
        </w:rPr>
        <w:t>metaphor, see </w:t>
      </w:r>
      <w:r>
        <w:rPr>
          <w:rFonts w:ascii="Arial"/>
          <w:i/>
          <w:sz w:val="20"/>
        </w:rPr>
        <w:t>Alfred McAlpine Construction Ltd v Panatown Ltd [2001] 1 A.C. 518 </w:t>
      </w:r>
      <w:r>
        <w:rPr>
          <w:sz w:val="20"/>
        </w:rPr>
        <w:t>at 529.</w:t>
      </w:r>
    </w:p>
    <w:p>
      <w:pPr>
        <w:pStyle w:val="BodyText"/>
        <w:spacing w:before="5"/>
      </w:pPr>
    </w:p>
    <w:p>
      <w:pPr>
        <w:pStyle w:val="BodyText"/>
        <w:tabs>
          <w:tab w:pos="705" w:val="left" w:leader="none"/>
        </w:tabs>
        <w:ind w:left="165"/>
      </w:pPr>
      <w:bookmarkStart w:name="_bookmark786" w:id="788"/>
      <w:bookmarkEnd w:id="788"/>
      <w:r>
        <w:rPr/>
      </w:r>
      <w:hyperlink w:history="true" w:anchor="_bookmark592">
        <w:r>
          <w:rPr>
            <w:color w:val="005DA1"/>
            <w:spacing w:val="-4"/>
            <w:position w:val="5"/>
            <w:sz w:val="14"/>
            <w:u w:val="single" w:color="005DA1"/>
          </w:rPr>
          <w:t>336</w:t>
        </w:r>
      </w:hyperlink>
      <w:r>
        <w:rPr>
          <w:spacing w:val="-4"/>
          <w:position w:val="5"/>
          <w:sz w:val="14"/>
        </w:rPr>
        <w:t>.</w:t>
      </w:r>
      <w:r>
        <w:rPr>
          <w:position w:val="5"/>
          <w:sz w:val="14"/>
        </w:rPr>
        <w:tab/>
      </w:r>
      <w:r>
        <w:rPr/>
        <w:t>See above, para.18-051 at n.306 for this </w:t>
      </w:r>
      <w:r>
        <w:rPr>
          <w:spacing w:val="-2"/>
        </w:rPr>
        <w:t>requirement.</w:t>
      </w:r>
    </w:p>
    <w:p>
      <w:pPr>
        <w:pStyle w:val="BodyText"/>
        <w:spacing w:before="5"/>
      </w:pPr>
    </w:p>
    <w:p>
      <w:pPr>
        <w:tabs>
          <w:tab w:pos="705" w:val="left" w:leader="none"/>
        </w:tabs>
        <w:spacing w:before="0"/>
        <w:ind w:left="165" w:right="0" w:firstLine="0"/>
        <w:jc w:val="left"/>
        <w:rPr>
          <w:sz w:val="20"/>
        </w:rPr>
      </w:pPr>
      <w:bookmarkStart w:name="_bookmark787" w:id="789"/>
      <w:bookmarkEnd w:id="789"/>
      <w:r>
        <w:rPr/>
      </w:r>
      <w:hyperlink w:history="true" w:anchor="_bookmark593">
        <w:r>
          <w:rPr>
            <w:color w:val="005DA1"/>
            <w:spacing w:val="-4"/>
            <w:position w:val="5"/>
            <w:sz w:val="14"/>
            <w:u w:val="single" w:color="005DA1"/>
          </w:rPr>
          <w:t>337</w:t>
        </w:r>
      </w:hyperlink>
      <w:r>
        <w:rPr>
          <w:spacing w:val="-4"/>
          <w:position w:val="5"/>
          <w:sz w:val="14"/>
        </w:rPr>
        <w:t>.</w:t>
      </w:r>
      <w:r>
        <w:rPr>
          <w:position w:val="5"/>
          <w:sz w:val="14"/>
        </w:rPr>
        <w:tab/>
      </w:r>
      <w:r>
        <w:rPr>
          <w:sz w:val="20"/>
        </w:rPr>
        <w:t>e.g., by way of specific performance, as in</w:t>
      </w:r>
      <w:r>
        <w:rPr>
          <w:spacing w:val="-1"/>
          <w:sz w:val="20"/>
        </w:rPr>
        <w:t> </w:t>
      </w:r>
      <w:r>
        <w:rPr>
          <w:rFonts w:ascii="Arial"/>
          <w:i/>
          <w:sz w:val="20"/>
        </w:rPr>
        <w:t>Beswick v Beswick [1968] A.C. </w:t>
      </w:r>
      <w:r>
        <w:rPr>
          <w:rFonts w:ascii="Arial"/>
          <w:i/>
          <w:spacing w:val="-5"/>
          <w:sz w:val="20"/>
        </w:rPr>
        <w:t>58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88" w:id="790"/>
      <w:bookmarkEnd w:id="790"/>
      <w:r>
        <w:rPr/>
      </w:r>
      <w:hyperlink w:history="true" w:anchor="_bookmark594">
        <w:r>
          <w:rPr>
            <w:color w:val="005DA1"/>
            <w:spacing w:val="-4"/>
            <w:position w:val="5"/>
            <w:sz w:val="14"/>
            <w:u w:val="single" w:color="005DA1"/>
          </w:rPr>
          <w:t>338</w:t>
        </w:r>
      </w:hyperlink>
      <w:r>
        <w:rPr>
          <w:spacing w:val="-4"/>
          <w:position w:val="5"/>
          <w:sz w:val="14"/>
        </w:rPr>
        <w:t>.</w:t>
      </w:r>
      <w:r>
        <w:rPr>
          <w:position w:val="5"/>
          <w:sz w:val="14"/>
        </w:rPr>
        <w:tab/>
      </w:r>
      <w:r>
        <w:rPr>
          <w:rFonts w:ascii="Arial"/>
          <w:i/>
          <w:sz w:val="20"/>
        </w:rPr>
        <w:t>(1981)</w:t>
      </w:r>
      <w:r>
        <w:rPr>
          <w:rFonts w:ascii="Arial"/>
          <w:i/>
          <w:spacing w:val="-2"/>
          <w:sz w:val="20"/>
        </w:rPr>
        <w:t> </w:t>
      </w:r>
      <w:r>
        <w:rPr>
          <w:rFonts w:ascii="Arial"/>
          <w:i/>
          <w:sz w:val="20"/>
        </w:rPr>
        <w:t>125 S.J. </w:t>
      </w:r>
      <w:r>
        <w:rPr>
          <w:rFonts w:ascii="Arial"/>
          <w:i/>
          <w:spacing w:val="-4"/>
          <w:sz w:val="20"/>
        </w:rPr>
        <w:t>397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89" w:id="791"/>
      <w:bookmarkEnd w:id="791"/>
      <w:r>
        <w:rPr/>
      </w:r>
      <w:hyperlink w:history="true" w:anchor="_bookmark595">
        <w:r>
          <w:rPr>
            <w:color w:val="005DA1"/>
            <w:spacing w:val="-4"/>
            <w:position w:val="5"/>
            <w:sz w:val="14"/>
            <w:u w:val="single" w:color="005DA1"/>
          </w:rPr>
          <w:t>339</w:t>
        </w:r>
      </w:hyperlink>
      <w:r>
        <w:rPr>
          <w:spacing w:val="-4"/>
          <w:position w:val="5"/>
          <w:sz w:val="14"/>
        </w:rPr>
        <w:t>.</w:t>
      </w:r>
      <w:r>
        <w:rPr>
          <w:position w:val="5"/>
          <w:sz w:val="14"/>
        </w:rPr>
        <w:tab/>
      </w:r>
      <w:r>
        <w:rPr>
          <w:rFonts w:ascii="Arial"/>
          <w:i/>
          <w:sz w:val="20"/>
        </w:rPr>
        <w:t>[1968] A.C. </w:t>
      </w:r>
      <w:r>
        <w:rPr>
          <w:rFonts w:ascii="Arial"/>
          <w:i/>
          <w:spacing w:val="-5"/>
          <w:sz w:val="20"/>
        </w:rPr>
        <w:t>58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90" w:id="792"/>
      <w:bookmarkEnd w:id="792"/>
      <w:r>
        <w:rPr/>
      </w:r>
      <w:hyperlink w:history="true" w:anchor="_bookmark596">
        <w:r>
          <w:rPr>
            <w:color w:val="005DA1"/>
            <w:spacing w:val="-4"/>
            <w:position w:val="5"/>
            <w:sz w:val="14"/>
            <w:u w:val="single" w:color="005DA1"/>
          </w:rPr>
          <w:t>340</w:t>
        </w:r>
      </w:hyperlink>
      <w:r>
        <w:rPr>
          <w:spacing w:val="-4"/>
          <w:position w:val="5"/>
          <w:sz w:val="14"/>
        </w:rPr>
        <w:t>.</w:t>
      </w:r>
      <w:r>
        <w:rPr>
          <w:position w:val="5"/>
          <w:sz w:val="14"/>
        </w:rPr>
        <w:tab/>
      </w:r>
      <w:r>
        <w:rPr>
          <w:sz w:val="20"/>
        </w:rPr>
        <w:t>Above, para.18-</w:t>
      </w:r>
      <w:r>
        <w:rPr>
          <w:spacing w:val="-4"/>
          <w:sz w:val="20"/>
        </w:rPr>
        <w:t>049.</w:t>
      </w:r>
    </w:p>
    <w:p>
      <w:pPr>
        <w:pStyle w:val="BodyText"/>
        <w:spacing w:before="9"/>
      </w:pPr>
    </w:p>
    <w:p>
      <w:pPr>
        <w:pStyle w:val="BodyText"/>
        <w:tabs>
          <w:tab w:pos="705" w:val="left" w:leader="none"/>
        </w:tabs>
        <w:spacing w:line="235" w:lineRule="auto"/>
        <w:ind w:left="705" w:right="168" w:hanging="541"/>
      </w:pPr>
      <w:bookmarkStart w:name="_bookmark791" w:id="793"/>
      <w:bookmarkEnd w:id="793"/>
      <w:r>
        <w:rPr/>
      </w:r>
      <w:hyperlink w:history="true" w:anchor="_bookmark597">
        <w:r>
          <w:rPr>
            <w:color w:val="005DA1"/>
            <w:spacing w:val="-4"/>
            <w:position w:val="5"/>
            <w:sz w:val="14"/>
            <w:u w:val="single" w:color="005DA1"/>
          </w:rPr>
          <w:t>341</w:t>
        </w:r>
      </w:hyperlink>
      <w:r>
        <w:rPr>
          <w:spacing w:val="-4"/>
          <w:position w:val="5"/>
          <w:sz w:val="14"/>
        </w:rPr>
        <w:t>.</w:t>
      </w:r>
      <w:r>
        <w:rPr>
          <w:position w:val="5"/>
          <w:sz w:val="14"/>
        </w:rPr>
        <w:tab/>
      </w:r>
      <w:r>
        <w:rPr/>
        <w:t>Such</w:t>
      </w:r>
      <w:r>
        <w:rPr>
          <w:spacing w:val="24"/>
        </w:rPr>
        <w:t> </w:t>
      </w:r>
      <w:r>
        <w:rPr/>
        <w:t>a</w:t>
      </w:r>
      <w:r>
        <w:rPr>
          <w:spacing w:val="24"/>
        </w:rPr>
        <w:t> </w:t>
      </w:r>
      <w:r>
        <w:rPr/>
        <w:t>result</w:t>
      </w:r>
      <w:r>
        <w:rPr>
          <w:spacing w:val="24"/>
        </w:rPr>
        <w:t> </w:t>
      </w:r>
      <w:r>
        <w:rPr/>
        <w:t>could</w:t>
      </w:r>
      <w:r>
        <w:rPr>
          <w:spacing w:val="24"/>
        </w:rPr>
        <w:t> </w:t>
      </w:r>
      <w:r>
        <w:rPr/>
        <w:t>also,</w:t>
      </w:r>
      <w:r>
        <w:rPr>
          <w:spacing w:val="24"/>
        </w:rPr>
        <w:t> </w:t>
      </w:r>
      <w:r>
        <w:rPr/>
        <w:t>on</w:t>
      </w:r>
      <w:r>
        <w:rPr>
          <w:spacing w:val="24"/>
        </w:rPr>
        <w:t> </w:t>
      </w:r>
      <w:r>
        <w:rPr/>
        <w:t>the</w:t>
      </w:r>
      <w:r>
        <w:rPr>
          <w:spacing w:val="24"/>
        </w:rPr>
        <w:t> </w:t>
      </w:r>
      <w:r>
        <w:rPr/>
        <w:t>facts</w:t>
      </w:r>
      <w:r>
        <w:rPr>
          <w:spacing w:val="24"/>
        </w:rPr>
        <w:t> </w:t>
      </w:r>
      <w:r>
        <w:rPr/>
        <w:t>of</w:t>
      </w:r>
      <w:r>
        <w:rPr>
          <w:spacing w:val="24"/>
        </w:rPr>
        <w:t> </w:t>
      </w:r>
      <w:r>
        <w:rPr/>
        <w:t>the</w:t>
      </w:r>
      <w:r>
        <w:rPr>
          <w:spacing w:val="24"/>
        </w:rPr>
        <w:t> </w:t>
      </w:r>
      <w:r>
        <w:rPr/>
        <w:t>case,</w:t>
      </w:r>
      <w:r>
        <w:rPr>
          <w:spacing w:val="24"/>
        </w:rPr>
        <w:t> </w:t>
      </w:r>
      <w:r>
        <w:rPr/>
        <w:t>follow</w:t>
      </w:r>
      <w:r>
        <w:rPr>
          <w:spacing w:val="24"/>
        </w:rPr>
        <w:t> </w:t>
      </w:r>
      <w:r>
        <w:rPr/>
        <w:t>from</w:t>
      </w:r>
      <w:r>
        <w:rPr>
          <w:spacing w:val="24"/>
        </w:rPr>
        <w:t> </w:t>
      </w:r>
      <w:r>
        <w:rPr/>
        <w:t>the</w:t>
      </w:r>
      <w:r>
        <w:rPr>
          <w:spacing w:val="24"/>
        </w:rPr>
        <w:t> </w:t>
      </w:r>
      <w:r>
        <w:rPr/>
        <w:t>reasoning</w:t>
      </w:r>
      <w:r>
        <w:rPr>
          <w:spacing w:val="24"/>
        </w:rPr>
        <w:t> </w:t>
      </w:r>
      <w:r>
        <w:rPr/>
        <w:t>in</w:t>
      </w:r>
      <w:r>
        <w:rPr>
          <w:spacing w:val="24"/>
        </w:rPr>
        <w:t> </w:t>
      </w:r>
      <w:r>
        <w:rPr/>
        <w:t>para.18-056, </w:t>
      </w:r>
      <w:r>
        <w:rPr>
          <w:spacing w:val="-2"/>
        </w:rPr>
        <w:t>below.</w:t>
      </w:r>
    </w:p>
    <w:p>
      <w:pPr>
        <w:pStyle w:val="BodyText"/>
        <w:spacing w:before="6"/>
      </w:pPr>
    </w:p>
    <w:p>
      <w:pPr>
        <w:tabs>
          <w:tab w:pos="705" w:val="left" w:leader="none"/>
        </w:tabs>
        <w:spacing w:before="0"/>
        <w:ind w:left="165" w:right="0" w:firstLine="0"/>
        <w:jc w:val="left"/>
        <w:rPr>
          <w:sz w:val="20"/>
        </w:rPr>
      </w:pPr>
      <w:bookmarkStart w:name="_bookmark792" w:id="794"/>
      <w:bookmarkEnd w:id="794"/>
      <w:r>
        <w:rPr/>
      </w:r>
      <w:hyperlink w:history="true" w:anchor="_bookmark598">
        <w:r>
          <w:rPr>
            <w:color w:val="005DA1"/>
            <w:spacing w:val="-4"/>
            <w:position w:val="5"/>
            <w:sz w:val="14"/>
            <w:u w:val="single" w:color="005DA1"/>
          </w:rPr>
          <w:t>342</w:t>
        </w:r>
      </w:hyperlink>
      <w:r>
        <w:rPr>
          <w:spacing w:val="-4"/>
          <w:position w:val="5"/>
          <w:sz w:val="14"/>
        </w:rPr>
        <w:t>.</w:t>
      </w:r>
      <w:r>
        <w:rPr>
          <w:position w:val="5"/>
          <w:sz w:val="14"/>
        </w:rPr>
        <w:tab/>
      </w:r>
      <w:r>
        <w:rPr>
          <w:sz w:val="20"/>
        </w:rPr>
        <w:t>Below, para.27-</w:t>
      </w:r>
      <w:r>
        <w:rPr>
          <w:spacing w:val="-4"/>
          <w:sz w:val="20"/>
        </w:rPr>
        <w:t>032.</w:t>
      </w:r>
    </w:p>
    <w:p>
      <w:pPr>
        <w:pStyle w:val="BodyText"/>
        <w:spacing w:before="5"/>
      </w:pPr>
    </w:p>
    <w:p>
      <w:pPr>
        <w:pStyle w:val="BodyText"/>
        <w:tabs>
          <w:tab w:pos="705" w:val="left" w:leader="none"/>
        </w:tabs>
        <w:ind w:left="165"/>
      </w:pPr>
      <w:bookmarkStart w:name="_bookmark793" w:id="795"/>
      <w:bookmarkEnd w:id="795"/>
      <w:r>
        <w:rPr/>
      </w:r>
      <w:hyperlink w:history="true" w:anchor="_bookmark599">
        <w:r>
          <w:rPr>
            <w:color w:val="005DA1"/>
            <w:spacing w:val="-4"/>
            <w:position w:val="5"/>
            <w:sz w:val="14"/>
            <w:u w:val="single" w:color="005DA1"/>
          </w:rPr>
          <w:t>343</w:t>
        </w:r>
      </w:hyperlink>
      <w:r>
        <w:rPr>
          <w:spacing w:val="-4"/>
          <w:position w:val="5"/>
          <w:sz w:val="14"/>
        </w:rPr>
        <w:t>.</w:t>
      </w:r>
      <w:r>
        <w:rPr>
          <w:position w:val="5"/>
          <w:sz w:val="14"/>
        </w:rPr>
        <w:tab/>
      </w:r>
      <w:r>
        <w:rPr/>
        <w:t>Above, paras 18-052 and 18-</w:t>
      </w:r>
      <w:r>
        <w:rPr>
          <w:spacing w:val="-4"/>
        </w:rPr>
        <w:t>053.</w:t>
      </w:r>
    </w:p>
    <w:p>
      <w:pPr>
        <w:pStyle w:val="BodyText"/>
        <w:spacing w:before="8"/>
      </w:pPr>
    </w:p>
    <w:p>
      <w:pPr>
        <w:spacing w:line="235" w:lineRule="auto" w:before="1"/>
        <w:ind w:left="705" w:right="167" w:hanging="541"/>
        <w:jc w:val="both"/>
        <w:rPr>
          <w:sz w:val="20"/>
        </w:rPr>
      </w:pPr>
      <w:bookmarkStart w:name="_bookmark794" w:id="796"/>
      <w:bookmarkEnd w:id="796"/>
      <w:r>
        <w:rPr/>
      </w:r>
      <w:hyperlink w:history="true" w:anchor="_bookmark600">
        <w:r>
          <w:rPr>
            <w:color w:val="005DA1"/>
            <w:position w:val="5"/>
            <w:sz w:val="14"/>
            <w:u w:val="single" w:color="005DA1"/>
          </w:rPr>
          <w:t>344</w:t>
        </w:r>
      </w:hyperlink>
      <w:r>
        <w:rPr>
          <w:position w:val="5"/>
          <w:sz w:val="14"/>
        </w:rPr>
        <w:t>.</w:t>
      </w:r>
      <w:r>
        <w:rPr>
          <w:spacing w:val="80"/>
          <w:position w:val="5"/>
          <w:sz w:val="14"/>
        </w:rPr>
        <w:t>  </w:t>
      </w:r>
      <w:r>
        <w:rPr>
          <w:sz w:val="20"/>
        </w:rPr>
        <w:t>See, for example, below para.18-085. cf. </w:t>
      </w:r>
      <w:r>
        <w:rPr>
          <w:rFonts w:ascii="Arial" w:hAnsi="Arial"/>
          <w:i/>
          <w:sz w:val="20"/>
        </w:rPr>
        <w:t>Pan Atlantic Insurance Co Ltd v Pine Top </w:t>
      </w:r>
      <w:r>
        <w:rPr>
          <w:rFonts w:ascii="Arial" w:hAnsi="Arial"/>
          <w:i/>
          <w:sz w:val="20"/>
        </w:rPr>
        <w:t>Insurance Co Ltd [1988] 2 Lloyd’s Rep. 505</w:t>
      </w:r>
      <w:r>
        <w:rPr>
          <w:sz w:val="20"/>
        </w:rPr>
        <w:t>; below para.18-133; </w:t>
      </w:r>
      <w:r>
        <w:rPr>
          <w:rFonts w:ascii="Arial" w:hAnsi="Arial"/>
          <w:i/>
          <w:sz w:val="20"/>
        </w:rPr>
        <w:t>Shell UK Ltd v Total UK Ltd [2010]</w:t>
      </w:r>
      <w:r>
        <w:rPr>
          <w:rFonts w:ascii="Arial" w:hAnsi="Arial"/>
          <w:i/>
          <w:spacing w:val="40"/>
          <w:sz w:val="20"/>
        </w:rPr>
        <w:t> </w:t>
      </w:r>
      <w:r>
        <w:rPr>
          <w:rFonts w:ascii="Arial" w:hAnsi="Arial"/>
          <w:i/>
          <w:sz w:val="20"/>
        </w:rPr>
        <w:t>EWCA Civ 180, [2011] 1 Q.B. 86 </w:t>
      </w:r>
      <w:r>
        <w:rPr>
          <w:sz w:val="20"/>
        </w:rPr>
        <w:t>(above, para.18-036) at [141], [144] can be explained on the ground either that the beneficial owner could itself sue (joining the legal owner to the action) for the loss it had suffered, or on the ground that “if formality is necessary … [the legal owners] can recover the amount which [the beneficial owner (B)] has lost, but will hold the sums so recovered as trustees for” B (at [144]). According to </w:t>
      </w:r>
      <w:r>
        <w:rPr>
          <w:rFonts w:ascii="Arial" w:hAnsi="Arial"/>
          <w:i/>
          <w:sz w:val="20"/>
        </w:rPr>
        <w:t>Rolls Royce Power Engineering plc v Ricardo Consulting Engineers Ltd [2003] EWHC 2871 (TCC), [2004] 2 All E.R. (Comm) 129 </w:t>
      </w:r>
      <w:r>
        <w:rPr>
          <w:sz w:val="20"/>
        </w:rPr>
        <w:t>a contracting party cannot recover damages in respect of the third party’s loss where the other contracting party did not, when the contract was made, know or have reason to know that the former party was contracting as trustee.</w:t>
      </w:r>
    </w:p>
    <w:p>
      <w:pPr>
        <w:pStyle w:val="BodyText"/>
        <w:spacing w:before="1"/>
      </w:pPr>
    </w:p>
    <w:p>
      <w:pPr>
        <w:tabs>
          <w:tab w:pos="705" w:val="left" w:leader="none"/>
        </w:tabs>
        <w:spacing w:before="1"/>
        <w:ind w:left="165" w:right="0" w:firstLine="0"/>
        <w:jc w:val="left"/>
        <w:rPr>
          <w:sz w:val="20"/>
        </w:rPr>
      </w:pPr>
      <w:bookmarkStart w:name="_bookmark795" w:id="797"/>
      <w:bookmarkEnd w:id="797"/>
      <w:r>
        <w:rPr/>
      </w:r>
      <w:hyperlink w:history="true" w:anchor="_bookmark601">
        <w:r>
          <w:rPr>
            <w:color w:val="005DA1"/>
            <w:spacing w:val="-4"/>
            <w:position w:val="5"/>
            <w:sz w:val="14"/>
            <w:u w:val="single" w:color="005DA1"/>
          </w:rPr>
          <w:t>345</w:t>
        </w:r>
      </w:hyperlink>
      <w:r>
        <w:rPr>
          <w:spacing w:val="-4"/>
          <w:position w:val="5"/>
          <w:sz w:val="14"/>
        </w:rPr>
        <w:t>.</w:t>
      </w:r>
      <w:r>
        <w:rPr>
          <w:position w:val="5"/>
          <w:sz w:val="14"/>
        </w:rPr>
        <w:tab/>
      </w:r>
      <w:r>
        <w:rPr>
          <w:sz w:val="20"/>
        </w:rPr>
        <w:t>See</w:t>
      </w:r>
      <w:r>
        <w:rPr>
          <w:spacing w:val="-1"/>
          <w:sz w:val="20"/>
        </w:rPr>
        <w:t> </w:t>
      </w:r>
      <w:r>
        <w:rPr>
          <w:rFonts w:ascii="Arial"/>
          <w:i/>
          <w:sz w:val="20"/>
        </w:rPr>
        <w:t>Siu Yin Kwan v Eastern Insurance Co Ltd [1994] 2 A.C. 199, </w:t>
      </w:r>
      <w:r>
        <w:rPr>
          <w:rFonts w:ascii="Arial"/>
          <w:i/>
          <w:spacing w:val="-4"/>
          <w:sz w:val="20"/>
        </w:rPr>
        <w:t>207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96" w:id="798"/>
      <w:bookmarkEnd w:id="798"/>
      <w:r>
        <w:rPr/>
      </w:r>
      <w:hyperlink w:history="true" w:anchor="_bookmark602">
        <w:r>
          <w:rPr>
            <w:color w:val="005DA1"/>
            <w:spacing w:val="-4"/>
            <w:position w:val="5"/>
            <w:sz w:val="14"/>
            <w:u w:val="single" w:color="005DA1"/>
          </w:rPr>
          <w:t>346</w:t>
        </w:r>
      </w:hyperlink>
      <w:r>
        <w:rPr>
          <w:spacing w:val="-4"/>
          <w:position w:val="5"/>
          <w:sz w:val="14"/>
        </w:rPr>
        <w:t>.</w:t>
      </w:r>
      <w:r>
        <w:rPr>
          <w:position w:val="5"/>
          <w:sz w:val="14"/>
        </w:rPr>
        <w:tab/>
      </w:r>
      <w:r>
        <w:rPr>
          <w:rFonts w:ascii="Arial"/>
          <w:i/>
          <w:sz w:val="20"/>
        </w:rPr>
        <w:t>St Albans C.C. v International Computers Ltd [1996] 4 All E.R. </w:t>
      </w:r>
      <w:r>
        <w:rPr>
          <w:rFonts w:ascii="Arial"/>
          <w:i/>
          <w:spacing w:val="-4"/>
          <w:sz w:val="20"/>
        </w:rPr>
        <w:t>481</w:t>
      </w:r>
      <w:r>
        <w:rPr>
          <w:spacing w:val="-4"/>
          <w:sz w:val="20"/>
        </w:rPr>
        <w:t>.</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797" w:id="799"/>
      <w:bookmarkEnd w:id="799"/>
      <w:r>
        <w:rPr/>
      </w:r>
      <w:hyperlink w:history="true" w:anchor="_bookmark603">
        <w:r>
          <w:rPr>
            <w:color w:val="005DA1"/>
            <w:spacing w:val="-4"/>
            <w:sz w:val="14"/>
            <w:u w:val="single" w:color="005DA1"/>
          </w:rPr>
          <w:t>347</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Dunlop v Lambert (1839) 2 Cl. &amp; F. 626, 627 </w:t>
      </w:r>
      <w:r>
        <w:rPr>
          <w:sz w:val="20"/>
        </w:rPr>
        <w:t>(as to which see </w:t>
      </w:r>
      <w:r>
        <w:rPr>
          <w:rFonts w:ascii="Arial" w:hAnsi="Arial"/>
          <w:i/>
          <w:sz w:val="20"/>
        </w:rPr>
        <w:t>Alfred McAlpine Construction Ltd v Panatown Ltd [2001] 1 A.C. 518 </w:t>
      </w:r>
      <w:r>
        <w:rPr>
          <w:sz w:val="20"/>
        </w:rPr>
        <w:t>at 523 et seq.). cf. </w:t>
      </w:r>
      <w:r>
        <w:rPr>
          <w:rFonts w:ascii="Arial" w:hAnsi="Arial"/>
          <w:i/>
          <w:sz w:val="20"/>
        </w:rPr>
        <w:t>Obestain Inc. v National Mineral Development Corp. Ltd (The Sanix Ace) [1987] 1 Lloyd’s Rep. 465</w:t>
      </w:r>
      <w:r>
        <w:rPr>
          <w:sz w:val="20"/>
        </w:rPr>
        <w:t>; the reasoning of </w:t>
      </w:r>
      <w:r>
        <w:rPr>
          <w:rFonts w:ascii="Arial" w:hAnsi="Arial"/>
          <w:i/>
          <w:sz w:val="20"/>
        </w:rPr>
        <w:t>Obestain Inc v National Mineral Development Corp Ltd (The Sanix Ace) [1987] 1 Lloyd’s Rep. 465 </w:t>
      </w:r>
      <w:r>
        <w:rPr>
          <w:sz w:val="20"/>
        </w:rPr>
        <w:t>was followed in </w:t>
      </w:r>
      <w:r>
        <w:rPr>
          <w:rFonts w:ascii="Arial" w:hAnsi="Arial"/>
          <w:i/>
          <w:sz w:val="20"/>
        </w:rPr>
        <w:t>Titan Europe 2006-3 Plc v Colliers International UK Plc [2015] EWCA Civ 1083, [2016] 1 All E.R. (Comm) 999 </w:t>
      </w:r>
      <w:r>
        <w:rPr>
          <w:sz w:val="20"/>
        </w:rPr>
        <w:t>at [30] to enable an owner of property to recover damages in tort in respect of negligent valuation of property (in this case, choses in action) by virtue of his ownership of that property, even though that owner was not a party to the contract with the valuer.</w:t>
      </w:r>
      <w:r>
        <w:rPr>
          <w:spacing w:val="-3"/>
          <w:sz w:val="20"/>
        </w:rPr>
        <w:t> </w:t>
      </w:r>
      <w:r>
        <w:rPr>
          <w:rFonts w:ascii="Arial" w:hAnsi="Arial"/>
          <w:i/>
          <w:sz w:val="20"/>
        </w:rPr>
        <w:t>Wibau</w:t>
      </w:r>
      <w:r>
        <w:rPr>
          <w:rFonts w:ascii="Arial" w:hAnsi="Arial"/>
          <w:i/>
          <w:spacing w:val="-3"/>
          <w:sz w:val="20"/>
        </w:rPr>
        <w:t> </w:t>
      </w:r>
      <w:r>
        <w:rPr>
          <w:rFonts w:ascii="Arial" w:hAnsi="Arial"/>
          <w:i/>
          <w:sz w:val="20"/>
        </w:rPr>
        <w:t>Maschinenfabric</w:t>
      </w:r>
      <w:r>
        <w:rPr>
          <w:rFonts w:ascii="Arial" w:hAnsi="Arial"/>
          <w:i/>
          <w:spacing w:val="-3"/>
          <w:sz w:val="20"/>
        </w:rPr>
        <w:t> </w:t>
      </w:r>
      <w:r>
        <w:rPr>
          <w:rFonts w:ascii="Arial" w:hAnsi="Arial"/>
          <w:i/>
          <w:sz w:val="20"/>
        </w:rPr>
        <w:t>Hartman</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Mackinnon</w:t>
      </w:r>
      <w:r>
        <w:rPr>
          <w:rFonts w:ascii="Arial" w:hAnsi="Arial"/>
          <w:i/>
          <w:spacing w:val="-3"/>
          <w:sz w:val="20"/>
        </w:rPr>
        <w:t> </w:t>
      </w:r>
      <w:r>
        <w:rPr>
          <w:rFonts w:ascii="Arial" w:hAnsi="Arial"/>
          <w:i/>
          <w:sz w:val="20"/>
        </w:rPr>
        <w:t>Mackenzie</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Chanda)</w:t>
      </w:r>
      <w:r>
        <w:rPr>
          <w:rFonts w:ascii="Arial" w:hAnsi="Arial"/>
          <w:i/>
          <w:spacing w:val="-3"/>
          <w:sz w:val="20"/>
        </w:rPr>
        <w:t> </w:t>
      </w:r>
      <w:r>
        <w:rPr>
          <w:rFonts w:ascii="Arial" w:hAnsi="Arial"/>
          <w:i/>
          <w:sz w:val="20"/>
        </w:rPr>
        <w:t>[1989] 2 Lloyd’s Rep. 494 </w:t>
      </w:r>
      <w:r>
        <w:rPr>
          <w:sz w:val="20"/>
        </w:rPr>
        <w:t>(overruled on another point in </w:t>
      </w:r>
      <w:r>
        <w:rPr>
          <w:rFonts w:ascii="Arial" w:hAnsi="Arial"/>
          <w:i/>
          <w:sz w:val="20"/>
        </w:rPr>
        <w:t>Daewoo Heavy Industries Ltd v Klipriver Shipping</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Kapitan</w:t>
      </w:r>
      <w:r>
        <w:rPr>
          <w:rFonts w:ascii="Arial" w:hAnsi="Arial"/>
          <w:i/>
          <w:spacing w:val="1"/>
          <w:sz w:val="20"/>
        </w:rPr>
        <w:t> </w:t>
      </w:r>
      <w:r>
        <w:rPr>
          <w:rFonts w:ascii="Arial" w:hAnsi="Arial"/>
          <w:i/>
          <w:sz w:val="20"/>
        </w:rPr>
        <w:t>Petko</w:t>
      </w:r>
      <w:r>
        <w:rPr>
          <w:rFonts w:ascii="Arial" w:hAnsi="Arial"/>
          <w:i/>
          <w:spacing w:val="1"/>
          <w:sz w:val="20"/>
        </w:rPr>
        <w:t> </w:t>
      </w:r>
      <w:r>
        <w:rPr>
          <w:rFonts w:ascii="Arial" w:hAnsi="Arial"/>
          <w:i/>
          <w:sz w:val="20"/>
        </w:rPr>
        <w:t>Voivoda)</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451;</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pacing w:val="-5"/>
          <w:sz w:val="20"/>
        </w:rPr>
        <w:t>801</w:t>
      </w:r>
    </w:p>
    <w:p>
      <w:pPr>
        <w:spacing w:line="235" w:lineRule="auto" w:before="0"/>
        <w:ind w:left="165" w:right="167" w:firstLine="0"/>
        <w:jc w:val="both"/>
        <w:rPr>
          <w:sz w:val="20"/>
        </w:rPr>
      </w:pPr>
      <w:r>
        <w:rPr>
          <w:sz w:val="20"/>
        </w:rPr>
        <w:drawing>
          <wp:anchor distT="0" distB="0" distL="0" distR="0" allowOverlap="1" layoutInCell="1" locked="0" behindDoc="0" simplePos="0" relativeHeight="15761408">
            <wp:simplePos x="0" y="0"/>
            <wp:positionH relativeFrom="page">
              <wp:posOffset>1257846</wp:posOffset>
            </wp:positionH>
            <wp:positionV relativeFrom="paragraph">
              <wp:posOffset>-1548224</wp:posOffset>
            </wp:positionV>
            <wp:extent cx="107988" cy="107988"/>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107988" cy="107988"/>
                    </a:xfrm>
                    <a:prstGeom prst="rect">
                      <a:avLst/>
                    </a:prstGeom>
                  </pic:spPr>
                </pic:pic>
              </a:graphicData>
            </a:graphic>
          </wp:anchor>
        </w:drawing>
      </w:r>
      <w:r>
        <w:rPr>
          <w:sz w:val="20"/>
        </w:rPr>
        <w:t>). The rule was recognised by the House of Lords in </w:t>
      </w:r>
      <w:r>
        <w:rPr>
          <w:rFonts w:ascii="Arial"/>
          <w:i/>
          <w:sz w:val="20"/>
        </w:rPr>
        <w:t>Albacruz (Cargo Owners) v </w:t>
      </w:r>
      <w:r>
        <w:rPr>
          <w:rFonts w:ascii="Arial"/>
          <w:i/>
          <w:sz w:val="20"/>
        </w:rPr>
        <w:t>Albazero (Owners) (The Albazero) [1977] A.C. 774</w:t>
      </w:r>
      <w:r>
        <w:rPr>
          <w:sz w:val="20"/>
        </w:rPr>
        <w:t>, but held inapplicable as the buyer had acquired his own contractual rights against the shipowner under Bills of Lading Act 1855, s.1 (now repealed and replaced by Carriage of Goods by Sea Act 1992); Weir [1977] C.L.J. 24. </w:t>
      </w:r>
      <w:r>
        <w:rPr>
          <w:rFonts w:ascii="Arial"/>
          <w:i/>
          <w:sz w:val="20"/>
        </w:rPr>
        <w:t>Albacruz (Cargo Owners) v Albazero (Owners) (The Albazero) [1977] A.C. 774 </w:t>
      </w:r>
      <w:r>
        <w:rPr>
          <w:sz w:val="20"/>
        </w:rPr>
        <w:t>was distinguished in </w:t>
      </w:r>
      <w:r>
        <w:rPr>
          <w:rFonts w:ascii="Arial"/>
          <w:i/>
          <w:sz w:val="20"/>
        </w:rPr>
        <w:t>Titan</w:t>
      </w:r>
      <w:r>
        <w:rPr>
          <w:rFonts w:ascii="Arial"/>
          <w:i/>
          <w:spacing w:val="40"/>
          <w:sz w:val="20"/>
        </w:rPr>
        <w:t> </w:t>
      </w:r>
      <w:r>
        <w:rPr>
          <w:rFonts w:ascii="Arial"/>
          <w:i/>
          <w:sz w:val="20"/>
        </w:rPr>
        <w:t>Europe 2006-3 Plc v Colliers International UK Plc [2015] EWCA Civ 1083 </w:t>
      </w:r>
      <w:r>
        <w:rPr>
          <w:sz w:val="20"/>
        </w:rPr>
        <w:t>at [32] on the ground that</w:t>
      </w:r>
      <w:r>
        <w:rPr>
          <w:spacing w:val="15"/>
          <w:sz w:val="20"/>
        </w:rPr>
        <w:t> </w:t>
      </w:r>
      <w:r>
        <w:rPr>
          <w:sz w:val="20"/>
        </w:rPr>
        <w:t>the</w:t>
      </w:r>
      <w:r>
        <w:rPr>
          <w:spacing w:val="15"/>
          <w:sz w:val="20"/>
        </w:rPr>
        <w:t> </w:t>
      </w:r>
      <w:r>
        <w:rPr>
          <w:sz w:val="20"/>
        </w:rPr>
        <w:t>loss</w:t>
      </w:r>
      <w:r>
        <w:rPr>
          <w:spacing w:val="15"/>
          <w:sz w:val="20"/>
        </w:rPr>
        <w:t> </w:t>
      </w:r>
      <w:r>
        <w:rPr>
          <w:sz w:val="20"/>
        </w:rPr>
        <w:t>in</w:t>
      </w:r>
      <w:r>
        <w:rPr>
          <w:spacing w:val="15"/>
          <w:sz w:val="20"/>
        </w:rPr>
        <w:t> </w:t>
      </w:r>
      <w:r>
        <w:rPr>
          <w:sz w:val="20"/>
        </w:rPr>
        <w:t>the</w:t>
      </w:r>
      <w:r>
        <w:rPr>
          <w:spacing w:val="15"/>
          <w:sz w:val="20"/>
        </w:rPr>
        <w:t> </w:t>
      </w:r>
      <w:r>
        <w:rPr>
          <w:sz w:val="20"/>
        </w:rPr>
        <w:t>latter</w:t>
      </w:r>
      <w:r>
        <w:rPr>
          <w:spacing w:val="15"/>
          <w:sz w:val="20"/>
        </w:rPr>
        <w:t> </w:t>
      </w:r>
      <w:r>
        <w:rPr>
          <w:sz w:val="20"/>
        </w:rPr>
        <w:t>case</w:t>
      </w:r>
      <w:r>
        <w:rPr>
          <w:spacing w:val="15"/>
          <w:sz w:val="20"/>
        </w:rPr>
        <w:t> </w:t>
      </w:r>
      <w:r>
        <w:rPr>
          <w:sz w:val="20"/>
        </w:rPr>
        <w:t>had</w:t>
      </w:r>
      <w:r>
        <w:rPr>
          <w:spacing w:val="15"/>
          <w:sz w:val="20"/>
        </w:rPr>
        <w:t> </w:t>
      </w:r>
      <w:r>
        <w:rPr>
          <w:sz w:val="20"/>
        </w:rPr>
        <w:t>been</w:t>
      </w:r>
      <w:r>
        <w:rPr>
          <w:spacing w:val="15"/>
          <w:sz w:val="20"/>
        </w:rPr>
        <w:t> </w:t>
      </w:r>
      <w:r>
        <w:rPr>
          <w:sz w:val="20"/>
        </w:rPr>
        <w:t>suffered</w:t>
      </w:r>
      <w:r>
        <w:rPr>
          <w:spacing w:val="15"/>
          <w:sz w:val="20"/>
        </w:rPr>
        <w:t> </w:t>
      </w:r>
      <w:r>
        <w:rPr>
          <w:sz w:val="20"/>
        </w:rPr>
        <w:t>by</w:t>
      </w:r>
      <w:r>
        <w:rPr>
          <w:spacing w:val="15"/>
          <w:sz w:val="20"/>
        </w:rPr>
        <w:t> </w:t>
      </w:r>
      <w:r>
        <w:rPr>
          <w:sz w:val="20"/>
        </w:rPr>
        <w:t>an</w:t>
      </w:r>
      <w:r>
        <w:rPr>
          <w:spacing w:val="15"/>
          <w:sz w:val="20"/>
        </w:rPr>
        <w:t> </w:t>
      </w:r>
      <w:r>
        <w:rPr>
          <w:sz w:val="20"/>
        </w:rPr>
        <w:t>owner</w:t>
      </w:r>
      <w:r>
        <w:rPr>
          <w:spacing w:val="15"/>
          <w:sz w:val="20"/>
        </w:rPr>
        <w:t> </w:t>
      </w:r>
      <w:r>
        <w:rPr>
          <w:sz w:val="20"/>
        </w:rPr>
        <w:t>in</w:t>
      </w:r>
      <w:r>
        <w:rPr>
          <w:spacing w:val="15"/>
          <w:sz w:val="20"/>
        </w:rPr>
        <w:t> </w:t>
      </w:r>
      <w:r>
        <w:rPr>
          <w:sz w:val="20"/>
        </w:rPr>
        <w:t>respect</w:t>
      </w:r>
      <w:r>
        <w:rPr>
          <w:spacing w:val="15"/>
          <w:sz w:val="20"/>
        </w:rPr>
        <w:t> </w:t>
      </w:r>
      <w:r>
        <w:rPr>
          <w:sz w:val="20"/>
        </w:rPr>
        <w:t>of</w:t>
      </w:r>
      <w:r>
        <w:rPr>
          <w:spacing w:val="15"/>
          <w:sz w:val="20"/>
        </w:rPr>
        <w:t> </w:t>
      </w:r>
      <w:r>
        <w:rPr>
          <w:sz w:val="20"/>
        </w:rPr>
        <w:t>property</w:t>
      </w:r>
      <w:r>
        <w:rPr>
          <w:spacing w:val="15"/>
          <w:sz w:val="20"/>
        </w:rPr>
        <w:t> </w:t>
      </w:r>
      <w:r>
        <w:rPr>
          <w:sz w:val="20"/>
        </w:rPr>
        <w:t>which</w:t>
      </w:r>
      <w:r>
        <w:rPr>
          <w:spacing w:val="15"/>
          <w:sz w:val="20"/>
        </w:rPr>
        <w:t> </w:t>
      </w:r>
      <w:r>
        <w:rPr>
          <w:spacing w:val="-5"/>
          <w:sz w:val="20"/>
        </w:rPr>
        <w:t>he</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24"/>
      </w:pPr>
    </w:p>
    <w:p>
      <w:pPr>
        <w:pStyle w:val="BodyText"/>
        <w:spacing w:line="235" w:lineRule="auto" w:before="1"/>
        <w:ind w:left="705" w:right="167"/>
        <w:jc w:val="both"/>
      </w:pPr>
      <w:r>
        <w:rPr/>
        <w:t>had retained while the claimant in the former case had, at the relevant time, parted with </w:t>
      </w:r>
      <w:r>
        <w:rPr/>
        <w:t>the property in question. In the </w:t>
      </w:r>
      <w:r>
        <w:rPr>
          <w:rFonts w:ascii="Arial" w:hAnsi="Arial"/>
          <w:i/>
        </w:rPr>
        <w:t>Rolls Royce Power </w:t>
      </w:r>
      <w:r>
        <w:rPr/>
        <w:t>case, above, n.336 the rule in </w:t>
      </w:r>
      <w:r>
        <w:rPr>
          <w:rFonts w:ascii="Arial" w:hAnsi="Arial"/>
          <w:i/>
        </w:rPr>
        <w:t>Dunlop v Lambert </w:t>
      </w:r>
      <w:r>
        <w:rPr/>
        <w:t>(above) was said at [124] to apply only if, at the time of the contract, it was “in the actual contemplation of the parties that an identified third party or a third party who was a member of an identified class might suffer damage in the event of a breach of the contract.” In the case of goods carried under a transferable bill of lading, this requirement will generally be satisfied</w:t>
      </w:r>
      <w:r>
        <w:rPr>
          <w:spacing w:val="40"/>
        </w:rPr>
        <w:t> </w:t>
      </w:r>
      <w:r>
        <w:rPr/>
        <w:t>since the transfer of such a bill must be within the carrier’s contemplation. For discussion of another</w:t>
      </w:r>
      <w:r>
        <w:rPr>
          <w:spacing w:val="-1"/>
        </w:rPr>
        <w:t> </w:t>
      </w:r>
      <w:r>
        <w:rPr/>
        <w:t>aspect</w:t>
      </w:r>
      <w:r>
        <w:rPr>
          <w:spacing w:val="-1"/>
        </w:rPr>
        <w:t> </w:t>
      </w:r>
      <w:r>
        <w:rPr/>
        <w:t>of</w:t>
      </w:r>
      <w:r>
        <w:rPr>
          <w:spacing w:val="-1"/>
        </w:rPr>
        <w:t> </w:t>
      </w:r>
      <w:r>
        <w:rPr>
          <w:rFonts w:ascii="Arial" w:hAnsi="Arial"/>
          <w:i/>
        </w:rPr>
        <w:t>Dunlop</w:t>
      </w:r>
      <w:r>
        <w:rPr>
          <w:rFonts w:ascii="Arial" w:hAnsi="Arial"/>
          <w:i/>
          <w:spacing w:val="-1"/>
        </w:rPr>
        <w:t> </w:t>
      </w:r>
      <w:r>
        <w:rPr>
          <w:rFonts w:ascii="Arial" w:hAnsi="Arial"/>
          <w:i/>
        </w:rPr>
        <w:t>v</w:t>
      </w:r>
      <w:r>
        <w:rPr>
          <w:rFonts w:ascii="Arial" w:hAnsi="Arial"/>
          <w:i/>
          <w:spacing w:val="-1"/>
        </w:rPr>
        <w:t> </w:t>
      </w:r>
      <w:r>
        <w:rPr>
          <w:rFonts w:ascii="Arial" w:hAnsi="Arial"/>
          <w:i/>
        </w:rPr>
        <w:t>Lambert</w:t>
      </w:r>
      <w:r>
        <w:rPr/>
        <w:t>,</w:t>
      </w:r>
      <w:r>
        <w:rPr>
          <w:spacing w:val="-1"/>
        </w:rPr>
        <w:t> </w:t>
      </w:r>
      <w:r>
        <w:rPr/>
        <w:t>above,</w:t>
      </w:r>
      <w:r>
        <w:rPr>
          <w:spacing w:val="-1"/>
        </w:rPr>
        <w:t> </w:t>
      </w:r>
      <w:r>
        <w:rPr/>
        <w:t>see</w:t>
      </w:r>
      <w:r>
        <w:rPr>
          <w:spacing w:val="-1"/>
        </w:rPr>
        <w:t> </w:t>
      </w:r>
      <w:r>
        <w:rPr>
          <w:rFonts w:ascii="Arial" w:hAnsi="Arial"/>
          <w:i/>
        </w:rPr>
        <w:t>Scottish</w:t>
      </w:r>
      <w:r>
        <w:rPr>
          <w:rFonts w:ascii="Arial" w:hAnsi="Arial"/>
          <w:i/>
          <w:spacing w:val="-1"/>
        </w:rPr>
        <w:t> </w:t>
      </w:r>
      <w:r>
        <w:rPr>
          <w:rFonts w:ascii="Arial" w:hAnsi="Arial"/>
          <w:i/>
        </w:rPr>
        <w:t>&amp;</w:t>
      </w:r>
      <w:r>
        <w:rPr>
          <w:rFonts w:ascii="Arial" w:hAnsi="Arial"/>
          <w:i/>
          <w:spacing w:val="-1"/>
        </w:rPr>
        <w:t> </w:t>
      </w:r>
      <w:r>
        <w:rPr>
          <w:rFonts w:ascii="Arial" w:hAnsi="Arial"/>
          <w:i/>
        </w:rPr>
        <w:t>Newcastle</w:t>
      </w:r>
      <w:r>
        <w:rPr>
          <w:rFonts w:ascii="Arial" w:hAnsi="Arial"/>
          <w:i/>
          <w:spacing w:val="-1"/>
        </w:rPr>
        <w:t> </w:t>
      </w:r>
      <w:r>
        <w:rPr>
          <w:rFonts w:ascii="Arial" w:hAnsi="Arial"/>
          <w:i/>
        </w:rPr>
        <w:t>International</w:t>
      </w:r>
      <w:r>
        <w:rPr>
          <w:rFonts w:ascii="Arial" w:hAnsi="Arial"/>
          <w:i/>
          <w:spacing w:val="-1"/>
        </w:rPr>
        <w:t> </w:t>
      </w:r>
      <w:r>
        <w:rPr>
          <w:rFonts w:ascii="Arial" w:hAnsi="Arial"/>
          <w:i/>
        </w:rPr>
        <w:t>Ltd</w:t>
      </w:r>
      <w:r>
        <w:rPr>
          <w:rFonts w:ascii="Arial" w:hAnsi="Arial"/>
          <w:i/>
          <w:spacing w:val="-1"/>
        </w:rPr>
        <w:t> </w:t>
      </w:r>
      <w:r>
        <w:rPr>
          <w:rFonts w:ascii="Arial" w:hAnsi="Arial"/>
          <w:i/>
        </w:rPr>
        <w:t>v</w:t>
      </w:r>
      <w:r>
        <w:rPr>
          <w:rFonts w:ascii="Arial" w:hAnsi="Arial"/>
          <w:i/>
          <w:spacing w:val="-1"/>
        </w:rPr>
        <w:t> </w:t>
      </w:r>
      <w:r>
        <w:rPr>
          <w:rFonts w:ascii="Arial" w:hAnsi="Arial"/>
          <w:i/>
        </w:rPr>
        <w:t>Othon Ghalanos Ltd [2008] UKHL 55, [2008] 1 Lloyd’s Rep. 462 </w:t>
      </w:r>
      <w:r>
        <w:rPr/>
        <w:t>at [12], [39]–[40]. In the case of contracts</w:t>
      </w:r>
      <w:r>
        <w:rPr>
          <w:spacing w:val="-3"/>
        </w:rPr>
        <w:t> </w:t>
      </w:r>
      <w:r>
        <w:rPr/>
        <w:t>to</w:t>
      </w:r>
      <w:r>
        <w:rPr>
          <w:spacing w:val="-3"/>
        </w:rPr>
        <w:t> </w:t>
      </w:r>
      <w:r>
        <w:rPr/>
        <w:t>which</w:t>
      </w:r>
      <w:r>
        <w:rPr>
          <w:spacing w:val="-3"/>
        </w:rPr>
        <w:t> </w:t>
      </w:r>
      <w:r>
        <w:rPr/>
        <w:t>the</w:t>
      </w:r>
      <w:r>
        <w:rPr>
          <w:spacing w:val="-3"/>
        </w:rPr>
        <w:t> </w:t>
      </w:r>
      <w:r>
        <w:rPr/>
        <w:t>Carriage</w:t>
      </w:r>
      <w:r>
        <w:rPr>
          <w:spacing w:val="-3"/>
        </w:rPr>
        <w:t> </w:t>
      </w:r>
      <w:r>
        <w:rPr/>
        <w:t>of</w:t>
      </w:r>
      <w:r>
        <w:rPr>
          <w:spacing w:val="-3"/>
        </w:rPr>
        <w:t> </w:t>
      </w:r>
      <w:r>
        <w:rPr/>
        <w:t>Goods</w:t>
      </w:r>
      <w:r>
        <w:rPr>
          <w:spacing w:val="-3"/>
        </w:rPr>
        <w:t> </w:t>
      </w:r>
      <w:r>
        <w:rPr/>
        <w:t>by</w:t>
      </w:r>
      <w:r>
        <w:rPr>
          <w:spacing w:val="-3"/>
        </w:rPr>
        <w:t> </w:t>
      </w:r>
      <w:r>
        <w:rPr/>
        <w:t>Sea</w:t>
      </w:r>
      <w:r>
        <w:rPr>
          <w:spacing w:val="-3"/>
        </w:rPr>
        <w:t> </w:t>
      </w:r>
      <w:r>
        <w:rPr/>
        <w:t>Act</w:t>
      </w:r>
      <w:r>
        <w:rPr>
          <w:spacing w:val="-3"/>
        </w:rPr>
        <w:t> </w:t>
      </w:r>
      <w:r>
        <w:rPr/>
        <w:t>1992</w:t>
      </w:r>
      <w:r>
        <w:rPr>
          <w:spacing w:val="-3"/>
        </w:rPr>
        <w:t> </w:t>
      </w:r>
      <w:r>
        <w:rPr/>
        <w:t>applies,</w:t>
      </w:r>
      <w:r>
        <w:rPr>
          <w:spacing w:val="-3"/>
        </w:rPr>
        <w:t> </w:t>
      </w:r>
      <w:r>
        <w:rPr/>
        <w:t>a</w:t>
      </w:r>
      <w:r>
        <w:rPr>
          <w:spacing w:val="-3"/>
        </w:rPr>
        <w:t> </w:t>
      </w:r>
      <w:r>
        <w:rPr/>
        <w:t>special</w:t>
      </w:r>
      <w:r>
        <w:rPr>
          <w:spacing w:val="-3"/>
        </w:rPr>
        <w:t> </w:t>
      </w:r>
      <w:r>
        <w:rPr/>
        <w:t>statutory</w:t>
      </w:r>
      <w:r>
        <w:rPr>
          <w:spacing w:val="-3"/>
        </w:rPr>
        <w:t> </w:t>
      </w:r>
      <w:r>
        <w:rPr/>
        <w:t>exception is created by s.2(4) of the Act to the general rule that a person can recover damages only in respect of his own loss; for a full discussion of this subsection, see Carver on Bills of Lading,</w:t>
      </w:r>
      <w:r>
        <w:rPr>
          <w:spacing w:val="40"/>
        </w:rPr>
        <w:t> </w:t>
      </w:r>
      <w:r>
        <w:rPr/>
        <w:t>3rd ed. (2011), paras 5-077—5-088. For the possible effects of arts 57 and 58 of the Rotterdam Rules (above, para.18-036 n.218) on s.2 of the 1992 Act, see below, para.18-117 n.672. These Rules contain no provision resembling s.2(4) of the 1992 Act.</w:t>
      </w:r>
    </w:p>
    <w:p>
      <w:pPr>
        <w:pStyle w:val="BodyText"/>
      </w:pPr>
    </w:p>
    <w:p>
      <w:pPr>
        <w:tabs>
          <w:tab w:pos="705" w:val="left" w:leader="none"/>
        </w:tabs>
        <w:spacing w:before="0"/>
        <w:ind w:left="165" w:right="0" w:firstLine="0"/>
        <w:jc w:val="left"/>
        <w:rPr>
          <w:sz w:val="20"/>
        </w:rPr>
      </w:pPr>
      <w:bookmarkStart w:name="_bookmark798" w:id="800"/>
      <w:bookmarkEnd w:id="800"/>
      <w:r>
        <w:rPr/>
      </w:r>
      <w:hyperlink w:history="true" w:anchor="_bookmark604">
        <w:r>
          <w:rPr>
            <w:color w:val="005DA1"/>
            <w:spacing w:val="-4"/>
            <w:position w:val="5"/>
            <w:sz w:val="14"/>
            <w:u w:val="single" w:color="005DA1"/>
          </w:rPr>
          <w:t>348</w:t>
        </w:r>
      </w:hyperlink>
      <w:r>
        <w:rPr>
          <w:spacing w:val="-4"/>
          <w:position w:val="5"/>
          <w:sz w:val="14"/>
        </w:rPr>
        <w:t>.</w:t>
      </w:r>
      <w:r>
        <w:rPr>
          <w:position w:val="5"/>
          <w:sz w:val="14"/>
        </w:rPr>
        <w:tab/>
      </w:r>
      <w:r>
        <w:rPr>
          <w:rFonts w:ascii="Arial"/>
          <w:i/>
          <w:sz w:val="20"/>
        </w:rPr>
        <w:t>The</w:t>
      </w:r>
      <w:r>
        <w:rPr>
          <w:rFonts w:ascii="Arial"/>
          <w:i/>
          <w:spacing w:val="-1"/>
          <w:sz w:val="20"/>
        </w:rPr>
        <w:t> </w:t>
      </w:r>
      <w:r>
        <w:rPr>
          <w:rFonts w:ascii="Arial"/>
          <w:i/>
          <w:sz w:val="20"/>
        </w:rPr>
        <w:t>Albazero [1977] A.C. 774</w:t>
      </w:r>
      <w:r>
        <w:rPr>
          <w:sz w:val="20"/>
        </w:rPr>
        <w:t>, above, </w:t>
      </w:r>
      <w:r>
        <w:rPr>
          <w:spacing w:val="-2"/>
          <w:sz w:val="20"/>
        </w:rPr>
        <w:t>n.339.</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799" w:id="801"/>
      <w:bookmarkEnd w:id="801"/>
      <w:r>
        <w:rPr/>
      </w:r>
      <w:hyperlink w:history="true" w:anchor="_bookmark605">
        <w:r>
          <w:rPr>
            <w:color w:val="005DA1"/>
            <w:spacing w:val="-4"/>
            <w:sz w:val="14"/>
            <w:u w:val="single" w:color="005DA1"/>
          </w:rPr>
          <w:t>349</w:t>
        </w:r>
      </w:hyperlink>
      <w:r>
        <w:rPr>
          <w:spacing w:val="-4"/>
          <w:sz w:val="14"/>
        </w:rPr>
        <w:t>.</w:t>
      </w:r>
    </w:p>
    <w:p>
      <w:pPr>
        <w:pStyle w:val="BodyText"/>
        <w:spacing w:line="235" w:lineRule="auto" w:before="212"/>
        <w:ind w:left="165" w:right="167" w:firstLine="170"/>
        <w:jc w:val="both"/>
        <w:rPr>
          <w:rFonts w:ascii="Arial"/>
          <w:i/>
        </w:rPr>
      </w:pPr>
      <w:r>
        <w:rPr/>
        <w:br w:type="column"/>
      </w:r>
      <w:r>
        <w:rPr/>
        <w:t>Exceptions to the general rule that a contracting party cannot recover damages in respect of loss suffered, not by himself, but by a third party (Main Work, Vol.I, para.18-051) are further discussed</w:t>
      </w:r>
      <w:r>
        <w:rPr>
          <w:spacing w:val="4"/>
        </w:rPr>
        <w:t> </w:t>
      </w:r>
      <w:r>
        <w:rPr/>
        <w:t>by</w:t>
      </w:r>
      <w:r>
        <w:rPr>
          <w:spacing w:val="4"/>
        </w:rPr>
        <w:t> </w:t>
      </w:r>
      <w:r>
        <w:rPr/>
        <w:t>the</w:t>
      </w:r>
      <w:r>
        <w:rPr>
          <w:spacing w:val="4"/>
        </w:rPr>
        <w:t> </w:t>
      </w:r>
      <w:r>
        <w:rPr/>
        <w:t>Supreme</w:t>
      </w:r>
      <w:r>
        <w:rPr>
          <w:spacing w:val="4"/>
        </w:rPr>
        <w:t> </w:t>
      </w:r>
      <w:r>
        <w:rPr/>
        <w:t>Court</w:t>
      </w:r>
      <w:r>
        <w:rPr>
          <w:spacing w:val="4"/>
        </w:rPr>
        <w:t> </w:t>
      </w:r>
      <w:r>
        <w:rPr/>
        <w:t>in</w:t>
      </w:r>
      <w:r>
        <w:rPr>
          <w:spacing w:val="3"/>
        </w:rPr>
        <w:t> </w:t>
      </w:r>
      <w:r>
        <w:rPr>
          <w:rFonts w:ascii="Arial"/>
          <w:i/>
        </w:rPr>
        <w:t>Swynson</w:t>
      </w:r>
      <w:r>
        <w:rPr>
          <w:rFonts w:ascii="Arial"/>
          <w:i/>
          <w:spacing w:val="4"/>
        </w:rPr>
        <w:t> </w:t>
      </w:r>
      <w:r>
        <w:rPr>
          <w:rFonts w:ascii="Arial"/>
          <w:i/>
        </w:rPr>
        <w:t>Ltd</w:t>
      </w:r>
      <w:r>
        <w:rPr>
          <w:rFonts w:ascii="Arial"/>
          <w:i/>
          <w:spacing w:val="4"/>
        </w:rPr>
        <w:t> </w:t>
      </w:r>
      <w:r>
        <w:rPr>
          <w:rFonts w:ascii="Arial"/>
          <w:i/>
        </w:rPr>
        <w:t>v</w:t>
      </w:r>
      <w:r>
        <w:rPr>
          <w:rFonts w:ascii="Arial"/>
          <w:i/>
          <w:spacing w:val="4"/>
        </w:rPr>
        <w:t> </w:t>
      </w:r>
      <w:r>
        <w:rPr>
          <w:rFonts w:ascii="Arial"/>
          <w:i/>
        </w:rPr>
        <w:t>Lowick</w:t>
      </w:r>
      <w:r>
        <w:rPr>
          <w:rFonts w:ascii="Arial"/>
          <w:i/>
          <w:spacing w:val="4"/>
        </w:rPr>
        <w:t> </w:t>
      </w:r>
      <w:r>
        <w:rPr>
          <w:rFonts w:ascii="Arial"/>
          <w:i/>
        </w:rPr>
        <w:t>Rose</w:t>
      </w:r>
      <w:r>
        <w:rPr>
          <w:rFonts w:ascii="Arial"/>
          <w:i/>
          <w:spacing w:val="4"/>
        </w:rPr>
        <w:t> </w:t>
      </w:r>
      <w:r>
        <w:rPr>
          <w:rFonts w:ascii="Arial"/>
          <w:i/>
        </w:rPr>
        <w:t>LLP</w:t>
      </w:r>
      <w:r>
        <w:rPr>
          <w:rFonts w:ascii="Arial"/>
          <w:i/>
          <w:spacing w:val="4"/>
        </w:rPr>
        <w:t> </w:t>
      </w:r>
      <w:r>
        <w:rPr>
          <w:rFonts w:ascii="Arial"/>
          <w:i/>
        </w:rPr>
        <w:t>[2017]</w:t>
      </w:r>
      <w:r>
        <w:rPr>
          <w:rFonts w:ascii="Arial"/>
          <w:i/>
          <w:spacing w:val="4"/>
        </w:rPr>
        <w:t> </w:t>
      </w:r>
      <w:r>
        <w:rPr>
          <w:rFonts w:ascii="Arial"/>
          <w:i/>
        </w:rPr>
        <w:t>UKSC</w:t>
      </w:r>
      <w:r>
        <w:rPr>
          <w:rFonts w:ascii="Arial"/>
          <w:i/>
          <w:spacing w:val="4"/>
        </w:rPr>
        <w:t> </w:t>
      </w:r>
      <w:r>
        <w:rPr>
          <w:rFonts w:ascii="Arial"/>
          <w:i/>
        </w:rPr>
        <w:t>32,</w:t>
      </w:r>
      <w:r>
        <w:rPr>
          <w:rFonts w:ascii="Arial"/>
          <w:i/>
          <w:spacing w:val="4"/>
        </w:rPr>
        <w:t> </w:t>
      </w:r>
      <w:r>
        <w:rPr>
          <w:rFonts w:ascii="Arial"/>
          <w:i/>
        </w:rPr>
        <w:t>[2017]</w:t>
      </w:r>
      <w:r>
        <w:rPr>
          <w:rFonts w:ascii="Arial"/>
          <w:i/>
          <w:spacing w:val="4"/>
        </w:rPr>
        <w:t> </w:t>
      </w:r>
      <w:r>
        <w:rPr>
          <w:rFonts w:ascii="Arial"/>
          <w:i/>
          <w:spacing w:val="-10"/>
        </w:rPr>
        <w:t>2</w:t>
      </w:r>
    </w:p>
    <w:p>
      <w:pPr>
        <w:pStyle w:val="BodyText"/>
        <w:spacing w:line="235" w:lineRule="auto"/>
        <w:ind w:left="165" w:right="167"/>
        <w:jc w:val="both"/>
      </w:pPr>
      <w:r>
        <w:rPr/>
        <w:drawing>
          <wp:anchor distT="0" distB="0" distL="0" distR="0" allowOverlap="1" layoutInCell="1" locked="0" behindDoc="0" simplePos="0" relativeHeight="15761920">
            <wp:simplePos x="0" y="0"/>
            <wp:positionH relativeFrom="page">
              <wp:posOffset>1257846</wp:posOffset>
            </wp:positionH>
            <wp:positionV relativeFrom="paragraph">
              <wp:posOffset>-403587</wp:posOffset>
            </wp:positionV>
            <wp:extent cx="107988" cy="107988"/>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rPr>
        <w:t>W.L.R. 1161 </w:t>
      </w:r>
      <w:r>
        <w:rPr/>
        <w:t>(see further para.18-057, text after n.359a, below). Lord Neuberger in that </w:t>
      </w:r>
      <w:r>
        <w:rPr/>
        <w:t>case described some of these exceptions (in particular those discussed in Main Work, paras 18-052 to 18-069) as “anomalous” (a word that perhaps carries a note of disapproval); and it is interesting to note that neither he nor any other member of the Supreme Court in that case made any reference to the judicial criticisms of the general rule discussed in Main Work, para.18-053, perhaps because these criticisms were not drawn to the attention of the Supreme Court in the </w:t>
      </w:r>
      <w:r>
        <w:rPr>
          <w:rFonts w:ascii="Arial" w:hAnsi="Arial"/>
          <w:i/>
        </w:rPr>
        <w:t>Swynson </w:t>
      </w:r>
      <w:r>
        <w:rPr/>
        <w:t>case.</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2"/>
      </w:pPr>
    </w:p>
    <w:p>
      <w:pPr>
        <w:tabs>
          <w:tab w:pos="705" w:val="left" w:leader="none"/>
        </w:tabs>
        <w:spacing w:before="0"/>
        <w:ind w:left="165" w:right="0" w:firstLine="0"/>
        <w:jc w:val="left"/>
        <w:rPr>
          <w:sz w:val="20"/>
        </w:rPr>
      </w:pPr>
      <w:bookmarkStart w:name="_bookmark800" w:id="802"/>
      <w:bookmarkEnd w:id="802"/>
      <w:r>
        <w:rPr/>
      </w:r>
      <w:hyperlink w:history="true" w:anchor="_bookmark606">
        <w:r>
          <w:rPr>
            <w:color w:val="005DA1"/>
            <w:spacing w:val="-4"/>
            <w:position w:val="5"/>
            <w:sz w:val="14"/>
            <w:u w:val="single" w:color="005DA1"/>
          </w:rPr>
          <w:t>350</w:t>
        </w:r>
      </w:hyperlink>
      <w:r>
        <w:rPr>
          <w:spacing w:val="-4"/>
          <w:position w:val="5"/>
          <w:sz w:val="14"/>
        </w:rPr>
        <w:t>.</w:t>
      </w:r>
      <w:r>
        <w:rPr>
          <w:position w:val="5"/>
          <w:sz w:val="14"/>
        </w:rPr>
        <w:tab/>
      </w:r>
      <w:r>
        <w:rPr>
          <w:rFonts w:ascii="Arial"/>
          <w:i/>
          <w:sz w:val="20"/>
        </w:rPr>
        <w:t>Hunt v Severs [1994] 2 A.C. 350, </w:t>
      </w:r>
      <w:r>
        <w:rPr>
          <w:rFonts w:ascii="Arial"/>
          <w:i/>
          <w:spacing w:val="-4"/>
          <w:sz w:val="20"/>
        </w:rPr>
        <w:t>357</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801" w:id="803"/>
      <w:bookmarkEnd w:id="803"/>
      <w:r>
        <w:rPr/>
      </w:r>
      <w:hyperlink w:history="true" w:anchor="_bookmark607">
        <w:r>
          <w:rPr>
            <w:color w:val="005DA1"/>
            <w:spacing w:val="-4"/>
            <w:position w:val="5"/>
            <w:sz w:val="14"/>
            <w:u w:val="single" w:color="005DA1"/>
          </w:rPr>
          <w:t>351</w:t>
        </w:r>
      </w:hyperlink>
      <w:r>
        <w:rPr>
          <w:spacing w:val="-4"/>
          <w:position w:val="5"/>
          <w:sz w:val="14"/>
        </w:rPr>
        <w:t>.</w:t>
      </w:r>
      <w:r>
        <w:rPr>
          <w:position w:val="5"/>
          <w:sz w:val="14"/>
        </w:rPr>
        <w:tab/>
      </w:r>
      <w:r>
        <w:rPr>
          <w:sz w:val="20"/>
        </w:rPr>
        <w:t>ibid., at </w:t>
      </w:r>
      <w:r>
        <w:rPr>
          <w:spacing w:val="-4"/>
          <w:sz w:val="20"/>
        </w:rPr>
        <w:t>363.</w:t>
      </w:r>
    </w:p>
    <w:p>
      <w:pPr>
        <w:pStyle w:val="BodyText"/>
        <w:spacing w:before="8"/>
      </w:pPr>
    </w:p>
    <w:p>
      <w:pPr>
        <w:spacing w:line="235" w:lineRule="auto" w:before="0"/>
        <w:ind w:left="705" w:right="168" w:hanging="541"/>
        <w:jc w:val="both"/>
        <w:rPr>
          <w:sz w:val="20"/>
        </w:rPr>
      </w:pPr>
      <w:bookmarkStart w:name="_bookmark802" w:id="804"/>
      <w:bookmarkEnd w:id="804"/>
      <w:r>
        <w:rPr/>
      </w:r>
      <w:hyperlink w:history="true" w:anchor="_bookmark608">
        <w:r>
          <w:rPr>
            <w:color w:val="005DA1"/>
            <w:position w:val="5"/>
            <w:sz w:val="14"/>
            <w:u w:val="single" w:color="005DA1"/>
          </w:rPr>
          <w:t>352</w:t>
        </w:r>
      </w:hyperlink>
      <w:r>
        <w:rPr>
          <w:position w:val="5"/>
          <w:sz w:val="14"/>
        </w:rPr>
        <w:t>.</w:t>
      </w:r>
      <w:r>
        <w:rPr>
          <w:spacing w:val="40"/>
          <w:position w:val="5"/>
          <w:sz w:val="14"/>
        </w:rPr>
        <w:t>  </w:t>
      </w:r>
      <w:r>
        <w:rPr>
          <w:rFonts w:ascii="Arial"/>
          <w:i/>
          <w:sz w:val="20"/>
        </w:rPr>
        <w:t>Hughes</w:t>
      </w:r>
      <w:r>
        <w:rPr>
          <w:rFonts w:ascii="Arial"/>
          <w:i/>
          <w:spacing w:val="-1"/>
          <w:sz w:val="20"/>
        </w:rPr>
        <w:t> </w:t>
      </w:r>
      <w:r>
        <w:rPr>
          <w:rFonts w:ascii="Arial"/>
          <w:i/>
          <w:sz w:val="20"/>
        </w:rPr>
        <w:t>v</w:t>
      </w:r>
      <w:r>
        <w:rPr>
          <w:rFonts w:ascii="Arial"/>
          <w:i/>
          <w:spacing w:val="-1"/>
          <w:sz w:val="20"/>
        </w:rPr>
        <w:t> </w:t>
      </w:r>
      <w:r>
        <w:rPr>
          <w:rFonts w:ascii="Arial"/>
          <w:i/>
          <w:sz w:val="20"/>
        </w:rPr>
        <w:t>Lloyd</w:t>
      </w:r>
      <w:r>
        <w:rPr>
          <w:rFonts w:ascii="Arial"/>
          <w:i/>
          <w:spacing w:val="-1"/>
          <w:sz w:val="20"/>
        </w:rPr>
        <w:t> </w:t>
      </w:r>
      <w:r>
        <w:rPr>
          <w:rFonts w:ascii="Arial"/>
          <w:i/>
          <w:sz w:val="20"/>
        </w:rPr>
        <w:t>[2007]</w:t>
      </w:r>
      <w:r>
        <w:rPr>
          <w:rFonts w:ascii="Arial"/>
          <w:i/>
          <w:spacing w:val="-1"/>
          <w:sz w:val="20"/>
        </w:rPr>
        <w:t> </w:t>
      </w:r>
      <w:r>
        <w:rPr>
          <w:rFonts w:ascii="Arial"/>
          <w:i/>
          <w:sz w:val="20"/>
        </w:rPr>
        <w:t>EWHC</w:t>
      </w:r>
      <w:r>
        <w:rPr>
          <w:rFonts w:ascii="Arial"/>
          <w:i/>
          <w:spacing w:val="-1"/>
          <w:sz w:val="20"/>
        </w:rPr>
        <w:t> </w:t>
      </w:r>
      <w:r>
        <w:rPr>
          <w:rFonts w:ascii="Arial"/>
          <w:i/>
          <w:sz w:val="20"/>
        </w:rPr>
        <w:t>3133</w:t>
      </w:r>
      <w:r>
        <w:rPr>
          <w:rFonts w:ascii="Arial"/>
          <w:i/>
          <w:spacing w:val="-1"/>
          <w:sz w:val="20"/>
        </w:rPr>
        <w:t> </w:t>
      </w:r>
      <w:r>
        <w:rPr>
          <w:rFonts w:ascii="Arial"/>
          <w:i/>
          <w:sz w:val="20"/>
        </w:rPr>
        <w:t>(Ch),</w:t>
      </w:r>
      <w:r>
        <w:rPr>
          <w:rFonts w:ascii="Arial"/>
          <w:i/>
          <w:spacing w:val="-1"/>
          <w:sz w:val="20"/>
        </w:rPr>
        <w:t> </w:t>
      </w:r>
      <w:r>
        <w:rPr>
          <w:rFonts w:ascii="Arial"/>
          <w:i/>
          <w:sz w:val="20"/>
        </w:rPr>
        <w:t>[2008]</w:t>
      </w:r>
      <w:r>
        <w:rPr>
          <w:rFonts w:ascii="Arial"/>
          <w:i/>
          <w:spacing w:val="-1"/>
          <w:sz w:val="20"/>
        </w:rPr>
        <w:t> </w:t>
      </w:r>
      <w:r>
        <w:rPr>
          <w:rFonts w:ascii="Arial"/>
          <w:i/>
          <w:sz w:val="20"/>
        </w:rPr>
        <w:t>W.T.L.R.</w:t>
      </w:r>
      <w:r>
        <w:rPr>
          <w:rFonts w:ascii="Arial"/>
          <w:i/>
          <w:spacing w:val="-1"/>
          <w:sz w:val="20"/>
        </w:rPr>
        <w:t> </w:t>
      </w:r>
      <w:r>
        <w:rPr>
          <w:rFonts w:ascii="Arial"/>
          <w:i/>
          <w:sz w:val="20"/>
        </w:rPr>
        <w:t>473</w:t>
      </w:r>
      <w:r>
        <w:rPr>
          <w:sz w:val="20"/>
        </w:rPr>
        <w:t>;</w:t>
      </w:r>
      <w:r>
        <w:rPr>
          <w:spacing w:val="-1"/>
          <w:sz w:val="20"/>
        </w:rPr>
        <w:t> </w:t>
      </w:r>
      <w:r>
        <w:rPr>
          <w:sz w:val="20"/>
        </w:rPr>
        <w:t>and</w:t>
      </w:r>
      <w:r>
        <w:rPr>
          <w:spacing w:val="-1"/>
          <w:sz w:val="20"/>
        </w:rPr>
        <w:t> </w:t>
      </w:r>
      <w:r>
        <w:rPr>
          <w:sz w:val="20"/>
        </w:rPr>
        <w:t>see</w:t>
      </w:r>
      <w:r>
        <w:rPr>
          <w:spacing w:val="-1"/>
          <w:sz w:val="20"/>
        </w:rPr>
        <w:t> </w:t>
      </w:r>
      <w:r>
        <w:rPr>
          <w:sz w:val="20"/>
        </w:rPr>
        <w:t>below,</w:t>
      </w:r>
      <w:r>
        <w:rPr>
          <w:spacing w:val="-1"/>
          <w:sz w:val="20"/>
        </w:rPr>
        <w:t> </w:t>
      </w:r>
      <w:r>
        <w:rPr>
          <w:sz w:val="20"/>
        </w:rPr>
        <w:t>para.18-078.</w:t>
      </w:r>
      <w:r>
        <w:rPr>
          <w:spacing w:val="-1"/>
          <w:sz w:val="20"/>
        </w:rPr>
        <w:t> </w:t>
      </w:r>
      <w:r>
        <w:rPr>
          <w:sz w:val="20"/>
        </w:rPr>
        <w:t>No such damages can be recovered where the voluntary carer is the tortfeasor: </w:t>
      </w:r>
      <w:r>
        <w:rPr>
          <w:rFonts w:ascii="Arial"/>
          <w:i/>
          <w:sz w:val="20"/>
        </w:rPr>
        <w:t>Hunt v Severs [1994] 2 A.C. 350</w:t>
      </w:r>
      <w:r>
        <w:rPr>
          <w:sz w:val="20"/>
        </w:rPr>
        <w:t>; below para.18-078, n.477.</w:t>
      </w:r>
    </w:p>
    <w:p>
      <w:pPr>
        <w:pStyle w:val="BodyText"/>
        <w:spacing w:before="5"/>
      </w:pPr>
    </w:p>
    <w:p>
      <w:pPr>
        <w:pStyle w:val="BodyText"/>
        <w:tabs>
          <w:tab w:pos="705" w:val="left" w:leader="none"/>
        </w:tabs>
        <w:ind w:left="165"/>
      </w:pPr>
      <w:bookmarkStart w:name="_bookmark803" w:id="805"/>
      <w:bookmarkEnd w:id="805"/>
      <w:r>
        <w:rPr/>
      </w:r>
      <w:hyperlink w:history="true" w:anchor="_bookmark609">
        <w:r>
          <w:rPr>
            <w:color w:val="005DA1"/>
            <w:spacing w:val="-4"/>
            <w:position w:val="5"/>
            <w:sz w:val="14"/>
            <w:u w:val="single" w:color="005DA1"/>
          </w:rPr>
          <w:t>353</w:t>
        </w:r>
      </w:hyperlink>
      <w:r>
        <w:rPr>
          <w:spacing w:val="-4"/>
          <w:position w:val="5"/>
          <w:sz w:val="14"/>
        </w:rPr>
        <w:t>.</w:t>
      </w:r>
      <w:r>
        <w:rPr>
          <w:position w:val="5"/>
          <w:sz w:val="14"/>
        </w:rPr>
        <w:tab/>
      </w:r>
      <w:r>
        <w:rPr/>
        <w:t>See further para.18-057, text after n.359a, </w:t>
      </w:r>
      <w:r>
        <w:rPr>
          <w:spacing w:val="-2"/>
        </w:rPr>
        <w:t>below.</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2432">
            <wp:simplePos x="0" y="0"/>
            <wp:positionH relativeFrom="page">
              <wp:posOffset>1257846</wp:posOffset>
            </wp:positionH>
            <wp:positionV relativeFrom="paragraph">
              <wp:posOffset>160507</wp:posOffset>
            </wp:positionV>
            <wp:extent cx="107988" cy="107988"/>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04" w:id="806"/>
      <w:bookmarkEnd w:id="806"/>
      <w:r>
        <w:rPr/>
      </w:r>
      <w:hyperlink w:history="true" w:anchor="_bookmark610">
        <w:r>
          <w:rPr>
            <w:color w:val="005DA1"/>
            <w:spacing w:val="-4"/>
            <w:sz w:val="14"/>
            <w:u w:val="single" w:color="005DA1"/>
          </w:rPr>
          <w:t>354</w:t>
        </w:r>
      </w:hyperlink>
      <w:r>
        <w:rPr>
          <w:spacing w:val="-4"/>
          <w:sz w:val="14"/>
        </w:rPr>
        <w:t>.</w:t>
      </w:r>
    </w:p>
    <w:p>
      <w:pPr>
        <w:pStyle w:val="BodyText"/>
        <w:spacing w:line="235" w:lineRule="auto" w:before="212"/>
        <w:ind w:left="165" w:right="167" w:firstLine="170"/>
        <w:jc w:val="both"/>
      </w:pPr>
      <w:r>
        <w:rPr/>
        <w:br w:type="column"/>
      </w:r>
      <w:r>
        <w:rPr>
          <w:rFonts w:ascii="Arial" w:hAnsi="Arial"/>
          <w:i/>
        </w:rPr>
        <w:t>[1994] 1 A.C. 85</w:t>
      </w:r>
      <w:r>
        <w:rPr/>
        <w:t>. The discussion in paras 18-055 to 18-064 of the Main Work, Vol.I, is directly concerned only with the extension of the reasoning of the “</w:t>
      </w:r>
      <w:r>
        <w:rPr>
          <w:spacing w:val="-14"/>
        </w:rPr>
        <w:t> </w:t>
      </w:r>
      <w:r>
        <w:rPr>
          <w:rFonts w:ascii="Arial" w:hAnsi="Arial"/>
          <w:i/>
        </w:rPr>
        <w:t>Albazero </w:t>
      </w:r>
      <w:r>
        <w:rPr/>
        <w:t>exception” (Main Work, para.18-054) to </w:t>
      </w:r>
      <w:r>
        <w:rPr>
          <w:rFonts w:ascii="Arial" w:hAnsi="Arial"/>
          <w:i/>
        </w:rPr>
        <w:t>building </w:t>
      </w:r>
      <w:r>
        <w:rPr/>
        <w:t>contract cases. The view that these cases have extended </w:t>
      </w:r>
      <w:r>
        <w:rPr/>
        <w:t>this exception to “contracts generally” (</w:t>
      </w:r>
      <w:r>
        <w:rPr>
          <w:rFonts w:ascii="Arial" w:hAnsi="Arial"/>
          <w:i/>
        </w:rPr>
        <w:t>Swynson Ltd v Lowick Rose LLP [2017] UKSC 32, [2017] 2 W.L.R. 1161 </w:t>
      </w:r>
      <w:r>
        <w:rPr/>
        <w:t>per Lord Sumption at [15], and see Main Work para.18-057 line 24) does not</w:t>
      </w:r>
      <w:r>
        <w:rPr>
          <w:spacing w:val="40"/>
        </w:rPr>
        <w:t> </w:t>
      </w:r>
      <w:r>
        <w:rPr/>
        <w:t>mean that the (so extended) exceptions necessarily apply to all contracts whatsoever: it is, for example, still an open question whether their reasoning would apply to a contract by which A promised B to pay a sum of money to C, as in the </w:t>
      </w:r>
      <w:r>
        <w:rPr>
          <w:rFonts w:ascii="Arial" w:hAnsi="Arial"/>
          <w:i/>
        </w:rPr>
        <w:t>Woodar case [1980] 1 W.L.R. 277 </w:t>
      </w:r>
      <w:r>
        <w:rPr/>
        <w:t>(Main Work, para.18-052). For the scope of the </w:t>
      </w:r>
      <w:r>
        <w:rPr>
          <w:rFonts w:ascii="Arial" w:hAnsi="Arial"/>
          <w:i/>
        </w:rPr>
        <w:t>Albazero </w:t>
      </w:r>
      <w:r>
        <w:rPr/>
        <w:t>exception in bill of lading contracts, see also Carver on Bills of Lading, 4th ed. (2017) para.5-070.</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2"/>
      </w:pPr>
    </w:p>
    <w:p>
      <w:pPr>
        <w:pStyle w:val="BodyText"/>
        <w:tabs>
          <w:tab w:pos="705" w:val="left" w:leader="none"/>
        </w:tabs>
        <w:spacing w:before="1"/>
        <w:ind w:left="165"/>
      </w:pPr>
      <w:bookmarkStart w:name="_bookmark805" w:id="807"/>
      <w:bookmarkEnd w:id="807"/>
      <w:r>
        <w:rPr/>
      </w:r>
      <w:hyperlink w:history="true" w:anchor="_bookmark611">
        <w:r>
          <w:rPr>
            <w:color w:val="005DA1"/>
            <w:spacing w:val="-4"/>
            <w:position w:val="5"/>
            <w:sz w:val="14"/>
            <w:u w:val="single" w:color="005DA1"/>
          </w:rPr>
          <w:t>355</w:t>
        </w:r>
      </w:hyperlink>
      <w:r>
        <w:rPr>
          <w:spacing w:val="-4"/>
          <w:position w:val="5"/>
          <w:sz w:val="14"/>
        </w:rPr>
        <w:t>.</w:t>
      </w:r>
      <w:r>
        <w:rPr>
          <w:position w:val="5"/>
          <w:sz w:val="14"/>
        </w:rPr>
        <w:tab/>
      </w:r>
      <w:r>
        <w:rPr/>
        <w:t>Below, paras 18-058 to 18-</w:t>
      </w:r>
      <w:r>
        <w:rPr>
          <w:spacing w:val="-4"/>
        </w:rPr>
        <w:t>069.</w:t>
      </w:r>
    </w:p>
    <w:p>
      <w:pPr>
        <w:pStyle w:val="BodyText"/>
        <w:spacing w:before="8"/>
      </w:pPr>
    </w:p>
    <w:p>
      <w:pPr>
        <w:pStyle w:val="BodyText"/>
        <w:tabs>
          <w:tab w:pos="705" w:val="left" w:leader="none"/>
        </w:tabs>
        <w:spacing w:line="235" w:lineRule="auto"/>
        <w:ind w:left="705" w:right="168" w:hanging="541"/>
      </w:pPr>
      <w:bookmarkStart w:name="_bookmark806" w:id="808"/>
      <w:bookmarkEnd w:id="808"/>
      <w:r>
        <w:rPr/>
      </w:r>
      <w:hyperlink w:history="true" w:anchor="_bookmark612">
        <w:r>
          <w:rPr>
            <w:color w:val="005DA1"/>
            <w:spacing w:val="-4"/>
            <w:position w:val="5"/>
            <w:sz w:val="14"/>
            <w:u w:val="single" w:color="005DA1"/>
          </w:rPr>
          <w:t>356</w:t>
        </w:r>
      </w:hyperlink>
      <w:r>
        <w:rPr>
          <w:spacing w:val="-4"/>
          <w:position w:val="5"/>
          <w:sz w:val="14"/>
        </w:rPr>
        <w:t>.</w:t>
      </w:r>
      <w:r>
        <w:rPr>
          <w:position w:val="5"/>
          <w:sz w:val="14"/>
        </w:rPr>
        <w:tab/>
      </w:r>
      <w:r>
        <w:rPr/>
        <w:t>The</w:t>
      </w:r>
      <w:r>
        <w:rPr>
          <w:spacing w:val="34"/>
        </w:rPr>
        <w:t> </w:t>
      </w:r>
      <w:r>
        <w:rPr/>
        <w:t>case</w:t>
      </w:r>
      <w:r>
        <w:rPr>
          <w:spacing w:val="34"/>
        </w:rPr>
        <w:t> </w:t>
      </w:r>
      <w:r>
        <w:rPr/>
        <w:t>is</w:t>
      </w:r>
      <w:r>
        <w:rPr>
          <w:spacing w:val="34"/>
        </w:rPr>
        <w:t> </w:t>
      </w:r>
      <w:r>
        <w:rPr/>
        <w:t>reported</w:t>
      </w:r>
      <w:r>
        <w:rPr>
          <w:spacing w:val="34"/>
        </w:rPr>
        <w:t> </w:t>
      </w:r>
      <w:r>
        <w:rPr/>
        <w:t>on</w:t>
      </w:r>
      <w:r>
        <w:rPr>
          <w:spacing w:val="34"/>
        </w:rPr>
        <w:t> </w:t>
      </w:r>
      <w:r>
        <w:rPr/>
        <w:t>a</w:t>
      </w:r>
      <w:r>
        <w:rPr>
          <w:spacing w:val="34"/>
        </w:rPr>
        <w:t> </w:t>
      </w:r>
      <w:r>
        <w:rPr/>
        <w:t>preliminary</w:t>
      </w:r>
      <w:r>
        <w:rPr>
          <w:spacing w:val="34"/>
        </w:rPr>
        <w:t> </w:t>
      </w:r>
      <w:r>
        <w:rPr/>
        <w:t>issue</w:t>
      </w:r>
      <w:r>
        <w:rPr>
          <w:spacing w:val="34"/>
        </w:rPr>
        <w:t> </w:t>
      </w:r>
      <w:r>
        <w:rPr/>
        <w:t>of</w:t>
      </w:r>
      <w:r>
        <w:rPr>
          <w:spacing w:val="34"/>
        </w:rPr>
        <w:t> </w:t>
      </w:r>
      <w:r>
        <w:rPr/>
        <w:t>law,</w:t>
      </w:r>
      <w:r>
        <w:rPr>
          <w:spacing w:val="34"/>
        </w:rPr>
        <w:t> </w:t>
      </w:r>
      <w:r>
        <w:rPr/>
        <w:t>so</w:t>
      </w:r>
      <w:r>
        <w:rPr>
          <w:spacing w:val="34"/>
        </w:rPr>
        <w:t> </w:t>
      </w:r>
      <w:r>
        <w:rPr/>
        <w:t>that</w:t>
      </w:r>
      <w:r>
        <w:rPr>
          <w:spacing w:val="34"/>
        </w:rPr>
        <w:t> </w:t>
      </w:r>
      <w:r>
        <w:rPr/>
        <w:t>the</w:t>
      </w:r>
      <w:r>
        <w:rPr>
          <w:spacing w:val="34"/>
        </w:rPr>
        <w:t> </w:t>
      </w:r>
      <w:r>
        <w:rPr/>
        <w:t>alleged</w:t>
      </w:r>
      <w:r>
        <w:rPr>
          <w:spacing w:val="34"/>
        </w:rPr>
        <w:t> </w:t>
      </w:r>
      <w:r>
        <w:rPr/>
        <w:t>facts</w:t>
      </w:r>
      <w:r>
        <w:rPr>
          <w:spacing w:val="34"/>
        </w:rPr>
        <w:t> </w:t>
      </w:r>
      <w:r>
        <w:rPr/>
        <w:t>had</w:t>
      </w:r>
      <w:r>
        <w:rPr>
          <w:spacing w:val="34"/>
        </w:rPr>
        <w:t> </w:t>
      </w:r>
      <w:r>
        <w:rPr/>
        <w:t>not</w:t>
      </w:r>
      <w:r>
        <w:rPr>
          <w:spacing w:val="34"/>
        </w:rPr>
        <w:t> </w:t>
      </w:r>
      <w:r>
        <w:rPr/>
        <w:t>been </w:t>
      </w:r>
      <w:r>
        <w:rPr>
          <w:spacing w:val="-2"/>
        </w:rPr>
        <w:t>proved.</w:t>
      </w:r>
    </w:p>
    <w:p>
      <w:pPr>
        <w:pStyle w:val="BodyText"/>
        <w:spacing w:before="6"/>
      </w:pPr>
    </w:p>
    <w:p>
      <w:pPr>
        <w:tabs>
          <w:tab w:pos="705" w:val="left" w:leader="none"/>
        </w:tabs>
        <w:spacing w:before="0"/>
        <w:ind w:left="165" w:right="0" w:firstLine="0"/>
        <w:jc w:val="left"/>
        <w:rPr>
          <w:sz w:val="20"/>
        </w:rPr>
      </w:pPr>
      <w:bookmarkStart w:name="_bookmark807" w:id="809"/>
      <w:bookmarkEnd w:id="809"/>
      <w:r>
        <w:rPr/>
      </w:r>
      <w:hyperlink w:history="true" w:anchor="_bookmark613">
        <w:r>
          <w:rPr>
            <w:color w:val="005DA1"/>
            <w:spacing w:val="-4"/>
            <w:position w:val="5"/>
            <w:sz w:val="14"/>
            <w:u w:val="single" w:color="005DA1"/>
          </w:rPr>
          <w:t>357</w:t>
        </w:r>
      </w:hyperlink>
      <w:r>
        <w:rPr>
          <w:spacing w:val="-4"/>
          <w:position w:val="5"/>
          <w:sz w:val="14"/>
        </w:rPr>
        <w:t>.</w:t>
      </w:r>
      <w:r>
        <w:rPr>
          <w:position w:val="5"/>
          <w:sz w:val="14"/>
        </w:rPr>
        <w:tab/>
      </w:r>
      <w:r>
        <w:rPr>
          <w:sz w:val="20"/>
        </w:rPr>
        <w:t>cf. </w:t>
      </w:r>
      <w:r>
        <w:rPr>
          <w:rFonts w:ascii="Arial"/>
          <w:i/>
          <w:sz w:val="20"/>
        </w:rPr>
        <w:t>IMI Cornelius (UK) v Alan J. Bluor (1993) 57 B.L.R. </w:t>
      </w:r>
      <w:r>
        <w:rPr>
          <w:rFonts w:ascii="Arial"/>
          <w:i/>
          <w:spacing w:val="-4"/>
          <w:sz w:val="20"/>
        </w:rPr>
        <w:t>108</w:t>
      </w:r>
      <w:r>
        <w:rPr>
          <w:spacing w:val="-4"/>
          <w:sz w:val="20"/>
        </w:rPr>
        <w:t>.</w:t>
      </w:r>
    </w:p>
    <w:p>
      <w:pPr>
        <w:pStyle w:val="BodyText"/>
        <w:spacing w:before="5"/>
      </w:pPr>
    </w:p>
    <w:p>
      <w:pPr>
        <w:pStyle w:val="BodyText"/>
        <w:tabs>
          <w:tab w:pos="705" w:val="left" w:leader="none"/>
        </w:tabs>
        <w:ind w:left="165"/>
      </w:pPr>
      <w:bookmarkStart w:name="_bookmark808" w:id="810"/>
      <w:bookmarkEnd w:id="810"/>
      <w:r>
        <w:rPr/>
      </w:r>
      <w:hyperlink w:history="true" w:anchor="_bookmark614">
        <w:r>
          <w:rPr>
            <w:color w:val="005DA1"/>
            <w:spacing w:val="-4"/>
            <w:position w:val="5"/>
            <w:sz w:val="14"/>
            <w:u w:val="single" w:color="005DA1"/>
          </w:rPr>
          <w:t>358</w:t>
        </w:r>
      </w:hyperlink>
      <w:r>
        <w:rPr>
          <w:spacing w:val="-4"/>
          <w:position w:val="5"/>
          <w:sz w:val="14"/>
        </w:rPr>
        <w:t>.</w:t>
      </w:r>
      <w:r>
        <w:rPr>
          <w:position w:val="5"/>
          <w:sz w:val="14"/>
        </w:rPr>
        <w:tab/>
      </w:r>
      <w:r>
        <w:rPr/>
        <w:t>See further para.18-057, text after n.359a, </w:t>
      </w:r>
      <w:r>
        <w:rPr>
          <w:spacing w:val="-2"/>
        </w:rPr>
        <w:t>below.</w:t>
      </w:r>
    </w:p>
    <w:p>
      <w:pPr>
        <w:pStyle w:val="BodyText"/>
        <w:spacing w:before="5"/>
      </w:pPr>
    </w:p>
    <w:p>
      <w:pPr>
        <w:tabs>
          <w:tab w:pos="705" w:val="left" w:leader="none"/>
        </w:tabs>
        <w:spacing w:before="0"/>
        <w:ind w:left="165" w:right="0" w:firstLine="0"/>
        <w:jc w:val="left"/>
        <w:rPr>
          <w:rFonts w:ascii="Arial"/>
          <w:i/>
          <w:sz w:val="20"/>
        </w:rPr>
      </w:pPr>
      <w:bookmarkStart w:name="_bookmark809" w:id="811"/>
      <w:bookmarkEnd w:id="811"/>
      <w:r>
        <w:rPr/>
      </w:r>
      <w:hyperlink w:history="true" w:anchor="_bookmark615">
        <w:r>
          <w:rPr>
            <w:color w:val="005DA1"/>
            <w:spacing w:val="-4"/>
            <w:position w:val="5"/>
            <w:sz w:val="14"/>
            <w:u w:val="single" w:color="005DA1"/>
          </w:rPr>
          <w:t>359</w:t>
        </w:r>
      </w:hyperlink>
      <w:r>
        <w:rPr>
          <w:spacing w:val="-4"/>
          <w:position w:val="5"/>
          <w:sz w:val="14"/>
        </w:rPr>
        <w:t>.</w:t>
      </w:r>
      <w:r>
        <w:rPr>
          <w:position w:val="5"/>
          <w:sz w:val="14"/>
        </w:rPr>
        <w:tab/>
      </w:r>
      <w:r>
        <w:rPr>
          <w:rFonts w:ascii="Arial"/>
          <w:i/>
          <w:sz w:val="20"/>
        </w:rPr>
        <w:t>Linden</w:t>
      </w:r>
      <w:r>
        <w:rPr>
          <w:rFonts w:ascii="Arial"/>
          <w:i/>
          <w:spacing w:val="25"/>
          <w:sz w:val="20"/>
        </w:rPr>
        <w:t> </w:t>
      </w:r>
      <w:r>
        <w:rPr>
          <w:rFonts w:ascii="Arial"/>
          <w:i/>
          <w:sz w:val="20"/>
        </w:rPr>
        <w:t>Gardens</w:t>
      </w:r>
      <w:r>
        <w:rPr>
          <w:rFonts w:ascii="Arial"/>
          <w:i/>
          <w:spacing w:val="25"/>
          <w:sz w:val="20"/>
        </w:rPr>
        <w:t> </w:t>
      </w:r>
      <w:r>
        <w:rPr>
          <w:rFonts w:ascii="Arial"/>
          <w:i/>
          <w:sz w:val="20"/>
        </w:rPr>
        <w:t>case</w:t>
      </w:r>
      <w:r>
        <w:rPr>
          <w:rFonts w:ascii="Arial"/>
          <w:i/>
          <w:spacing w:val="25"/>
          <w:sz w:val="20"/>
        </w:rPr>
        <w:t> </w:t>
      </w:r>
      <w:r>
        <w:rPr>
          <w:rFonts w:ascii="Arial"/>
          <w:i/>
          <w:sz w:val="20"/>
        </w:rPr>
        <w:t>[1994]</w:t>
      </w:r>
      <w:r>
        <w:rPr>
          <w:rFonts w:ascii="Arial"/>
          <w:i/>
          <w:spacing w:val="25"/>
          <w:sz w:val="20"/>
        </w:rPr>
        <w:t> </w:t>
      </w:r>
      <w:r>
        <w:rPr>
          <w:rFonts w:ascii="Arial"/>
          <w:i/>
          <w:sz w:val="20"/>
        </w:rPr>
        <w:t>A.C.</w:t>
      </w:r>
      <w:r>
        <w:rPr>
          <w:rFonts w:ascii="Arial"/>
          <w:i/>
          <w:spacing w:val="25"/>
          <w:sz w:val="20"/>
        </w:rPr>
        <w:t> </w:t>
      </w:r>
      <w:r>
        <w:rPr>
          <w:rFonts w:ascii="Arial"/>
          <w:i/>
          <w:sz w:val="20"/>
        </w:rPr>
        <w:t>85</w:t>
      </w:r>
      <w:r>
        <w:rPr>
          <w:rFonts w:ascii="Arial"/>
          <w:i/>
          <w:spacing w:val="24"/>
          <w:sz w:val="20"/>
        </w:rPr>
        <w:t> </w:t>
      </w:r>
      <w:r>
        <w:rPr>
          <w:sz w:val="20"/>
        </w:rPr>
        <w:t>at</w:t>
      </w:r>
      <w:r>
        <w:rPr>
          <w:spacing w:val="25"/>
          <w:sz w:val="20"/>
        </w:rPr>
        <w:t> </w:t>
      </w:r>
      <w:r>
        <w:rPr>
          <w:sz w:val="20"/>
        </w:rPr>
        <w:t>96-97;</w:t>
      </w:r>
      <w:r>
        <w:rPr>
          <w:spacing w:val="24"/>
          <w:sz w:val="20"/>
        </w:rPr>
        <w:t> </w:t>
      </w:r>
      <w:r>
        <w:rPr>
          <w:rFonts w:ascii="Arial"/>
          <w:i/>
          <w:sz w:val="20"/>
        </w:rPr>
        <w:t>Alfred</w:t>
      </w:r>
      <w:r>
        <w:rPr>
          <w:rFonts w:ascii="Arial"/>
          <w:i/>
          <w:spacing w:val="25"/>
          <w:sz w:val="20"/>
        </w:rPr>
        <w:t> </w:t>
      </w:r>
      <w:r>
        <w:rPr>
          <w:rFonts w:ascii="Arial"/>
          <w:i/>
          <w:sz w:val="20"/>
        </w:rPr>
        <w:t>McAlpine</w:t>
      </w:r>
      <w:r>
        <w:rPr>
          <w:rFonts w:ascii="Arial"/>
          <w:i/>
          <w:spacing w:val="25"/>
          <w:sz w:val="20"/>
        </w:rPr>
        <w:t> </w:t>
      </w:r>
      <w:r>
        <w:rPr>
          <w:rFonts w:ascii="Arial"/>
          <w:i/>
          <w:sz w:val="20"/>
        </w:rPr>
        <w:t>Construction</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pacing w:val="-2"/>
          <w:sz w:val="20"/>
        </w:rPr>
        <w:t>Panatown</w:t>
      </w:r>
    </w:p>
    <w:p>
      <w:pPr>
        <w:spacing w:after="0"/>
        <w:jc w:val="left"/>
        <w:rPr>
          <w:rFonts w:ascii="Arial"/>
          <w:i/>
          <w:sz w:val="20"/>
        </w:rPr>
        <w:sectPr>
          <w:type w:val="continuous"/>
          <w:pgSz w:w="11900" w:h="16840"/>
          <w:pgMar w:header="971" w:footer="0" w:top="1160" w:bottom="280" w:left="1275" w:right="1275"/>
        </w:sectPr>
      </w:pPr>
    </w:p>
    <w:p>
      <w:pPr>
        <w:pStyle w:val="BodyText"/>
        <w:spacing w:before="24"/>
        <w:rPr>
          <w:rFonts w:ascii="Arial"/>
          <w:i/>
        </w:rPr>
      </w:pPr>
    </w:p>
    <w:p>
      <w:pPr>
        <w:pStyle w:val="BodyText"/>
        <w:spacing w:line="235" w:lineRule="auto" w:before="1"/>
        <w:ind w:left="705" w:right="15"/>
      </w:pPr>
      <w:r>
        <w:rPr>
          <w:rFonts w:ascii="Arial"/>
          <w:i/>
        </w:rPr>
        <w:t>Ltd [2001] 1 A.C. 518</w:t>
      </w:r>
      <w:r>
        <w:rPr/>
        <w:t>, e.g. at 532; all the other members of the House of Lords accepted </w:t>
      </w:r>
      <w:r>
        <w:rPr/>
        <w:t>and</w:t>
      </w:r>
      <w:r>
        <w:rPr>
          <w:spacing w:val="40"/>
        </w:rPr>
        <w:t> </w:t>
      </w:r>
      <w:r>
        <w:rPr/>
        <w:t>used this terminology.</w:t>
      </w:r>
    </w:p>
    <w:p>
      <w:pPr>
        <w:pStyle w:val="BodyText"/>
        <w:spacing w:before="9"/>
      </w:pPr>
    </w:p>
    <w:p>
      <w:pPr>
        <w:pStyle w:val="BodyText"/>
        <w:tabs>
          <w:tab w:pos="705" w:val="left" w:leader="none"/>
        </w:tabs>
        <w:spacing w:line="235" w:lineRule="auto"/>
        <w:ind w:left="705" w:right="168" w:hanging="541"/>
      </w:pPr>
      <w:bookmarkStart w:name="_bookmark810" w:id="812"/>
      <w:bookmarkEnd w:id="812"/>
      <w:r>
        <w:rPr/>
      </w:r>
      <w:hyperlink w:history="true" w:anchor="_bookmark616">
        <w:r>
          <w:rPr>
            <w:color w:val="005DA1"/>
            <w:spacing w:val="-4"/>
            <w:position w:val="5"/>
            <w:sz w:val="14"/>
            <w:u w:val="single" w:color="005DA1"/>
          </w:rPr>
          <w:t>360</w:t>
        </w:r>
      </w:hyperlink>
      <w:r>
        <w:rPr>
          <w:spacing w:val="-4"/>
          <w:position w:val="5"/>
          <w:sz w:val="14"/>
        </w:rPr>
        <w:t>.</w:t>
      </w:r>
      <w:r>
        <w:rPr>
          <w:position w:val="5"/>
          <w:sz w:val="14"/>
        </w:rPr>
        <w:tab/>
      </w:r>
      <w:r>
        <w:rPr>
          <w:rFonts w:ascii="Arial"/>
          <w:i/>
        </w:rPr>
        <w:t>[1994]</w:t>
      </w:r>
      <w:r>
        <w:rPr>
          <w:rFonts w:ascii="Arial"/>
          <w:i/>
          <w:spacing w:val="40"/>
        </w:rPr>
        <w:t> </w:t>
      </w:r>
      <w:r>
        <w:rPr>
          <w:rFonts w:ascii="Arial"/>
          <w:i/>
        </w:rPr>
        <w:t>A.C.</w:t>
      </w:r>
      <w:r>
        <w:rPr>
          <w:rFonts w:ascii="Arial"/>
          <w:i/>
          <w:spacing w:val="40"/>
        </w:rPr>
        <w:t> </w:t>
      </w:r>
      <w:r>
        <w:rPr>
          <w:rFonts w:ascii="Arial"/>
          <w:i/>
        </w:rPr>
        <w:t>85,</w:t>
      </w:r>
      <w:r>
        <w:rPr>
          <w:rFonts w:ascii="Arial"/>
          <w:i/>
          <w:spacing w:val="40"/>
        </w:rPr>
        <w:t> </w:t>
      </w:r>
      <w:r>
        <w:rPr>
          <w:rFonts w:ascii="Arial"/>
          <w:i/>
        </w:rPr>
        <w:t>97</w:t>
      </w:r>
      <w:r>
        <w:rPr/>
        <w:t>.</w:t>
      </w:r>
      <w:r>
        <w:rPr>
          <w:spacing w:val="40"/>
        </w:rPr>
        <w:t> </w:t>
      </w:r>
      <w:r>
        <w:rPr/>
        <w:t>In</w:t>
      </w:r>
      <w:r>
        <w:rPr>
          <w:spacing w:val="40"/>
        </w:rPr>
        <w:t> </w:t>
      </w:r>
      <w:r>
        <w:rPr/>
        <w:t>fact</w:t>
      </w:r>
      <w:r>
        <w:rPr>
          <w:spacing w:val="40"/>
        </w:rPr>
        <w:t> </w:t>
      </w:r>
      <w:r>
        <w:rPr/>
        <w:t>the</w:t>
      </w:r>
      <w:r>
        <w:rPr>
          <w:spacing w:val="40"/>
        </w:rPr>
        <w:t> </w:t>
      </w:r>
      <w:r>
        <w:rPr/>
        <w:t>third</w:t>
      </w:r>
      <w:r>
        <w:rPr>
          <w:spacing w:val="40"/>
        </w:rPr>
        <w:t> </w:t>
      </w:r>
      <w:r>
        <w:rPr/>
        <w:t>party</w:t>
      </w:r>
      <w:r>
        <w:rPr>
          <w:spacing w:val="40"/>
        </w:rPr>
        <w:t> </w:t>
      </w:r>
      <w:r>
        <w:rPr/>
        <w:t>had</w:t>
      </w:r>
      <w:r>
        <w:rPr>
          <w:spacing w:val="40"/>
        </w:rPr>
        <w:t> </w:t>
      </w:r>
      <w:r>
        <w:rPr/>
        <w:t>reimbursed</w:t>
      </w:r>
      <w:r>
        <w:rPr>
          <w:spacing w:val="40"/>
        </w:rPr>
        <w:t> </w:t>
      </w:r>
      <w:r>
        <w:rPr/>
        <w:t>the</w:t>
      </w:r>
      <w:r>
        <w:rPr>
          <w:spacing w:val="40"/>
        </w:rPr>
        <w:t> </w:t>
      </w:r>
      <w:r>
        <w:rPr/>
        <w:t>employer</w:t>
      </w:r>
      <w:r>
        <w:rPr>
          <w:spacing w:val="40"/>
        </w:rPr>
        <w:t> </w:t>
      </w:r>
      <w:r>
        <w:rPr/>
        <w:t>in</w:t>
      </w:r>
      <w:r>
        <w:rPr>
          <w:spacing w:val="40"/>
        </w:rPr>
        <w:t> </w:t>
      </w:r>
      <w:r>
        <w:rPr/>
        <w:t>respect</w:t>
      </w:r>
      <w:r>
        <w:rPr>
          <w:spacing w:val="40"/>
        </w:rPr>
        <w:t> </w:t>
      </w:r>
      <w:r>
        <w:rPr/>
        <w:t>of</w:t>
      </w:r>
      <w:r>
        <w:rPr>
          <w:spacing w:val="40"/>
        </w:rPr>
        <w:t> </w:t>
      </w:r>
      <w:r>
        <w:rPr/>
        <w:t>this expenditure: see ibid., at 97; but this did not affect the question of liability.</w:t>
      </w:r>
    </w:p>
    <w:p>
      <w:pPr>
        <w:pStyle w:val="BodyText"/>
        <w:spacing w:before="9"/>
      </w:pPr>
    </w:p>
    <w:p>
      <w:pPr>
        <w:pStyle w:val="BodyText"/>
        <w:spacing w:line="235" w:lineRule="auto"/>
        <w:ind w:left="705" w:right="167" w:hanging="541"/>
        <w:jc w:val="both"/>
      </w:pPr>
      <w:bookmarkStart w:name="_bookmark811" w:id="813"/>
      <w:bookmarkEnd w:id="813"/>
      <w:r>
        <w:rPr/>
      </w:r>
      <w:hyperlink w:history="true" w:anchor="_bookmark617">
        <w:r>
          <w:rPr>
            <w:color w:val="005DA1"/>
            <w:position w:val="5"/>
            <w:sz w:val="14"/>
            <w:u w:val="single" w:color="005DA1"/>
          </w:rPr>
          <w:t>361</w:t>
        </w:r>
      </w:hyperlink>
      <w:r>
        <w:rPr>
          <w:position w:val="5"/>
          <w:sz w:val="14"/>
        </w:rPr>
        <w:t>.</w:t>
      </w:r>
      <w:r>
        <w:rPr>
          <w:spacing w:val="80"/>
          <w:position w:val="5"/>
          <w:sz w:val="14"/>
        </w:rPr>
        <w:t> </w:t>
      </w:r>
      <w:r>
        <w:rPr/>
        <w:t>ibid. This requirement has been doubted on the ground that, in general, the court is “not concerned with what the plaintiff proposes to do with this damages:” </w:t>
      </w:r>
      <w:r>
        <w:rPr>
          <w:rFonts w:ascii="Arial" w:hAnsi="Arial"/>
          <w:i/>
        </w:rPr>
        <w:t>Darlington B.C. v Wiltshier Northern Ltd [1995] 1 W.L.R. 68, 80</w:t>
      </w:r>
      <w:r>
        <w:rPr/>
        <w:t>. But it seems, with respect, that Lord Griffiths’ requirement is concerned, not with the question what the plaintiff proposes to do with the damages, but with the question whether he has suffered any loss. In</w:t>
      </w:r>
      <w:r>
        <w:rPr>
          <w:spacing w:val="-1"/>
        </w:rPr>
        <w:t> </w:t>
      </w:r>
      <w:r>
        <w:rPr>
          <w:rFonts w:ascii="Arial" w:hAnsi="Arial"/>
          <w:i/>
        </w:rPr>
        <w:t>Alfred McAlpine Construction Ltd v </w:t>
      </w:r>
      <w:r>
        <w:rPr>
          <w:rFonts w:ascii="Arial" w:hAnsi="Arial"/>
          <w:i/>
        </w:rPr>
        <w:t>Panatown Ltd</w:t>
      </w:r>
      <w:r>
        <w:rPr>
          <w:rFonts w:ascii="Arial" w:hAnsi="Arial"/>
          <w:i/>
          <w:spacing w:val="-2"/>
        </w:rPr>
        <w:t> </w:t>
      </w:r>
      <w:r>
        <w:rPr>
          <w:rFonts w:ascii="Arial" w:hAnsi="Arial"/>
          <w:i/>
        </w:rPr>
        <w:t>[2001]</w:t>
      </w:r>
      <w:r>
        <w:rPr>
          <w:rFonts w:ascii="Arial" w:hAnsi="Arial"/>
          <w:i/>
          <w:spacing w:val="-2"/>
        </w:rPr>
        <w:t> </w:t>
      </w:r>
      <w:r>
        <w:rPr>
          <w:rFonts w:ascii="Arial" w:hAnsi="Arial"/>
          <w:i/>
        </w:rPr>
        <w:t>1</w:t>
      </w:r>
      <w:r>
        <w:rPr>
          <w:rFonts w:ascii="Arial" w:hAnsi="Arial"/>
          <w:i/>
          <w:spacing w:val="-2"/>
        </w:rPr>
        <w:t> </w:t>
      </w:r>
      <w:r>
        <w:rPr>
          <w:rFonts w:ascii="Arial" w:hAnsi="Arial"/>
          <w:i/>
        </w:rPr>
        <w:t>A.C.</w:t>
      </w:r>
      <w:r>
        <w:rPr>
          <w:rFonts w:ascii="Arial" w:hAnsi="Arial"/>
          <w:i/>
          <w:spacing w:val="-2"/>
        </w:rPr>
        <w:t> </w:t>
      </w:r>
      <w:r>
        <w:rPr>
          <w:rFonts w:ascii="Arial" w:hAnsi="Arial"/>
          <w:i/>
        </w:rPr>
        <w:t>518</w:t>
      </w:r>
      <w:r>
        <w:rPr>
          <w:rFonts w:ascii="Arial" w:hAnsi="Arial"/>
          <w:i/>
          <w:spacing w:val="-2"/>
        </w:rPr>
        <w:t> </w:t>
      </w:r>
      <w:r>
        <w:rPr/>
        <w:t>at</w:t>
      </w:r>
      <w:r>
        <w:rPr>
          <w:spacing w:val="-2"/>
        </w:rPr>
        <w:t> </w:t>
      </w:r>
      <w:r>
        <w:rPr/>
        <w:t>592</w:t>
      </w:r>
      <w:r>
        <w:rPr>
          <w:spacing w:val="-2"/>
        </w:rPr>
        <w:t> </w:t>
      </w:r>
      <w:r>
        <w:rPr/>
        <w:t>Lord</w:t>
      </w:r>
      <w:r>
        <w:rPr>
          <w:spacing w:val="-2"/>
        </w:rPr>
        <w:t> </w:t>
      </w:r>
      <w:r>
        <w:rPr/>
        <w:t>Millett</w:t>
      </w:r>
      <w:r>
        <w:rPr>
          <w:spacing w:val="-2"/>
        </w:rPr>
        <w:t> </w:t>
      </w:r>
      <w:r>
        <w:rPr/>
        <w:t>(dissenting)</w:t>
      </w:r>
      <w:r>
        <w:rPr>
          <w:spacing w:val="-2"/>
        </w:rPr>
        <w:t> </w:t>
      </w:r>
      <w:r>
        <w:rPr/>
        <w:t>rejects</w:t>
      </w:r>
      <w:r>
        <w:rPr>
          <w:spacing w:val="-2"/>
        </w:rPr>
        <w:t> </w:t>
      </w:r>
      <w:r>
        <w:rPr/>
        <w:t>the</w:t>
      </w:r>
      <w:r>
        <w:rPr>
          <w:spacing w:val="-2"/>
        </w:rPr>
        <w:t> </w:t>
      </w:r>
      <w:r>
        <w:rPr/>
        <w:t>above</w:t>
      </w:r>
      <w:r>
        <w:rPr>
          <w:spacing w:val="-2"/>
        </w:rPr>
        <w:t> </w:t>
      </w:r>
      <w:r>
        <w:rPr/>
        <w:t>reasoning,</w:t>
      </w:r>
      <w:r>
        <w:rPr>
          <w:spacing w:val="-2"/>
        </w:rPr>
        <w:t> </w:t>
      </w:r>
      <w:r>
        <w:rPr/>
        <w:t>apparently</w:t>
      </w:r>
      <w:r>
        <w:rPr>
          <w:spacing w:val="-2"/>
        </w:rPr>
        <w:t> </w:t>
      </w:r>
      <w:r>
        <w:rPr/>
        <w:t>on the ground that the promisee is “bound to mitigate his loss” and “cannot increase it by entering into other arrangements.” But, with respect, the mitigation rules only require the injured party to act reasonably (below, para.26-082) and in cases of the present kind this requirement would, it is submitted, normally be satisfied where he made alternative provision to secure for the third party the benefit which the promisor has, in breach of the contract, failed to provide.</w:t>
      </w:r>
    </w:p>
    <w:p>
      <w:pPr>
        <w:pStyle w:val="BodyText"/>
        <w:spacing w:before="2"/>
      </w:pPr>
    </w:p>
    <w:p>
      <w:pPr>
        <w:tabs>
          <w:tab w:pos="705" w:val="left" w:leader="none"/>
        </w:tabs>
        <w:spacing w:before="0"/>
        <w:ind w:left="165" w:right="0" w:firstLine="0"/>
        <w:jc w:val="left"/>
        <w:rPr>
          <w:sz w:val="20"/>
        </w:rPr>
      </w:pPr>
      <w:bookmarkStart w:name="_bookmark812" w:id="814"/>
      <w:bookmarkEnd w:id="814"/>
      <w:r>
        <w:rPr/>
      </w:r>
      <w:hyperlink w:history="true" w:anchor="_bookmark618">
        <w:r>
          <w:rPr>
            <w:color w:val="005DA1"/>
            <w:spacing w:val="-4"/>
            <w:position w:val="5"/>
            <w:sz w:val="14"/>
            <w:u w:val="single" w:color="005DA1"/>
          </w:rPr>
          <w:t>362</w:t>
        </w:r>
      </w:hyperlink>
      <w:r>
        <w:rPr>
          <w:spacing w:val="-4"/>
          <w:position w:val="5"/>
          <w:sz w:val="14"/>
        </w:rPr>
        <w:t>.</w:t>
      </w:r>
      <w:r>
        <w:rPr>
          <w:position w:val="5"/>
          <w:sz w:val="14"/>
        </w:rPr>
        <w:tab/>
      </w:r>
      <w:r>
        <w:rPr>
          <w:rFonts w:ascii="Arial"/>
          <w:i/>
          <w:sz w:val="20"/>
        </w:rPr>
        <w:t>[1968] A.C. </w:t>
      </w:r>
      <w:r>
        <w:rPr>
          <w:rFonts w:ascii="Arial"/>
          <w:i/>
          <w:spacing w:val="-5"/>
          <w:sz w:val="20"/>
        </w:rPr>
        <w:t>58</w:t>
      </w:r>
      <w:r>
        <w:rPr>
          <w:spacing w:val="-5"/>
          <w:sz w:val="20"/>
        </w:rPr>
        <w:t>.</w:t>
      </w:r>
    </w:p>
    <w:p>
      <w:pPr>
        <w:pStyle w:val="BodyText"/>
        <w:spacing w:before="5"/>
      </w:pPr>
    </w:p>
    <w:p>
      <w:pPr>
        <w:pStyle w:val="BodyText"/>
        <w:tabs>
          <w:tab w:pos="705" w:val="left" w:leader="none"/>
        </w:tabs>
        <w:ind w:left="165"/>
      </w:pPr>
      <w:bookmarkStart w:name="_bookmark813" w:id="815"/>
      <w:bookmarkEnd w:id="815"/>
      <w:r>
        <w:rPr/>
      </w:r>
      <w:hyperlink w:history="true" w:anchor="_bookmark619">
        <w:r>
          <w:rPr>
            <w:color w:val="005DA1"/>
            <w:spacing w:val="-4"/>
            <w:position w:val="5"/>
            <w:sz w:val="14"/>
            <w:u w:val="single" w:color="005DA1"/>
          </w:rPr>
          <w:t>363</w:t>
        </w:r>
      </w:hyperlink>
      <w:r>
        <w:rPr>
          <w:spacing w:val="-4"/>
          <w:position w:val="5"/>
          <w:sz w:val="14"/>
        </w:rPr>
        <w:t>.</w:t>
      </w:r>
      <w:r>
        <w:rPr>
          <w:position w:val="5"/>
          <w:sz w:val="14"/>
        </w:rPr>
        <w:tab/>
      </w:r>
      <w:r>
        <w:rPr/>
        <w:t>ibid., at 102; above para.18-</w:t>
      </w:r>
      <w:r>
        <w:rPr>
          <w:spacing w:val="-4"/>
        </w:rPr>
        <w:t>049.</w:t>
      </w:r>
    </w:p>
    <w:p>
      <w:pPr>
        <w:pStyle w:val="BodyText"/>
        <w:spacing w:before="5"/>
      </w:pPr>
    </w:p>
    <w:p>
      <w:pPr>
        <w:pStyle w:val="BodyText"/>
        <w:tabs>
          <w:tab w:pos="705" w:val="left" w:leader="none"/>
        </w:tabs>
        <w:ind w:left="165"/>
      </w:pPr>
      <w:bookmarkStart w:name="_bookmark814" w:id="816"/>
      <w:bookmarkEnd w:id="816"/>
      <w:r>
        <w:rPr/>
      </w:r>
      <w:hyperlink w:history="true" w:anchor="_bookmark620">
        <w:r>
          <w:rPr>
            <w:color w:val="005DA1"/>
            <w:spacing w:val="-4"/>
            <w:position w:val="5"/>
            <w:sz w:val="14"/>
            <w:u w:val="single" w:color="005DA1"/>
          </w:rPr>
          <w:t>364</w:t>
        </w:r>
      </w:hyperlink>
      <w:r>
        <w:rPr>
          <w:spacing w:val="-4"/>
          <w:position w:val="5"/>
          <w:sz w:val="14"/>
        </w:rPr>
        <w:t>.</w:t>
      </w:r>
      <w:r>
        <w:rPr>
          <w:position w:val="5"/>
          <w:sz w:val="14"/>
        </w:rPr>
        <w:tab/>
      </w:r>
      <w:r>
        <w:rPr/>
        <w:t>See further para.18-057, text after n.359a, </w:t>
      </w:r>
      <w:r>
        <w:rPr>
          <w:spacing w:val="-2"/>
        </w:rPr>
        <w:t>below.</w:t>
      </w:r>
    </w:p>
    <w:p>
      <w:pPr>
        <w:pStyle w:val="BodyText"/>
        <w:spacing w:before="5"/>
      </w:pPr>
    </w:p>
    <w:p>
      <w:pPr>
        <w:tabs>
          <w:tab w:pos="705" w:val="left" w:leader="none"/>
        </w:tabs>
        <w:spacing w:before="0"/>
        <w:ind w:left="165" w:right="0" w:firstLine="0"/>
        <w:jc w:val="left"/>
        <w:rPr>
          <w:sz w:val="20"/>
        </w:rPr>
      </w:pPr>
      <w:bookmarkStart w:name="_bookmark815" w:id="817"/>
      <w:bookmarkEnd w:id="817"/>
      <w:r>
        <w:rPr/>
      </w:r>
      <w:hyperlink w:history="true" w:anchor="_bookmark621">
        <w:r>
          <w:rPr>
            <w:color w:val="005DA1"/>
            <w:spacing w:val="-4"/>
            <w:position w:val="5"/>
            <w:sz w:val="14"/>
            <w:u w:val="single" w:color="005DA1"/>
          </w:rPr>
          <w:t>365</w:t>
        </w:r>
      </w:hyperlink>
      <w:r>
        <w:rPr>
          <w:spacing w:val="-4"/>
          <w:position w:val="5"/>
          <w:sz w:val="14"/>
        </w:rPr>
        <w:t>.</w:t>
      </w:r>
      <w:r>
        <w:rPr>
          <w:position w:val="5"/>
          <w:sz w:val="14"/>
        </w:rPr>
        <w:tab/>
      </w:r>
      <w:r>
        <w:rPr>
          <w:rFonts w:ascii="Arial"/>
          <w:i/>
          <w:sz w:val="20"/>
        </w:rPr>
        <w:t>[1994] 1 A.C. 85, </w:t>
      </w:r>
      <w:r>
        <w:rPr>
          <w:rFonts w:ascii="Arial"/>
          <w:i/>
          <w:spacing w:val="-5"/>
          <w:sz w:val="20"/>
        </w:rPr>
        <w:t>95</w:t>
      </w:r>
      <w:r>
        <w:rPr>
          <w:spacing w:val="-5"/>
          <w:sz w:val="20"/>
        </w:rPr>
        <w:t>.</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816" w:id="818"/>
      <w:bookmarkEnd w:id="818"/>
      <w:r>
        <w:rPr/>
      </w:r>
      <w:hyperlink w:history="true" w:anchor="_bookmark621">
        <w:r>
          <w:rPr>
            <w:color w:val="005DA1"/>
            <w:spacing w:val="-4"/>
            <w:sz w:val="14"/>
            <w:u w:val="single" w:color="005DA1"/>
          </w:rPr>
          <w:t>366</w:t>
        </w:r>
      </w:hyperlink>
      <w:r>
        <w:rPr>
          <w:spacing w:val="-4"/>
          <w:sz w:val="14"/>
        </w:rPr>
        <w:t>.</w:t>
      </w:r>
    </w:p>
    <w:p>
      <w:pPr>
        <w:spacing w:line="227" w:lineRule="exact" w:before="208"/>
        <w:ind w:left="335" w:right="0" w:firstLine="0"/>
        <w:jc w:val="left"/>
        <w:rPr>
          <w:rFonts w:ascii="Arial"/>
          <w:i/>
          <w:sz w:val="20"/>
        </w:rPr>
      </w:pPr>
      <w:r>
        <w:rPr/>
        <w:br w:type="column"/>
      </w:r>
      <w:r>
        <w:rPr>
          <w:sz w:val="20"/>
        </w:rPr>
        <w:t>ibid.,</w:t>
      </w:r>
      <w:r>
        <w:rPr>
          <w:spacing w:val="1"/>
          <w:sz w:val="20"/>
        </w:rPr>
        <w:t> </w:t>
      </w:r>
      <w:r>
        <w:rPr>
          <w:sz w:val="20"/>
        </w:rPr>
        <w:t>at</w:t>
      </w:r>
      <w:r>
        <w:rPr>
          <w:spacing w:val="1"/>
          <w:sz w:val="20"/>
        </w:rPr>
        <w:t> </w:t>
      </w:r>
      <w:r>
        <w:rPr>
          <w:sz w:val="20"/>
        </w:rPr>
        <w:t>96.</w:t>
      </w:r>
      <w:r>
        <w:rPr>
          <w:spacing w:val="1"/>
          <w:sz w:val="20"/>
        </w:rPr>
        <w:t> </w:t>
      </w:r>
      <w:r>
        <w:rPr>
          <w:sz w:val="20"/>
        </w:rPr>
        <w:t>See</w:t>
      </w:r>
      <w:r>
        <w:rPr>
          <w:spacing w:val="1"/>
          <w:sz w:val="20"/>
        </w:rPr>
        <w:t> </w:t>
      </w:r>
      <w:r>
        <w:rPr>
          <w:sz w:val="20"/>
        </w:rPr>
        <w:t>also</w:t>
      </w:r>
      <w:r>
        <w:rPr>
          <w:spacing w:val="1"/>
          <w:sz w:val="20"/>
        </w:rPr>
        <w:t> </w:t>
      </w:r>
      <w:r>
        <w:rPr>
          <w:rFonts w:ascii="Arial"/>
          <w:i/>
          <w:sz w:val="20"/>
        </w:rPr>
        <w:t>Swynson</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Lowick</w:t>
      </w:r>
      <w:r>
        <w:rPr>
          <w:rFonts w:ascii="Arial"/>
          <w:i/>
          <w:spacing w:val="1"/>
          <w:sz w:val="20"/>
        </w:rPr>
        <w:t> </w:t>
      </w:r>
      <w:r>
        <w:rPr>
          <w:rFonts w:ascii="Arial"/>
          <w:i/>
          <w:sz w:val="20"/>
        </w:rPr>
        <w:t>Rose</w:t>
      </w:r>
      <w:r>
        <w:rPr>
          <w:rFonts w:ascii="Arial"/>
          <w:i/>
          <w:spacing w:val="1"/>
          <w:sz w:val="20"/>
        </w:rPr>
        <w:t> </w:t>
      </w:r>
      <w:r>
        <w:rPr>
          <w:rFonts w:ascii="Arial"/>
          <w:i/>
          <w:sz w:val="20"/>
        </w:rPr>
        <w:t>LLP</w:t>
      </w:r>
      <w:r>
        <w:rPr>
          <w:rFonts w:ascii="Arial"/>
          <w:i/>
          <w:spacing w:val="1"/>
          <w:sz w:val="20"/>
        </w:rPr>
        <w:t> </w:t>
      </w:r>
      <w:r>
        <w:rPr>
          <w:rFonts w:ascii="Arial"/>
          <w:i/>
          <w:sz w:val="20"/>
        </w:rPr>
        <w:t>[2017]</w:t>
      </w:r>
      <w:r>
        <w:rPr>
          <w:rFonts w:ascii="Arial"/>
          <w:i/>
          <w:spacing w:val="1"/>
          <w:sz w:val="20"/>
        </w:rPr>
        <w:t> </w:t>
      </w:r>
      <w:r>
        <w:rPr>
          <w:rFonts w:ascii="Arial"/>
          <w:i/>
          <w:sz w:val="20"/>
        </w:rPr>
        <w:t>UKSC</w:t>
      </w:r>
      <w:r>
        <w:rPr>
          <w:rFonts w:ascii="Arial"/>
          <w:i/>
          <w:spacing w:val="1"/>
          <w:sz w:val="20"/>
        </w:rPr>
        <w:t> </w:t>
      </w:r>
      <w:r>
        <w:rPr>
          <w:rFonts w:ascii="Arial"/>
          <w:i/>
          <w:sz w:val="20"/>
        </w:rPr>
        <w:t>32,</w:t>
      </w:r>
      <w:r>
        <w:rPr>
          <w:rFonts w:ascii="Arial"/>
          <w:i/>
          <w:spacing w:val="1"/>
          <w:sz w:val="20"/>
        </w:rPr>
        <w:t> </w:t>
      </w:r>
      <w:r>
        <w:rPr>
          <w:rFonts w:ascii="Arial"/>
          <w:i/>
          <w:sz w:val="20"/>
        </w:rPr>
        <w:t>[2017]</w:t>
      </w:r>
      <w:r>
        <w:rPr>
          <w:rFonts w:ascii="Arial"/>
          <w:i/>
          <w:spacing w:val="1"/>
          <w:sz w:val="20"/>
        </w:rPr>
        <w:t> </w:t>
      </w:r>
      <w:r>
        <w:rPr>
          <w:rFonts w:ascii="Arial"/>
          <w:i/>
          <w:sz w:val="20"/>
        </w:rPr>
        <w:t>2</w:t>
      </w:r>
      <w:r>
        <w:rPr>
          <w:rFonts w:ascii="Arial"/>
          <w:i/>
          <w:spacing w:val="1"/>
          <w:sz w:val="20"/>
        </w:rPr>
        <w:t> </w:t>
      </w:r>
      <w:r>
        <w:rPr>
          <w:rFonts w:ascii="Arial"/>
          <w:i/>
          <w:sz w:val="20"/>
        </w:rPr>
        <w:t>W.L.R.</w:t>
      </w:r>
      <w:r>
        <w:rPr>
          <w:rFonts w:ascii="Arial"/>
          <w:i/>
          <w:spacing w:val="1"/>
          <w:sz w:val="20"/>
        </w:rPr>
        <w:t> </w:t>
      </w:r>
      <w:r>
        <w:rPr>
          <w:rFonts w:ascii="Arial"/>
          <w:i/>
          <w:spacing w:val="-4"/>
          <w:sz w:val="20"/>
        </w:rPr>
        <w:t>1161</w:t>
      </w:r>
    </w:p>
    <w:p>
      <w:pPr>
        <w:pStyle w:val="BodyText"/>
        <w:spacing w:line="227" w:lineRule="exact"/>
        <w:ind w:left="165"/>
      </w:pPr>
      <w:r>
        <w:rPr/>
        <w:drawing>
          <wp:anchor distT="0" distB="0" distL="0" distR="0" allowOverlap="1" layoutInCell="1" locked="0" behindDoc="0" simplePos="0" relativeHeight="15762944">
            <wp:simplePos x="0" y="0"/>
            <wp:positionH relativeFrom="page">
              <wp:posOffset>1257846</wp:posOffset>
            </wp:positionH>
            <wp:positionV relativeFrom="paragraph">
              <wp:posOffset>-116054</wp:posOffset>
            </wp:positionV>
            <wp:extent cx="107988" cy="107988"/>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7" cstate="print"/>
                    <a:stretch>
                      <a:fillRect/>
                    </a:stretch>
                  </pic:blipFill>
                  <pic:spPr>
                    <a:xfrm>
                      <a:off x="0" y="0"/>
                      <a:ext cx="107988" cy="107988"/>
                    </a:xfrm>
                    <a:prstGeom prst="rect">
                      <a:avLst/>
                    </a:prstGeom>
                  </pic:spPr>
                </pic:pic>
              </a:graphicData>
            </a:graphic>
          </wp:anchor>
        </w:drawing>
      </w:r>
      <w:r>
        <w:rPr/>
        <w:t>at [17], quoted below, para.18-057 at </w:t>
      </w:r>
      <w:r>
        <w:rPr>
          <w:spacing w:val="-2"/>
        </w:rPr>
        <w:t>n.359l.</w:t>
      </w:r>
    </w:p>
    <w:p>
      <w:pPr>
        <w:pStyle w:val="BodyText"/>
        <w:spacing w:after="0" w:line="227" w:lineRule="exact"/>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817" w:id="819"/>
      <w:bookmarkEnd w:id="819"/>
      <w:r>
        <w:rPr/>
      </w:r>
      <w:hyperlink w:history="true" w:anchor="_bookmark622">
        <w:r>
          <w:rPr>
            <w:color w:val="005DA1"/>
            <w:spacing w:val="-4"/>
            <w:position w:val="5"/>
            <w:sz w:val="14"/>
            <w:u w:val="single" w:color="005DA1"/>
          </w:rPr>
          <w:t>367</w:t>
        </w:r>
      </w:hyperlink>
      <w:r>
        <w:rPr>
          <w:spacing w:val="-4"/>
          <w:position w:val="5"/>
          <w:sz w:val="14"/>
        </w:rPr>
        <w:t>.</w:t>
      </w:r>
      <w:r>
        <w:rPr>
          <w:position w:val="5"/>
          <w:sz w:val="14"/>
        </w:rPr>
        <w:tab/>
      </w:r>
      <w:r>
        <w:rPr>
          <w:rFonts w:ascii="Arial"/>
          <w:i/>
          <w:sz w:val="20"/>
        </w:rPr>
        <w:t>Alfred McAlpine Construction Ltd v Panatown Ltd [2001] 1 A.C. 518, </w:t>
      </w:r>
      <w:r>
        <w:rPr>
          <w:rFonts w:ascii="Arial"/>
          <w:i/>
          <w:spacing w:val="-4"/>
          <w:sz w:val="20"/>
        </w:rPr>
        <w:t>575</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3456">
            <wp:simplePos x="0" y="0"/>
            <wp:positionH relativeFrom="page">
              <wp:posOffset>1257846</wp:posOffset>
            </wp:positionH>
            <wp:positionV relativeFrom="paragraph">
              <wp:posOffset>160526</wp:posOffset>
            </wp:positionV>
            <wp:extent cx="107988" cy="107988"/>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18" w:id="820"/>
      <w:bookmarkEnd w:id="820"/>
      <w:r>
        <w:rPr/>
      </w:r>
      <w:hyperlink w:history="true" w:anchor="_bookmark623">
        <w:r>
          <w:rPr>
            <w:color w:val="005DA1"/>
            <w:spacing w:val="-4"/>
            <w:sz w:val="14"/>
            <w:u w:val="single" w:color="005DA1"/>
          </w:rPr>
          <w:t>368</w:t>
        </w:r>
      </w:hyperlink>
      <w:r>
        <w:rPr>
          <w:spacing w:val="-4"/>
          <w:sz w:val="14"/>
        </w:rPr>
        <w:t>.</w:t>
      </w:r>
    </w:p>
    <w:p>
      <w:pPr>
        <w:spacing w:before="209"/>
        <w:ind w:left="335" w:right="0" w:firstLine="0"/>
        <w:jc w:val="left"/>
        <w:rPr>
          <w:rFonts w:ascii="Arial"/>
          <w:i/>
          <w:sz w:val="20"/>
        </w:rPr>
      </w:pPr>
      <w:r>
        <w:rPr/>
        <w:br w:type="column"/>
      </w:r>
      <w:r>
        <w:rPr>
          <w:sz w:val="20"/>
        </w:rPr>
        <w:t>Above,</w:t>
      </w:r>
      <w:r>
        <w:rPr>
          <w:spacing w:val="72"/>
          <w:sz w:val="20"/>
        </w:rPr>
        <w:t> </w:t>
      </w:r>
      <w:r>
        <w:rPr>
          <w:sz w:val="20"/>
        </w:rPr>
        <w:t>para.18-054.</w:t>
      </w:r>
      <w:r>
        <w:rPr>
          <w:spacing w:val="72"/>
          <w:sz w:val="20"/>
        </w:rPr>
        <w:t> </w:t>
      </w:r>
      <w:r>
        <w:rPr>
          <w:sz w:val="20"/>
        </w:rPr>
        <w:t>For</w:t>
      </w:r>
      <w:r>
        <w:rPr>
          <w:spacing w:val="72"/>
          <w:sz w:val="20"/>
        </w:rPr>
        <w:t> </w:t>
      </w:r>
      <w:r>
        <w:rPr>
          <w:sz w:val="20"/>
        </w:rPr>
        <w:t>the</w:t>
      </w:r>
      <w:r>
        <w:rPr>
          <w:spacing w:val="72"/>
          <w:sz w:val="20"/>
        </w:rPr>
        <w:t> </w:t>
      </w:r>
      <w:r>
        <w:rPr>
          <w:sz w:val="20"/>
        </w:rPr>
        <w:t>distinction</w:t>
      </w:r>
      <w:r>
        <w:rPr>
          <w:spacing w:val="72"/>
          <w:sz w:val="20"/>
        </w:rPr>
        <w:t> </w:t>
      </w:r>
      <w:r>
        <w:rPr>
          <w:sz w:val="20"/>
        </w:rPr>
        <w:t>between</w:t>
      </w:r>
      <w:r>
        <w:rPr>
          <w:spacing w:val="72"/>
          <w:sz w:val="20"/>
        </w:rPr>
        <w:t> </w:t>
      </w:r>
      <w:r>
        <w:rPr>
          <w:rFonts w:ascii="Arial"/>
          <w:i/>
          <w:sz w:val="20"/>
        </w:rPr>
        <w:t>Albacruz</w:t>
      </w:r>
      <w:r>
        <w:rPr>
          <w:rFonts w:ascii="Arial"/>
          <w:i/>
          <w:spacing w:val="72"/>
          <w:sz w:val="20"/>
        </w:rPr>
        <w:t> </w:t>
      </w:r>
      <w:r>
        <w:rPr>
          <w:rFonts w:ascii="Arial"/>
          <w:i/>
          <w:sz w:val="20"/>
        </w:rPr>
        <w:t>(Cargo</w:t>
      </w:r>
      <w:r>
        <w:rPr>
          <w:rFonts w:ascii="Arial"/>
          <w:i/>
          <w:spacing w:val="72"/>
          <w:sz w:val="20"/>
        </w:rPr>
        <w:t> </w:t>
      </w:r>
      <w:r>
        <w:rPr>
          <w:rFonts w:ascii="Arial"/>
          <w:i/>
          <w:sz w:val="20"/>
        </w:rPr>
        <w:t>Owners)</w:t>
      </w:r>
      <w:r>
        <w:rPr>
          <w:rFonts w:ascii="Arial"/>
          <w:i/>
          <w:spacing w:val="72"/>
          <w:sz w:val="20"/>
        </w:rPr>
        <w:t> </w:t>
      </w:r>
      <w:r>
        <w:rPr>
          <w:rFonts w:ascii="Arial"/>
          <w:i/>
          <w:sz w:val="20"/>
        </w:rPr>
        <w:t>v</w:t>
      </w:r>
      <w:r>
        <w:rPr>
          <w:rFonts w:ascii="Arial"/>
          <w:i/>
          <w:spacing w:val="72"/>
          <w:sz w:val="20"/>
        </w:rPr>
        <w:t> </w:t>
      </w:r>
      <w:r>
        <w:rPr>
          <w:rFonts w:ascii="Arial"/>
          <w:i/>
          <w:spacing w:val="-2"/>
          <w:sz w:val="20"/>
        </w:rPr>
        <w:t>Albazero</w:t>
      </w:r>
    </w:p>
    <w:p>
      <w:pPr>
        <w:spacing w:after="0"/>
        <w:jc w:val="left"/>
        <w:rPr>
          <w:rFonts w:ascii="Arial"/>
          <w:i/>
          <w:sz w:val="20"/>
        </w:rPr>
        <w:sectPr>
          <w:type w:val="continuous"/>
          <w:pgSz w:w="11900" w:h="16840"/>
          <w:pgMar w:header="971" w:footer="0" w:top="1160" w:bottom="280" w:left="1275" w:right="1275"/>
          <w:cols w:num="2" w:equalWidth="0">
            <w:col w:w="478" w:space="63"/>
            <w:col w:w="8809"/>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569" w:hRule="atLeast"/>
        </w:trPr>
        <w:tc>
          <w:tcPr>
            <w:tcW w:w="457" w:type="dxa"/>
          </w:tcPr>
          <w:p>
            <w:pPr>
              <w:pStyle w:val="TableParagraph"/>
              <w:spacing w:before="0"/>
              <w:ind w:left="0"/>
              <w:rPr>
                <w:rFonts w:ascii="Times New Roman"/>
                <w:sz w:val="18"/>
              </w:rPr>
            </w:pPr>
          </w:p>
        </w:tc>
        <w:tc>
          <w:tcPr>
            <w:tcW w:w="8659" w:type="dxa"/>
          </w:tcPr>
          <w:p>
            <w:pPr>
              <w:pStyle w:val="TableParagraph"/>
              <w:spacing w:line="235" w:lineRule="auto" w:before="0"/>
              <w:rPr>
                <w:sz w:val="20"/>
              </w:rPr>
            </w:pPr>
            <w:r>
              <w:rPr>
                <w:rFonts w:ascii="Arial"/>
                <w:i/>
                <w:sz w:val="20"/>
              </w:rPr>
              <w:t>(Owners) (The Albazero) [1977] A.C. 774 </w:t>
            </w:r>
            <w:r>
              <w:rPr>
                <w:sz w:val="20"/>
              </w:rPr>
              <w:t>and </w:t>
            </w:r>
            <w:r>
              <w:rPr>
                <w:rFonts w:ascii="Arial"/>
                <w:i/>
                <w:sz w:val="20"/>
              </w:rPr>
              <w:t>Titan Europe 2006-3 Plc v Colliers International UK Plc [2015] EWCA Civ 1083, [2016] 1 All E.R. (Comm) 999 </w:t>
            </w:r>
            <w:r>
              <w:rPr>
                <w:sz w:val="20"/>
              </w:rPr>
              <w:t>at [32] see above, para.18-054.</w:t>
            </w:r>
          </w:p>
        </w:tc>
      </w:tr>
      <w:tr>
        <w:trPr>
          <w:trHeight w:val="690" w:hRule="atLeast"/>
        </w:trPr>
        <w:tc>
          <w:tcPr>
            <w:tcW w:w="457" w:type="dxa"/>
          </w:tcPr>
          <w:p>
            <w:pPr>
              <w:pStyle w:val="TableParagraph"/>
              <w:ind w:left="0" w:right="82"/>
              <w:jc w:val="center"/>
              <w:rPr>
                <w:sz w:val="14"/>
              </w:rPr>
            </w:pPr>
            <w:bookmarkStart w:name="_bookmark819" w:id="821"/>
            <w:bookmarkEnd w:id="821"/>
            <w:r>
              <w:rPr/>
            </w:r>
            <w:hyperlink w:history="true" w:anchor="_bookmark624">
              <w:r>
                <w:rPr>
                  <w:color w:val="005DA1"/>
                  <w:spacing w:val="-4"/>
                  <w:sz w:val="14"/>
                  <w:u w:val="single" w:color="005DA1"/>
                </w:rPr>
                <w:t>369</w:t>
              </w:r>
            </w:hyperlink>
            <w:r>
              <w:rPr>
                <w:spacing w:val="-4"/>
                <w:sz w:val="14"/>
              </w:rPr>
              <w:t>.</w:t>
            </w:r>
          </w:p>
        </w:tc>
        <w:tc>
          <w:tcPr>
            <w:tcW w:w="8659" w:type="dxa"/>
          </w:tcPr>
          <w:p>
            <w:pPr>
              <w:pStyle w:val="TableParagraph"/>
              <w:spacing w:line="235" w:lineRule="auto" w:before="118"/>
              <w:rPr>
                <w:sz w:val="20"/>
              </w:rPr>
            </w:pPr>
            <w:r>
              <w:rPr>
                <w:rFonts w:ascii="Arial"/>
                <w:i/>
                <w:sz w:val="20"/>
              </w:rPr>
              <w:t>The</w:t>
            </w:r>
            <w:r>
              <w:rPr>
                <w:rFonts w:ascii="Arial"/>
                <w:i/>
                <w:spacing w:val="27"/>
                <w:sz w:val="20"/>
              </w:rPr>
              <w:t> </w:t>
            </w:r>
            <w:r>
              <w:rPr>
                <w:rFonts w:ascii="Arial"/>
                <w:i/>
                <w:sz w:val="20"/>
              </w:rPr>
              <w:t>Albazero</w:t>
            </w:r>
            <w:r>
              <w:rPr>
                <w:rFonts w:ascii="Arial"/>
                <w:i/>
                <w:spacing w:val="27"/>
                <w:sz w:val="20"/>
              </w:rPr>
              <w:t> </w:t>
            </w:r>
            <w:r>
              <w:rPr>
                <w:rFonts w:ascii="Arial"/>
                <w:i/>
                <w:sz w:val="20"/>
              </w:rPr>
              <w:t>[1977]</w:t>
            </w:r>
            <w:r>
              <w:rPr>
                <w:rFonts w:ascii="Arial"/>
                <w:i/>
                <w:spacing w:val="27"/>
                <w:sz w:val="20"/>
              </w:rPr>
              <w:t> </w:t>
            </w:r>
            <w:r>
              <w:rPr>
                <w:rFonts w:ascii="Arial"/>
                <w:i/>
                <w:sz w:val="20"/>
              </w:rPr>
              <w:t>A.C.</w:t>
            </w:r>
            <w:r>
              <w:rPr>
                <w:rFonts w:ascii="Arial"/>
                <w:i/>
                <w:spacing w:val="27"/>
                <w:sz w:val="20"/>
              </w:rPr>
              <w:t> </w:t>
            </w:r>
            <w:r>
              <w:rPr>
                <w:rFonts w:ascii="Arial"/>
                <w:i/>
                <w:sz w:val="20"/>
              </w:rPr>
              <w:t>774</w:t>
            </w:r>
            <w:r>
              <w:rPr>
                <w:rFonts w:ascii="Arial"/>
                <w:i/>
                <w:spacing w:val="27"/>
                <w:sz w:val="20"/>
              </w:rPr>
              <w:t> </w:t>
            </w:r>
            <w:r>
              <w:rPr>
                <w:sz w:val="20"/>
              </w:rPr>
              <w:t>at</w:t>
            </w:r>
            <w:r>
              <w:rPr>
                <w:spacing w:val="27"/>
                <w:sz w:val="20"/>
              </w:rPr>
              <w:t> </w:t>
            </w:r>
            <w:r>
              <w:rPr>
                <w:sz w:val="20"/>
              </w:rPr>
              <w:t>847;</w:t>
            </w:r>
            <w:r>
              <w:rPr>
                <w:spacing w:val="27"/>
                <w:sz w:val="20"/>
              </w:rPr>
              <w:t> </w:t>
            </w:r>
            <w:r>
              <w:rPr>
                <w:rFonts w:ascii="Arial"/>
                <w:i/>
                <w:sz w:val="20"/>
              </w:rPr>
              <w:t>HSBC</w:t>
            </w:r>
            <w:r>
              <w:rPr>
                <w:rFonts w:ascii="Arial"/>
                <w:i/>
                <w:spacing w:val="27"/>
                <w:sz w:val="20"/>
              </w:rPr>
              <w:t> </w:t>
            </w:r>
            <w:r>
              <w:rPr>
                <w:rFonts w:ascii="Arial"/>
                <w:i/>
                <w:sz w:val="20"/>
              </w:rPr>
              <w:t>Rail</w:t>
            </w:r>
            <w:r>
              <w:rPr>
                <w:rFonts w:ascii="Arial"/>
                <w:i/>
                <w:spacing w:val="27"/>
                <w:sz w:val="20"/>
              </w:rPr>
              <w:t> </w:t>
            </w:r>
            <w:r>
              <w:rPr>
                <w:rFonts w:ascii="Arial"/>
                <w:i/>
                <w:sz w:val="20"/>
              </w:rPr>
              <w:t>(UK)</w:t>
            </w:r>
            <w:r>
              <w:rPr>
                <w:rFonts w:ascii="Arial"/>
                <w:i/>
                <w:spacing w:val="27"/>
                <w:sz w:val="20"/>
              </w:rPr>
              <w:t> </w:t>
            </w:r>
            <w:r>
              <w:rPr>
                <w:rFonts w:ascii="Arial"/>
                <w:i/>
                <w:sz w:val="20"/>
              </w:rPr>
              <w:t>Ltd</w:t>
            </w:r>
            <w:r>
              <w:rPr>
                <w:rFonts w:ascii="Arial"/>
                <w:i/>
                <w:spacing w:val="27"/>
                <w:sz w:val="20"/>
              </w:rPr>
              <w:t> </w:t>
            </w:r>
            <w:r>
              <w:rPr>
                <w:rFonts w:ascii="Arial"/>
                <w:i/>
                <w:sz w:val="20"/>
              </w:rPr>
              <w:t>v</w:t>
            </w:r>
            <w:r>
              <w:rPr>
                <w:rFonts w:ascii="Arial"/>
                <w:i/>
                <w:spacing w:val="27"/>
                <w:sz w:val="20"/>
              </w:rPr>
              <w:t> </w:t>
            </w:r>
            <w:r>
              <w:rPr>
                <w:rFonts w:ascii="Arial"/>
                <w:i/>
                <w:sz w:val="20"/>
              </w:rPr>
              <w:t>Network</w:t>
            </w:r>
            <w:r>
              <w:rPr>
                <w:rFonts w:ascii="Arial"/>
                <w:i/>
                <w:spacing w:val="27"/>
                <w:sz w:val="20"/>
              </w:rPr>
              <w:t> </w:t>
            </w:r>
            <w:r>
              <w:rPr>
                <w:rFonts w:ascii="Arial"/>
                <w:i/>
                <w:sz w:val="20"/>
              </w:rPr>
              <w:t>Rail</w:t>
            </w:r>
            <w:r>
              <w:rPr>
                <w:rFonts w:ascii="Arial"/>
                <w:i/>
                <w:spacing w:val="27"/>
                <w:sz w:val="20"/>
              </w:rPr>
              <w:t> </w:t>
            </w:r>
            <w:r>
              <w:rPr>
                <w:rFonts w:ascii="Arial"/>
                <w:i/>
                <w:sz w:val="20"/>
              </w:rPr>
              <w:t>Infrastructure</w:t>
            </w:r>
            <w:r>
              <w:rPr>
                <w:rFonts w:ascii="Arial"/>
                <w:i/>
                <w:spacing w:val="27"/>
                <w:sz w:val="20"/>
              </w:rPr>
              <w:t> </w:t>
            </w:r>
            <w:r>
              <w:rPr>
                <w:rFonts w:ascii="Arial"/>
                <w:i/>
                <w:sz w:val="20"/>
              </w:rPr>
              <w:t>Ltd [2005] EWCA Civ 1437, [2006] 1 W.L.R. 643 </w:t>
            </w:r>
            <w:r>
              <w:rPr>
                <w:sz w:val="20"/>
              </w:rPr>
              <w:t>at [23].</w:t>
            </w:r>
          </w:p>
        </w:tc>
      </w:tr>
      <w:tr>
        <w:trPr>
          <w:trHeight w:val="465" w:hRule="atLeast"/>
        </w:trPr>
        <w:tc>
          <w:tcPr>
            <w:tcW w:w="457" w:type="dxa"/>
          </w:tcPr>
          <w:p>
            <w:pPr>
              <w:pStyle w:val="TableParagraph"/>
              <w:ind w:left="0" w:right="82"/>
              <w:jc w:val="center"/>
              <w:rPr>
                <w:sz w:val="14"/>
              </w:rPr>
            </w:pPr>
            <w:bookmarkStart w:name="_bookmark820" w:id="822"/>
            <w:bookmarkEnd w:id="822"/>
            <w:r>
              <w:rPr/>
            </w:r>
            <w:hyperlink w:history="true" w:anchor="_bookmark625">
              <w:r>
                <w:rPr>
                  <w:color w:val="005DA1"/>
                  <w:spacing w:val="-4"/>
                  <w:sz w:val="14"/>
                  <w:u w:val="single" w:color="005DA1"/>
                </w:rPr>
                <w:t>370</w:t>
              </w:r>
            </w:hyperlink>
            <w:r>
              <w:rPr>
                <w:spacing w:val="-4"/>
                <w:sz w:val="14"/>
              </w:rPr>
              <w:t>.</w:t>
            </w:r>
          </w:p>
        </w:tc>
        <w:tc>
          <w:tcPr>
            <w:tcW w:w="8659" w:type="dxa"/>
          </w:tcPr>
          <w:p>
            <w:pPr>
              <w:pStyle w:val="TableParagraph"/>
              <w:spacing w:before="114"/>
              <w:rPr>
                <w:sz w:val="20"/>
              </w:rPr>
            </w:pPr>
            <w:r>
              <w:rPr>
                <w:rFonts w:ascii="Arial"/>
                <w:i/>
                <w:sz w:val="20"/>
              </w:rPr>
              <w:t>Linden Gardens case, [1994] 1 A.C. 85, </w:t>
            </w:r>
            <w:r>
              <w:rPr>
                <w:rFonts w:ascii="Arial"/>
                <w:i/>
                <w:spacing w:val="-4"/>
                <w:sz w:val="20"/>
              </w:rPr>
              <w:t>114</w:t>
            </w:r>
            <w:r>
              <w:rPr>
                <w:spacing w:val="-4"/>
                <w:sz w:val="20"/>
              </w:rPr>
              <w:t>.</w:t>
            </w:r>
          </w:p>
        </w:tc>
      </w:tr>
      <w:tr>
        <w:trPr>
          <w:trHeight w:val="344" w:hRule="atLeast"/>
        </w:trPr>
        <w:tc>
          <w:tcPr>
            <w:tcW w:w="457" w:type="dxa"/>
          </w:tcPr>
          <w:p>
            <w:pPr>
              <w:pStyle w:val="TableParagraph"/>
              <w:ind w:left="0" w:right="82"/>
              <w:jc w:val="center"/>
              <w:rPr>
                <w:sz w:val="14"/>
              </w:rPr>
            </w:pPr>
            <w:bookmarkStart w:name="_bookmark821" w:id="823"/>
            <w:bookmarkEnd w:id="823"/>
            <w:r>
              <w:rPr/>
            </w:r>
            <w:hyperlink w:history="true" w:anchor="_bookmark626">
              <w:r>
                <w:rPr>
                  <w:color w:val="005DA1"/>
                  <w:spacing w:val="-4"/>
                  <w:sz w:val="14"/>
                  <w:u w:val="single" w:color="005DA1"/>
                </w:rPr>
                <w:t>371</w:t>
              </w:r>
            </w:hyperlink>
            <w:r>
              <w:rPr>
                <w:spacing w:val="-4"/>
                <w:sz w:val="14"/>
              </w:rPr>
              <w:t>.</w:t>
            </w:r>
          </w:p>
        </w:tc>
        <w:tc>
          <w:tcPr>
            <w:tcW w:w="8659" w:type="dxa"/>
          </w:tcPr>
          <w:p>
            <w:pPr>
              <w:pStyle w:val="TableParagraph"/>
              <w:spacing w:line="210" w:lineRule="exact" w:before="114"/>
              <w:rPr>
                <w:sz w:val="20"/>
              </w:rPr>
            </w:pPr>
            <w:r>
              <w:rPr>
                <w:sz w:val="20"/>
              </w:rPr>
              <w:t>cf. above, para.18-054 at </w:t>
            </w:r>
            <w:r>
              <w:rPr>
                <w:spacing w:val="-2"/>
                <w:sz w:val="20"/>
              </w:rPr>
              <w:t>n.339.</w:t>
            </w:r>
          </w:p>
        </w:tc>
      </w:tr>
    </w:tbl>
    <w:p>
      <w:pPr>
        <w:pStyle w:val="BodyText"/>
        <w:spacing w:before="9"/>
        <w:rPr>
          <w:rFonts w:ascii="Arial"/>
          <w:i/>
          <w:sz w:val="12"/>
        </w:rPr>
      </w:pPr>
    </w:p>
    <w:p>
      <w:pPr>
        <w:pStyle w:val="BodyText"/>
        <w:spacing w:after="0"/>
        <w:rPr>
          <w:rFonts w:ascii="Arial"/>
          <w:i/>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822" w:id="824"/>
      <w:bookmarkEnd w:id="824"/>
      <w:r>
        <w:rPr/>
      </w:r>
      <w:hyperlink w:history="true" w:anchor="_bookmark627">
        <w:r>
          <w:rPr>
            <w:color w:val="005DA1"/>
            <w:spacing w:val="-4"/>
            <w:sz w:val="14"/>
            <w:u w:val="single" w:color="005DA1"/>
          </w:rPr>
          <w:t>372</w:t>
        </w:r>
      </w:hyperlink>
      <w:r>
        <w:rPr>
          <w:spacing w:val="-4"/>
          <w:sz w:val="14"/>
        </w:rPr>
        <w:t>.</w:t>
      </w:r>
    </w:p>
    <w:p>
      <w:pPr>
        <w:pStyle w:val="BodyText"/>
        <w:spacing w:before="208"/>
        <w:ind w:left="335"/>
      </w:pPr>
      <w:r>
        <w:rPr/>
        <w:br w:type="column"/>
      </w:r>
      <w:r>
        <w:rPr/>
        <w:t>Discussed in Main Work, para.18-</w:t>
      </w:r>
      <w:r>
        <w:rPr>
          <w:spacing w:val="-4"/>
        </w:rPr>
        <w:t>055.</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3968">
            <wp:simplePos x="0" y="0"/>
            <wp:positionH relativeFrom="page">
              <wp:posOffset>1257846</wp:posOffset>
            </wp:positionH>
            <wp:positionV relativeFrom="paragraph">
              <wp:posOffset>-211138</wp:posOffset>
            </wp:positionV>
            <wp:extent cx="107988" cy="107988"/>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23" w:id="825"/>
      <w:bookmarkEnd w:id="825"/>
      <w:r>
        <w:rPr/>
      </w:r>
      <w:hyperlink w:history="true" w:anchor="_bookmark628">
        <w:r>
          <w:rPr>
            <w:color w:val="005DA1"/>
            <w:spacing w:val="-4"/>
            <w:sz w:val="14"/>
            <w:u w:val="single" w:color="005DA1"/>
          </w:rPr>
          <w:t>373</w:t>
        </w:r>
      </w:hyperlink>
      <w:r>
        <w:rPr>
          <w:spacing w:val="-4"/>
          <w:sz w:val="14"/>
        </w:rPr>
        <w:t>.</w:t>
      </w:r>
    </w:p>
    <w:p>
      <w:pPr>
        <w:pStyle w:val="BodyText"/>
        <w:spacing w:before="208"/>
        <w:ind w:left="335"/>
      </w:pPr>
      <w:r>
        <w:rPr/>
        <w:br w:type="column"/>
      </w:r>
      <w:r>
        <w:rPr/>
        <w:t>Discussed in Main Work, paras 18-056, 18-</w:t>
      </w:r>
      <w:r>
        <w:rPr>
          <w:spacing w:val="-4"/>
        </w:rPr>
        <w:t>057.</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4480">
            <wp:simplePos x="0" y="0"/>
            <wp:positionH relativeFrom="page">
              <wp:posOffset>1257846</wp:posOffset>
            </wp:positionH>
            <wp:positionV relativeFrom="paragraph">
              <wp:posOffset>-211119</wp:posOffset>
            </wp:positionV>
            <wp:extent cx="107988" cy="107988"/>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24" w:id="826"/>
      <w:bookmarkEnd w:id="826"/>
      <w:r>
        <w:rPr/>
      </w:r>
      <w:hyperlink w:history="true" w:anchor="_bookmark629">
        <w:r>
          <w:rPr>
            <w:color w:val="005DA1"/>
            <w:spacing w:val="-4"/>
            <w:sz w:val="14"/>
            <w:u w:val="single" w:color="005DA1"/>
          </w:rPr>
          <w:t>374</w:t>
        </w:r>
      </w:hyperlink>
      <w:r>
        <w:rPr>
          <w:spacing w:val="-4"/>
          <w:sz w:val="14"/>
        </w:rPr>
        <w:t>.</w:t>
      </w:r>
    </w:p>
    <w:p>
      <w:pPr>
        <w:spacing w:before="208"/>
        <w:ind w:left="335" w:right="0" w:firstLine="0"/>
        <w:jc w:val="left"/>
        <w:rPr>
          <w:sz w:val="20"/>
        </w:rPr>
      </w:pPr>
      <w:r>
        <w:rPr/>
        <w:br w:type="column"/>
      </w:r>
      <w:r>
        <w:rPr>
          <w:rFonts w:ascii="Arial"/>
          <w:i/>
          <w:sz w:val="20"/>
        </w:rPr>
        <w:t>[2017] UKSC 32, [2017] 2 W.L.R. </w:t>
      </w:r>
      <w:r>
        <w:rPr>
          <w:rFonts w:ascii="Arial"/>
          <w:i/>
          <w:spacing w:val="-2"/>
          <w:sz w:val="20"/>
        </w:rPr>
        <w:t>1161</w:t>
      </w:r>
      <w:r>
        <w:rPr>
          <w:spacing w:val="-2"/>
          <w:sz w:val="20"/>
        </w:rPr>
        <w:t>.</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4992">
            <wp:simplePos x="0" y="0"/>
            <wp:positionH relativeFrom="page">
              <wp:posOffset>1257846</wp:posOffset>
            </wp:positionH>
            <wp:positionV relativeFrom="paragraph">
              <wp:posOffset>-211099</wp:posOffset>
            </wp:positionV>
            <wp:extent cx="107988" cy="107988"/>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25" w:id="827"/>
      <w:bookmarkEnd w:id="827"/>
      <w:r>
        <w:rPr/>
      </w:r>
      <w:hyperlink w:history="true" w:anchor="_bookmark630">
        <w:r>
          <w:rPr>
            <w:color w:val="005DA1"/>
            <w:spacing w:val="-4"/>
            <w:sz w:val="14"/>
            <w:u w:val="single" w:color="005DA1"/>
          </w:rPr>
          <w:t>375</w:t>
        </w:r>
      </w:hyperlink>
      <w:r>
        <w:rPr>
          <w:spacing w:val="-4"/>
          <w:sz w:val="14"/>
        </w:rPr>
        <w:t>.</w:t>
      </w:r>
    </w:p>
    <w:p>
      <w:pPr>
        <w:spacing w:before="208"/>
        <w:ind w:left="335" w:right="0" w:firstLine="0"/>
        <w:jc w:val="left"/>
        <w:rPr>
          <w:sz w:val="20"/>
        </w:rPr>
      </w:pPr>
      <w:r>
        <w:rPr/>
        <w:br w:type="column"/>
      </w:r>
      <w:r>
        <w:rPr>
          <w:rFonts w:ascii="Arial"/>
          <w:i/>
          <w:sz w:val="20"/>
        </w:rPr>
        <w:t>[2017] UKSC 32</w:t>
      </w:r>
      <w:r>
        <w:rPr>
          <w:rFonts w:ascii="Arial"/>
          <w:i/>
          <w:spacing w:val="-1"/>
          <w:sz w:val="20"/>
        </w:rPr>
        <w:t> </w:t>
      </w:r>
      <w:r>
        <w:rPr>
          <w:sz w:val="20"/>
        </w:rPr>
        <w:t>at [4], [40], </w:t>
      </w:r>
      <w:r>
        <w:rPr>
          <w:spacing w:val="-2"/>
          <w:sz w:val="20"/>
        </w:rPr>
        <w:t>[92].</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5504">
            <wp:simplePos x="0" y="0"/>
            <wp:positionH relativeFrom="page">
              <wp:posOffset>1257846</wp:posOffset>
            </wp:positionH>
            <wp:positionV relativeFrom="paragraph">
              <wp:posOffset>-211079</wp:posOffset>
            </wp:positionV>
            <wp:extent cx="107988" cy="107988"/>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26" w:id="828"/>
      <w:bookmarkEnd w:id="828"/>
      <w:r>
        <w:rPr/>
      </w:r>
      <w:hyperlink w:history="true" w:anchor="_bookmark631">
        <w:r>
          <w:rPr>
            <w:color w:val="005DA1"/>
            <w:spacing w:val="-4"/>
            <w:sz w:val="14"/>
            <w:u w:val="single" w:color="005DA1"/>
          </w:rPr>
          <w:t>376</w:t>
        </w:r>
      </w:hyperlink>
      <w:r>
        <w:rPr>
          <w:spacing w:val="-4"/>
          <w:sz w:val="14"/>
        </w:rPr>
        <w:t>.</w:t>
      </w:r>
    </w:p>
    <w:p>
      <w:pPr>
        <w:spacing w:before="208"/>
        <w:ind w:left="335" w:right="0" w:firstLine="0"/>
        <w:jc w:val="left"/>
        <w:rPr>
          <w:sz w:val="20"/>
        </w:rPr>
      </w:pPr>
      <w:r>
        <w:rPr/>
        <w:br w:type="column"/>
      </w:r>
      <w:r>
        <w:rPr>
          <w:rFonts w:ascii="Arial"/>
          <w:i/>
          <w:sz w:val="20"/>
        </w:rPr>
        <w:t>[2017] UKSC 32</w:t>
      </w:r>
      <w:r>
        <w:rPr>
          <w:rFonts w:ascii="Arial"/>
          <w:i/>
          <w:spacing w:val="-1"/>
          <w:sz w:val="20"/>
        </w:rPr>
        <w:t> </w:t>
      </w:r>
      <w:r>
        <w:rPr>
          <w:sz w:val="20"/>
        </w:rPr>
        <w:t>at </w:t>
      </w:r>
      <w:r>
        <w:rPr>
          <w:spacing w:val="-4"/>
          <w:sz w:val="20"/>
        </w:rPr>
        <w:t>[4].</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6016">
            <wp:simplePos x="0" y="0"/>
            <wp:positionH relativeFrom="page">
              <wp:posOffset>1257846</wp:posOffset>
            </wp:positionH>
            <wp:positionV relativeFrom="paragraph">
              <wp:posOffset>-211059</wp:posOffset>
            </wp:positionV>
            <wp:extent cx="107988" cy="107988"/>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27" w:id="829"/>
      <w:bookmarkEnd w:id="829"/>
      <w:r>
        <w:rPr/>
      </w:r>
      <w:hyperlink w:history="true" w:anchor="_bookmark632">
        <w:r>
          <w:rPr>
            <w:color w:val="005DA1"/>
            <w:spacing w:val="-4"/>
            <w:sz w:val="14"/>
            <w:u w:val="single" w:color="005DA1"/>
          </w:rPr>
          <w:t>377</w:t>
        </w:r>
      </w:hyperlink>
      <w:r>
        <w:rPr>
          <w:spacing w:val="-4"/>
          <w:sz w:val="14"/>
        </w:rPr>
        <w:t>.</w:t>
      </w:r>
    </w:p>
    <w:p>
      <w:pPr>
        <w:pStyle w:val="BodyText"/>
        <w:spacing w:before="208"/>
        <w:ind w:left="335"/>
      </w:pPr>
      <w:r>
        <w:rPr/>
        <w:br w:type="column"/>
      </w:r>
      <w:r>
        <w:rPr/>
        <w:t>Many other issues were discussed by the Supreme Court: see below, paras 26-099B, 26-</w:t>
      </w:r>
      <w:r>
        <w:rPr>
          <w:spacing w:val="-4"/>
        </w:rPr>
        <w:t>102.</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6528">
            <wp:simplePos x="0" y="0"/>
            <wp:positionH relativeFrom="page">
              <wp:posOffset>1257846</wp:posOffset>
            </wp:positionH>
            <wp:positionV relativeFrom="paragraph">
              <wp:posOffset>-211039</wp:posOffset>
            </wp:positionV>
            <wp:extent cx="107988" cy="107988"/>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7040">
            <wp:simplePos x="0" y="0"/>
            <wp:positionH relativeFrom="page">
              <wp:posOffset>1257846</wp:posOffset>
            </wp:positionH>
            <wp:positionV relativeFrom="paragraph">
              <wp:posOffset>160435</wp:posOffset>
            </wp:positionV>
            <wp:extent cx="107988" cy="107988"/>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28" w:id="830"/>
      <w:bookmarkEnd w:id="830"/>
      <w:r>
        <w:rPr/>
      </w:r>
      <w:hyperlink w:history="true" w:anchor="_bookmark633">
        <w:r>
          <w:rPr>
            <w:color w:val="005DA1"/>
            <w:spacing w:val="-4"/>
            <w:sz w:val="14"/>
            <w:u w:val="single" w:color="005DA1"/>
          </w:rPr>
          <w:t>378</w:t>
        </w:r>
      </w:hyperlink>
      <w:r>
        <w:rPr>
          <w:spacing w:val="-4"/>
          <w:sz w:val="14"/>
        </w:rPr>
        <w:t>.</w:t>
      </w:r>
    </w:p>
    <w:p>
      <w:pPr>
        <w:pStyle w:val="BodyText"/>
        <w:spacing w:before="208"/>
        <w:ind w:left="335"/>
      </w:pPr>
      <w:r>
        <w:rPr/>
        <w:br w:type="column"/>
      </w:r>
      <w:r>
        <w:rPr>
          <w:rFonts w:ascii="Arial" w:hAnsi="Arial"/>
          <w:i/>
        </w:rPr>
        <w:t>[2017]</w:t>
      </w:r>
      <w:r>
        <w:rPr>
          <w:rFonts w:ascii="Arial" w:hAnsi="Arial"/>
          <w:i/>
          <w:spacing w:val="5"/>
        </w:rPr>
        <w:t> </w:t>
      </w:r>
      <w:r>
        <w:rPr>
          <w:rFonts w:ascii="Arial" w:hAnsi="Arial"/>
          <w:i/>
        </w:rPr>
        <w:t>UKSC</w:t>
      </w:r>
      <w:r>
        <w:rPr>
          <w:rFonts w:ascii="Arial" w:hAnsi="Arial"/>
          <w:i/>
          <w:spacing w:val="5"/>
        </w:rPr>
        <w:t> </w:t>
      </w:r>
      <w:r>
        <w:rPr/>
        <w:t>at</w:t>
      </w:r>
      <w:r>
        <w:rPr>
          <w:spacing w:val="5"/>
        </w:rPr>
        <w:t> </w:t>
      </w:r>
      <w:r>
        <w:rPr/>
        <w:t>[14];</w:t>
      </w:r>
      <w:r>
        <w:rPr>
          <w:spacing w:val="5"/>
        </w:rPr>
        <w:t> </w:t>
      </w:r>
      <w:r>
        <w:rPr/>
        <w:t>for</w:t>
      </w:r>
      <w:r>
        <w:rPr>
          <w:spacing w:val="5"/>
        </w:rPr>
        <w:t> </w:t>
      </w:r>
      <w:r>
        <w:rPr/>
        <w:t>the</w:t>
      </w:r>
      <w:r>
        <w:rPr>
          <w:spacing w:val="5"/>
        </w:rPr>
        <w:t> </w:t>
      </w:r>
      <w:r>
        <w:rPr/>
        <w:t>destination</w:t>
      </w:r>
      <w:r>
        <w:rPr>
          <w:spacing w:val="5"/>
        </w:rPr>
        <w:t> </w:t>
      </w:r>
      <w:r>
        <w:rPr/>
        <w:t>of</w:t>
      </w:r>
      <w:r>
        <w:rPr>
          <w:spacing w:val="5"/>
        </w:rPr>
        <w:t> </w:t>
      </w:r>
      <w:r>
        <w:rPr/>
        <w:t>damages</w:t>
      </w:r>
      <w:r>
        <w:rPr>
          <w:spacing w:val="5"/>
        </w:rPr>
        <w:t> </w:t>
      </w:r>
      <w:r>
        <w:rPr/>
        <w:t>so</w:t>
      </w:r>
      <w:r>
        <w:rPr>
          <w:spacing w:val="5"/>
        </w:rPr>
        <w:t> </w:t>
      </w:r>
      <w:r>
        <w:rPr/>
        <w:t>recovered</w:t>
      </w:r>
      <w:r>
        <w:rPr>
          <w:spacing w:val="5"/>
        </w:rPr>
        <w:t> </w:t>
      </w:r>
      <w:r>
        <w:rPr/>
        <w:t>by</w:t>
      </w:r>
      <w:r>
        <w:rPr>
          <w:spacing w:val="5"/>
        </w:rPr>
        <w:t> </w:t>
      </w:r>
      <w:r>
        <w:rPr/>
        <w:t>A</w:t>
      </w:r>
      <w:r>
        <w:rPr>
          <w:spacing w:val="5"/>
        </w:rPr>
        <w:t> </w:t>
      </w:r>
      <w:r>
        <w:rPr/>
        <w:t>in</w:t>
      </w:r>
      <w:r>
        <w:rPr>
          <w:spacing w:val="5"/>
        </w:rPr>
        <w:t> </w:t>
      </w:r>
      <w:r>
        <w:rPr/>
        <w:t>respect</w:t>
      </w:r>
      <w:r>
        <w:rPr>
          <w:spacing w:val="5"/>
        </w:rPr>
        <w:t> </w:t>
      </w:r>
      <w:r>
        <w:rPr/>
        <w:t>of</w:t>
      </w:r>
      <w:r>
        <w:rPr>
          <w:spacing w:val="5"/>
        </w:rPr>
        <w:t> </w:t>
      </w:r>
      <w:r>
        <w:rPr/>
        <w:t>C’s</w:t>
      </w:r>
      <w:r>
        <w:rPr>
          <w:spacing w:val="5"/>
        </w:rPr>
        <w:t> </w:t>
      </w:r>
      <w:r>
        <w:rPr>
          <w:spacing w:val="-2"/>
        </w:rPr>
        <w:t>loss,</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21"/>
      </w:pPr>
    </w:p>
    <w:p>
      <w:pPr>
        <w:pStyle w:val="BodyText"/>
        <w:ind w:left="705"/>
      </w:pPr>
      <w:r>
        <w:rPr/>
        <w:t>see Main Work, para.18-</w:t>
      </w:r>
      <w:r>
        <w:rPr>
          <w:spacing w:val="-4"/>
        </w:rPr>
        <w:t>078.</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829" w:id="831"/>
      <w:bookmarkEnd w:id="831"/>
      <w:r>
        <w:rPr/>
      </w:r>
      <w:hyperlink w:history="true" w:anchor="_bookmark634">
        <w:r>
          <w:rPr>
            <w:color w:val="005DA1"/>
            <w:spacing w:val="-4"/>
            <w:sz w:val="14"/>
            <w:u w:val="single" w:color="005DA1"/>
          </w:rPr>
          <w:t>379</w:t>
        </w:r>
      </w:hyperlink>
      <w:r>
        <w:rPr>
          <w:spacing w:val="-4"/>
          <w:sz w:val="14"/>
        </w:rPr>
        <w:t>.</w:t>
      </w:r>
    </w:p>
    <w:p>
      <w:pPr>
        <w:pStyle w:val="BodyText"/>
        <w:spacing w:before="208"/>
        <w:ind w:left="335"/>
      </w:pPr>
      <w:r>
        <w:rPr/>
        <w:br w:type="column"/>
      </w:r>
      <w:r>
        <w:rPr/>
        <w:t>Above at </w:t>
      </w:r>
      <w:r>
        <w:rPr>
          <w:spacing w:val="-2"/>
        </w:rPr>
        <w:t>n.359a.</w:t>
      </w:r>
    </w:p>
    <w:p>
      <w:pPr>
        <w:pStyle w:val="BodyText"/>
        <w:spacing w:after="0"/>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7552">
            <wp:simplePos x="0" y="0"/>
            <wp:positionH relativeFrom="page">
              <wp:posOffset>1257846</wp:posOffset>
            </wp:positionH>
            <wp:positionV relativeFrom="paragraph">
              <wp:posOffset>-211267</wp:posOffset>
            </wp:positionV>
            <wp:extent cx="107988" cy="107988"/>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8064">
            <wp:simplePos x="0" y="0"/>
            <wp:positionH relativeFrom="page">
              <wp:posOffset>1257846</wp:posOffset>
            </wp:positionH>
            <wp:positionV relativeFrom="paragraph">
              <wp:posOffset>160207</wp:posOffset>
            </wp:positionV>
            <wp:extent cx="107988" cy="107988"/>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30" w:id="832"/>
      <w:bookmarkEnd w:id="832"/>
      <w:r>
        <w:rPr/>
      </w:r>
      <w:hyperlink w:history="true" w:anchor="_bookmark635">
        <w:r>
          <w:rPr>
            <w:color w:val="005DA1"/>
            <w:spacing w:val="-4"/>
            <w:sz w:val="14"/>
            <w:u w:val="single" w:color="005DA1"/>
          </w:rPr>
          <w:t>380</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[2017] UKSC 32 </w:t>
      </w:r>
      <w:r>
        <w:rPr>
          <w:sz w:val="20"/>
        </w:rPr>
        <w:t>at [14], [16], [52], [54], [101]; for an earlier use of the phrase </w:t>
      </w:r>
      <w:r>
        <w:rPr>
          <w:sz w:val="20"/>
        </w:rPr>
        <w:t>“transferred loss” see </w:t>
      </w:r>
      <w:r>
        <w:rPr>
          <w:rFonts w:ascii="Arial" w:hAnsi="Arial"/>
          <w:i/>
          <w:sz w:val="20"/>
        </w:rPr>
        <w:t>Alfred McAlpine Construction Ltd v Panatown Ltd [2001] 1 A.C. 518 </w:t>
      </w:r>
      <w:r>
        <w:rPr>
          <w:sz w:val="20"/>
        </w:rPr>
        <w:t>at 529. The same phrase was also used by Robert Goff L.J. in </w:t>
      </w:r>
      <w:r>
        <w:rPr>
          <w:rFonts w:ascii="Arial" w:hAnsi="Arial"/>
          <w:i/>
          <w:sz w:val="20"/>
        </w:rPr>
        <w:t>Leigh &amp; Sillavan Ltd v Aliakmon Shipping Co Ltd (The Aliakmon) [1985] Q.B. 350, 399</w:t>
      </w:r>
      <w:r>
        <w:rPr>
          <w:sz w:val="20"/>
        </w:rPr>
        <w:t>, in a passage which, when that case reached the House</w:t>
      </w:r>
      <w:r>
        <w:rPr>
          <w:spacing w:val="40"/>
          <w:sz w:val="20"/>
        </w:rPr>
        <w:t> </w:t>
      </w:r>
      <w:r>
        <w:rPr>
          <w:sz w:val="20"/>
        </w:rPr>
        <w:t>of Lords, drew adverse comment from Lord Brandon: see </w:t>
      </w:r>
      <w:r>
        <w:rPr>
          <w:rFonts w:ascii="Arial" w:hAnsi="Arial"/>
          <w:i/>
          <w:sz w:val="20"/>
        </w:rPr>
        <w:t>[1986] A.C. 785 </w:t>
      </w:r>
      <w:r>
        <w:rPr>
          <w:sz w:val="20"/>
        </w:rPr>
        <w:t>at 820. But in </w:t>
      </w:r>
      <w:r>
        <w:rPr>
          <w:rFonts w:ascii="Arial" w:hAnsi="Arial"/>
          <w:i/>
          <w:sz w:val="20"/>
        </w:rPr>
        <w:t>The Aliakmon </w:t>
      </w:r>
      <w:r>
        <w:rPr>
          <w:sz w:val="20"/>
        </w:rPr>
        <w:t>that passage was used in a context different from that which arose in the </w:t>
      </w:r>
      <w:r>
        <w:rPr>
          <w:rFonts w:ascii="Arial" w:hAnsi="Arial"/>
          <w:i/>
          <w:sz w:val="20"/>
        </w:rPr>
        <w:t>Swynson </w:t>
      </w:r>
      <w:r>
        <w:rPr>
          <w:sz w:val="20"/>
        </w:rPr>
        <w:t>case. In </w:t>
      </w:r>
      <w:r>
        <w:rPr>
          <w:rFonts w:ascii="Arial" w:hAnsi="Arial"/>
          <w:i/>
          <w:sz w:val="20"/>
        </w:rPr>
        <w:t>The Aliakmon</w:t>
      </w:r>
      <w:r>
        <w:rPr>
          <w:sz w:val="20"/>
        </w:rPr>
        <w:t>, the question arose whether C was </w:t>
      </w:r>
      <w:r>
        <w:rPr>
          <w:rFonts w:ascii="Arial" w:hAnsi="Arial"/>
          <w:i/>
          <w:sz w:val="20"/>
        </w:rPr>
        <w:t>bound </w:t>
      </w:r>
      <w:r>
        <w:rPr>
          <w:sz w:val="20"/>
        </w:rPr>
        <w:t>by a term of the contract between A and B, while in the </w:t>
      </w:r>
      <w:r>
        <w:rPr>
          <w:rFonts w:ascii="Arial" w:hAnsi="Arial"/>
          <w:i/>
          <w:sz w:val="20"/>
        </w:rPr>
        <w:t>Swynson </w:t>
      </w:r>
      <w:r>
        <w:rPr>
          <w:sz w:val="20"/>
        </w:rPr>
        <w:t>case the question was whether C could, at least indirectly, </w:t>
      </w:r>
      <w:r>
        <w:rPr>
          <w:rFonts w:ascii="Arial" w:hAnsi="Arial"/>
          <w:i/>
          <w:sz w:val="20"/>
        </w:rPr>
        <w:t>benefit </w:t>
      </w:r>
      <w:r>
        <w:rPr>
          <w:sz w:val="20"/>
        </w:rPr>
        <w:t>from a contract between A and B. These two questions raise different issues of</w:t>
      </w:r>
      <w:r>
        <w:rPr>
          <w:spacing w:val="-2"/>
          <w:sz w:val="20"/>
        </w:rPr>
        <w:t> </w:t>
      </w:r>
      <w:r>
        <w:rPr>
          <w:sz w:val="20"/>
        </w:rPr>
        <w:t>policy;</w:t>
      </w:r>
      <w:r>
        <w:rPr>
          <w:spacing w:val="-2"/>
          <w:sz w:val="20"/>
        </w:rPr>
        <w:t> </w:t>
      </w:r>
      <w:r>
        <w:rPr>
          <w:sz w:val="20"/>
        </w:rPr>
        <w:t>and</w:t>
      </w:r>
      <w:r>
        <w:rPr>
          <w:spacing w:val="-2"/>
          <w:sz w:val="20"/>
        </w:rPr>
        <w:t> </w:t>
      </w:r>
      <w:r>
        <w:rPr>
          <w:sz w:val="20"/>
        </w:rPr>
        <w:t>this</w:t>
      </w:r>
      <w:r>
        <w:rPr>
          <w:spacing w:val="-2"/>
          <w:sz w:val="20"/>
        </w:rPr>
        <w:t> </w:t>
      </w:r>
      <w:r>
        <w:rPr>
          <w:sz w:val="20"/>
        </w:rPr>
        <w:t>may</w:t>
      </w:r>
      <w:r>
        <w:rPr>
          <w:spacing w:val="-2"/>
          <w:sz w:val="20"/>
        </w:rPr>
        <w:t> </w:t>
      </w:r>
      <w:r>
        <w:rPr>
          <w:sz w:val="20"/>
        </w:rPr>
        <w:t>well</w:t>
      </w:r>
      <w:r>
        <w:rPr>
          <w:spacing w:val="-2"/>
          <w:sz w:val="20"/>
        </w:rPr>
        <w:t> </w:t>
      </w:r>
      <w:r>
        <w:rPr>
          <w:sz w:val="20"/>
        </w:rPr>
        <w:t>have</w:t>
      </w:r>
      <w:r>
        <w:rPr>
          <w:spacing w:val="-2"/>
          <w:sz w:val="20"/>
        </w:rPr>
        <w:t> </w:t>
      </w:r>
      <w:r>
        <w:rPr>
          <w:sz w:val="20"/>
        </w:rPr>
        <w:t>been</w:t>
      </w:r>
      <w:r>
        <w:rPr>
          <w:spacing w:val="-2"/>
          <w:sz w:val="20"/>
        </w:rPr>
        <w:t> </w:t>
      </w:r>
      <w:r>
        <w:rPr>
          <w:sz w:val="20"/>
        </w:rPr>
        <w:t>the</w:t>
      </w:r>
      <w:r>
        <w:rPr>
          <w:spacing w:val="-2"/>
          <w:sz w:val="20"/>
        </w:rPr>
        <w:t> </w:t>
      </w:r>
      <w:r>
        <w:rPr>
          <w:sz w:val="20"/>
        </w:rPr>
        <w:t>reason</w:t>
      </w:r>
      <w:r>
        <w:rPr>
          <w:spacing w:val="-2"/>
          <w:sz w:val="20"/>
        </w:rPr>
        <w:t> </w:t>
      </w:r>
      <w:r>
        <w:rPr>
          <w:sz w:val="20"/>
        </w:rPr>
        <w:t>why,</w:t>
      </w:r>
      <w:r>
        <w:rPr>
          <w:spacing w:val="-2"/>
          <w:sz w:val="20"/>
        </w:rPr>
        <w:t> </w:t>
      </w:r>
      <w:r>
        <w:rPr>
          <w:sz w:val="20"/>
        </w:rPr>
        <w:t>in</w:t>
      </w:r>
      <w:r>
        <w:rPr>
          <w:spacing w:val="-2"/>
          <w:sz w:val="20"/>
        </w:rPr>
        <w:t> </w:t>
      </w:r>
      <w:r>
        <w:rPr>
          <w:sz w:val="20"/>
        </w:rPr>
        <w:t>the</w:t>
      </w:r>
      <w:r>
        <w:rPr>
          <w:spacing w:val="-3"/>
          <w:sz w:val="20"/>
        </w:rPr>
        <w:t> </w:t>
      </w:r>
      <w:r>
        <w:rPr>
          <w:rFonts w:ascii="Arial" w:hAnsi="Arial"/>
          <w:i/>
          <w:sz w:val="20"/>
        </w:rPr>
        <w:t>Swynson</w:t>
      </w:r>
      <w:r>
        <w:rPr>
          <w:rFonts w:ascii="Arial" w:hAnsi="Arial"/>
          <w:i/>
          <w:spacing w:val="-2"/>
          <w:sz w:val="20"/>
        </w:rPr>
        <w:t> </w:t>
      </w:r>
      <w:r>
        <w:rPr>
          <w:sz w:val="20"/>
        </w:rPr>
        <w:t>case,</w:t>
      </w:r>
      <w:r>
        <w:rPr>
          <w:spacing w:val="-2"/>
          <w:sz w:val="20"/>
        </w:rPr>
        <w:t> </w:t>
      </w:r>
      <w:r>
        <w:rPr>
          <w:rFonts w:ascii="Arial" w:hAnsi="Arial"/>
          <w:i/>
          <w:sz w:val="20"/>
        </w:rPr>
        <w:t>The</w:t>
      </w:r>
      <w:r>
        <w:rPr>
          <w:rFonts w:ascii="Arial" w:hAnsi="Arial"/>
          <w:i/>
          <w:spacing w:val="-2"/>
          <w:sz w:val="20"/>
        </w:rPr>
        <w:t> </w:t>
      </w:r>
      <w:r>
        <w:rPr>
          <w:rFonts w:ascii="Arial" w:hAnsi="Arial"/>
          <w:i/>
          <w:sz w:val="20"/>
        </w:rPr>
        <w:t>Aliakmon</w:t>
      </w:r>
      <w:r>
        <w:rPr>
          <w:rFonts w:ascii="Arial" w:hAnsi="Arial"/>
          <w:i/>
          <w:spacing w:val="-2"/>
          <w:sz w:val="20"/>
        </w:rPr>
        <w:t> </w:t>
      </w:r>
      <w:r>
        <w:rPr>
          <w:sz w:val="20"/>
        </w:rPr>
        <w:t>was not cited to the Supreme Court.</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5"/>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bookmarkStart w:name="_bookmark831" w:id="833"/>
      <w:bookmarkEnd w:id="833"/>
      <w:r>
        <w:rPr/>
      </w:r>
      <w:hyperlink w:history="true" w:anchor="_bookmark636">
        <w:r>
          <w:rPr>
            <w:color w:val="005DA1"/>
            <w:spacing w:val="-4"/>
            <w:sz w:val="14"/>
            <w:u w:val="single" w:color="005DA1"/>
          </w:rPr>
          <w:t>381</w:t>
        </w:r>
      </w:hyperlink>
      <w:r>
        <w:rPr>
          <w:spacing w:val="-4"/>
          <w:sz w:val="14"/>
        </w:rPr>
        <w:t>.</w:t>
      </w:r>
    </w:p>
    <w:p>
      <w:pPr>
        <w:spacing w:before="209"/>
        <w:ind w:left="335" w:right="0" w:firstLine="0"/>
        <w:jc w:val="left"/>
        <w:rPr>
          <w:sz w:val="20"/>
        </w:rPr>
      </w:pPr>
      <w:r>
        <w:rPr/>
        <w:br w:type="column"/>
      </w:r>
      <w:r>
        <w:rPr>
          <w:rFonts w:ascii="Arial"/>
          <w:i/>
          <w:sz w:val="20"/>
        </w:rPr>
        <w:t>[2017] UKSC 32</w:t>
      </w:r>
      <w:r>
        <w:rPr>
          <w:rFonts w:ascii="Arial"/>
          <w:i/>
          <w:spacing w:val="-1"/>
          <w:sz w:val="20"/>
        </w:rPr>
        <w:t> </w:t>
      </w:r>
      <w:r>
        <w:rPr>
          <w:sz w:val="20"/>
        </w:rPr>
        <w:t>at [17], </w:t>
      </w:r>
      <w:r>
        <w:rPr>
          <w:spacing w:val="-2"/>
          <w:sz w:val="20"/>
        </w:rPr>
        <w:t>[107].</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8576">
            <wp:simplePos x="0" y="0"/>
            <wp:positionH relativeFrom="page">
              <wp:posOffset>1257846</wp:posOffset>
            </wp:positionH>
            <wp:positionV relativeFrom="paragraph">
              <wp:posOffset>-210725</wp:posOffset>
            </wp:positionV>
            <wp:extent cx="107988" cy="107988"/>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32" w:id="834"/>
      <w:bookmarkEnd w:id="834"/>
      <w:r>
        <w:rPr/>
      </w:r>
      <w:hyperlink w:history="true" w:anchor="_bookmark637">
        <w:r>
          <w:rPr>
            <w:color w:val="005DA1"/>
            <w:spacing w:val="-4"/>
            <w:sz w:val="14"/>
            <w:u w:val="single" w:color="005DA1"/>
          </w:rPr>
          <w:t>382</w:t>
        </w:r>
      </w:hyperlink>
      <w:r>
        <w:rPr>
          <w:spacing w:val="-4"/>
          <w:sz w:val="14"/>
        </w:rPr>
        <w:t>.</w:t>
      </w:r>
    </w:p>
    <w:p>
      <w:pPr>
        <w:spacing w:before="209"/>
        <w:ind w:left="335" w:right="0" w:firstLine="0"/>
        <w:jc w:val="left"/>
        <w:rPr>
          <w:sz w:val="20"/>
        </w:rPr>
      </w:pPr>
      <w:r>
        <w:rPr/>
        <w:br w:type="column"/>
      </w:r>
      <w:r>
        <w:rPr>
          <w:rFonts w:ascii="Arial"/>
          <w:i/>
          <w:sz w:val="20"/>
        </w:rPr>
        <w:t>[2017] UKSC 32</w:t>
      </w:r>
      <w:r>
        <w:rPr>
          <w:rFonts w:ascii="Arial"/>
          <w:i/>
          <w:spacing w:val="-1"/>
          <w:sz w:val="20"/>
        </w:rPr>
        <w:t> </w:t>
      </w:r>
      <w:r>
        <w:rPr>
          <w:sz w:val="20"/>
        </w:rPr>
        <w:t>at [54], </w:t>
      </w:r>
      <w:r>
        <w:rPr>
          <w:spacing w:val="-2"/>
          <w:sz w:val="20"/>
        </w:rPr>
        <w:t>[107].</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9088">
            <wp:simplePos x="0" y="0"/>
            <wp:positionH relativeFrom="page">
              <wp:posOffset>1257846</wp:posOffset>
            </wp:positionH>
            <wp:positionV relativeFrom="paragraph">
              <wp:posOffset>-210705</wp:posOffset>
            </wp:positionV>
            <wp:extent cx="107988" cy="107988"/>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33" w:id="835"/>
      <w:bookmarkEnd w:id="835"/>
      <w:r>
        <w:rPr/>
      </w:r>
      <w:hyperlink w:history="true" w:anchor="_bookmark638">
        <w:r>
          <w:rPr>
            <w:color w:val="005DA1"/>
            <w:spacing w:val="-4"/>
            <w:sz w:val="14"/>
            <w:u w:val="single" w:color="005DA1"/>
          </w:rPr>
          <w:t>383</w:t>
        </w:r>
      </w:hyperlink>
      <w:r>
        <w:rPr>
          <w:spacing w:val="-4"/>
          <w:sz w:val="14"/>
        </w:rPr>
        <w:t>.</w:t>
      </w:r>
    </w:p>
    <w:p>
      <w:pPr>
        <w:spacing w:before="209"/>
        <w:ind w:left="335" w:right="0" w:firstLine="0"/>
        <w:jc w:val="left"/>
        <w:rPr>
          <w:sz w:val="20"/>
        </w:rPr>
      </w:pPr>
      <w:r>
        <w:rPr/>
        <w:br w:type="column"/>
      </w:r>
      <w:r>
        <w:rPr>
          <w:rFonts w:ascii="Arial"/>
          <w:i/>
          <w:sz w:val="20"/>
        </w:rPr>
        <w:t>[2017] UKSC 32</w:t>
      </w:r>
      <w:r>
        <w:rPr>
          <w:rFonts w:ascii="Arial"/>
          <w:i/>
          <w:spacing w:val="-1"/>
          <w:sz w:val="20"/>
        </w:rPr>
        <w:t> </w:t>
      </w:r>
      <w:r>
        <w:rPr>
          <w:sz w:val="20"/>
        </w:rPr>
        <w:t>at </w:t>
      </w:r>
      <w:r>
        <w:rPr>
          <w:spacing w:val="-2"/>
          <w:sz w:val="20"/>
        </w:rPr>
        <w:t>[17].</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9600">
            <wp:simplePos x="0" y="0"/>
            <wp:positionH relativeFrom="page">
              <wp:posOffset>1257846</wp:posOffset>
            </wp:positionH>
            <wp:positionV relativeFrom="paragraph">
              <wp:posOffset>-211320</wp:posOffset>
            </wp:positionV>
            <wp:extent cx="107988" cy="107988"/>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34" w:id="836"/>
      <w:bookmarkEnd w:id="836"/>
      <w:r>
        <w:rPr/>
      </w:r>
      <w:hyperlink w:history="true" w:anchor="_bookmark639">
        <w:r>
          <w:rPr>
            <w:color w:val="005DA1"/>
            <w:spacing w:val="-4"/>
            <w:sz w:val="14"/>
            <w:u w:val="single" w:color="005DA1"/>
          </w:rPr>
          <w:t>384</w:t>
        </w:r>
      </w:hyperlink>
      <w:r>
        <w:rPr>
          <w:spacing w:val="-4"/>
          <w:sz w:val="14"/>
        </w:rPr>
        <w:t>.</w:t>
      </w:r>
    </w:p>
    <w:p>
      <w:pPr>
        <w:spacing w:before="208"/>
        <w:ind w:left="335" w:right="0" w:firstLine="0"/>
        <w:jc w:val="left"/>
        <w:rPr>
          <w:sz w:val="20"/>
        </w:rPr>
      </w:pPr>
      <w:r>
        <w:rPr/>
        <w:br w:type="column"/>
      </w:r>
      <w:r>
        <w:rPr>
          <w:rFonts w:ascii="Arial"/>
          <w:i/>
          <w:sz w:val="20"/>
        </w:rPr>
        <w:t>[2017] UKSC 32</w:t>
      </w:r>
      <w:r>
        <w:rPr>
          <w:rFonts w:ascii="Arial"/>
          <w:i/>
          <w:spacing w:val="-1"/>
          <w:sz w:val="20"/>
        </w:rPr>
        <w:t> </w:t>
      </w:r>
      <w:r>
        <w:rPr>
          <w:sz w:val="20"/>
        </w:rPr>
        <w:t>at [17] and see at </w:t>
      </w:r>
      <w:r>
        <w:rPr>
          <w:spacing w:val="-2"/>
          <w:sz w:val="20"/>
        </w:rPr>
        <w:t>[108].</w:t>
      </w:r>
    </w:p>
    <w:p>
      <w:pPr>
        <w:spacing w:after="0"/>
        <w:jc w:val="left"/>
        <w:rPr>
          <w:sz w:val="20"/>
        </w:rPr>
        <w:sectPr>
          <w:type w:val="continuous"/>
          <w:pgSz w:w="11900" w:h="16840"/>
          <w:pgMar w:header="971" w:footer="0" w:top="116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0112">
            <wp:simplePos x="0" y="0"/>
            <wp:positionH relativeFrom="page">
              <wp:posOffset>1257846</wp:posOffset>
            </wp:positionH>
            <wp:positionV relativeFrom="paragraph">
              <wp:posOffset>-211300</wp:posOffset>
            </wp:positionV>
            <wp:extent cx="107988" cy="107988"/>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70624">
            <wp:simplePos x="0" y="0"/>
            <wp:positionH relativeFrom="page">
              <wp:posOffset>1257846</wp:posOffset>
            </wp:positionH>
            <wp:positionV relativeFrom="paragraph">
              <wp:posOffset>160174</wp:posOffset>
            </wp:positionV>
            <wp:extent cx="107988" cy="107988"/>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35" w:id="837"/>
      <w:bookmarkEnd w:id="837"/>
      <w:r>
        <w:rPr/>
      </w:r>
      <w:hyperlink w:history="true" w:anchor="_bookmark640">
        <w:r>
          <w:rPr>
            <w:color w:val="005DA1"/>
            <w:spacing w:val="-4"/>
            <w:sz w:val="14"/>
            <w:u w:val="single" w:color="005DA1"/>
          </w:rPr>
          <w:t>385</w:t>
        </w:r>
      </w:hyperlink>
      <w:r>
        <w:rPr>
          <w:spacing w:val="-4"/>
          <w:sz w:val="14"/>
        </w:rPr>
        <w:t>.</w:t>
      </w:r>
    </w:p>
    <w:p>
      <w:pPr>
        <w:pStyle w:val="BodyText"/>
        <w:spacing w:line="235" w:lineRule="auto" w:before="212"/>
        <w:ind w:left="165" w:right="167" w:firstLine="170"/>
        <w:jc w:val="both"/>
      </w:pPr>
      <w:r>
        <w:rPr/>
        <w:br w:type="column"/>
      </w:r>
      <w:r>
        <w:rPr/>
        <w:t>See the use by Lord Sumption in </w:t>
      </w:r>
      <w:r>
        <w:rPr>
          <w:rFonts w:ascii="Arial" w:hAnsi="Arial"/>
          <w:i/>
        </w:rPr>
        <w:t>[2017] UKSC 32 </w:t>
      </w:r>
      <w:r>
        <w:rPr/>
        <w:t>at [17] of the phrase “in either form”. </w:t>
      </w:r>
      <w:r>
        <w:rPr/>
        <w:t>Lord Neuberger’s reasoning at [107]-[108] seems also to apply to both the “broader” and the “narrower” forms of the principle.</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836" w:id="838"/>
      <w:bookmarkEnd w:id="838"/>
      <w:r>
        <w:rPr/>
      </w:r>
      <w:hyperlink w:history="true" w:anchor="_bookmark641">
        <w:r>
          <w:rPr>
            <w:color w:val="005DA1"/>
            <w:spacing w:val="-4"/>
            <w:position w:val="5"/>
            <w:sz w:val="14"/>
            <w:u w:val="single" w:color="005DA1"/>
          </w:rPr>
          <w:t>386</w:t>
        </w:r>
      </w:hyperlink>
      <w:r>
        <w:rPr>
          <w:spacing w:val="-4"/>
          <w:position w:val="5"/>
          <w:sz w:val="14"/>
        </w:rPr>
        <w:t>.</w:t>
      </w:r>
      <w:r>
        <w:rPr>
          <w:position w:val="5"/>
          <w:sz w:val="14"/>
        </w:rPr>
        <w:tab/>
      </w:r>
      <w:r>
        <w:rPr>
          <w:rFonts w:ascii="Arial"/>
          <w:i/>
          <w:sz w:val="20"/>
        </w:rPr>
        <w:t>[1995] 1 W.L.R. </w:t>
      </w:r>
      <w:r>
        <w:rPr>
          <w:rFonts w:ascii="Arial"/>
          <w:i/>
          <w:spacing w:val="-5"/>
          <w:sz w:val="20"/>
        </w:rPr>
        <w:t>68</w:t>
      </w:r>
      <w:r>
        <w:rPr>
          <w:spacing w:val="-5"/>
          <w:sz w:val="20"/>
        </w:rPr>
        <w:t>.</w:t>
      </w:r>
    </w:p>
    <w:p>
      <w:pPr>
        <w:pStyle w:val="BodyText"/>
        <w:spacing w:before="5"/>
      </w:pPr>
    </w:p>
    <w:p>
      <w:pPr>
        <w:pStyle w:val="BodyText"/>
        <w:tabs>
          <w:tab w:pos="705" w:val="left" w:leader="none"/>
        </w:tabs>
        <w:ind w:left="165"/>
      </w:pPr>
      <w:bookmarkStart w:name="_bookmark837" w:id="839"/>
      <w:bookmarkEnd w:id="839"/>
      <w:r>
        <w:rPr/>
      </w:r>
      <w:hyperlink w:history="true" w:anchor="_bookmark642">
        <w:r>
          <w:rPr>
            <w:color w:val="005DA1"/>
            <w:spacing w:val="-4"/>
            <w:position w:val="5"/>
            <w:sz w:val="14"/>
            <w:u w:val="single" w:color="005DA1"/>
          </w:rPr>
          <w:t>387</w:t>
        </w:r>
      </w:hyperlink>
      <w:r>
        <w:rPr>
          <w:spacing w:val="-4"/>
          <w:position w:val="5"/>
          <w:sz w:val="14"/>
        </w:rPr>
        <w:t>.</w:t>
      </w:r>
      <w:r>
        <w:rPr>
          <w:position w:val="5"/>
          <w:sz w:val="14"/>
        </w:rPr>
        <w:tab/>
      </w:r>
      <w:r>
        <w:rPr/>
        <w:t>See</w:t>
      </w:r>
      <w:r>
        <w:rPr>
          <w:spacing w:val="-2"/>
        </w:rPr>
        <w:t> </w:t>
      </w:r>
      <w:r>
        <w:rPr/>
        <w:t>below, para.18-</w:t>
      </w:r>
      <w:r>
        <w:rPr>
          <w:spacing w:val="-4"/>
        </w:rPr>
        <w:t>059.</w:t>
      </w:r>
    </w:p>
    <w:p>
      <w:pPr>
        <w:pStyle w:val="BodyText"/>
        <w:spacing w:before="8"/>
      </w:pPr>
    </w:p>
    <w:p>
      <w:pPr>
        <w:pStyle w:val="BodyText"/>
        <w:spacing w:line="235" w:lineRule="auto" w:before="1"/>
        <w:ind w:left="705" w:right="167" w:hanging="541"/>
        <w:jc w:val="both"/>
      </w:pPr>
      <w:bookmarkStart w:name="_bookmark838" w:id="840"/>
      <w:bookmarkEnd w:id="840"/>
      <w:r>
        <w:rPr/>
      </w:r>
      <w:hyperlink w:history="true" w:anchor="_bookmark643">
        <w:r>
          <w:rPr>
            <w:color w:val="005DA1"/>
            <w:position w:val="5"/>
            <w:sz w:val="14"/>
            <w:u w:val="single" w:color="005DA1"/>
          </w:rPr>
          <w:t>388</w:t>
        </w:r>
      </w:hyperlink>
      <w:r>
        <w:rPr>
          <w:position w:val="5"/>
          <w:sz w:val="14"/>
        </w:rPr>
        <w:t>.</w:t>
      </w:r>
      <w:r>
        <w:rPr>
          <w:spacing w:val="80"/>
          <w:w w:val="150"/>
          <w:position w:val="5"/>
          <w:sz w:val="14"/>
        </w:rPr>
        <w:t> </w:t>
      </w:r>
      <w:r>
        <w:rPr/>
        <w:t>These</w:t>
      </w:r>
      <w:r>
        <w:rPr>
          <w:spacing w:val="40"/>
        </w:rPr>
        <w:t> </w:t>
      </w:r>
      <w:r>
        <w:rPr/>
        <w:t>difficulties</w:t>
      </w:r>
      <w:r>
        <w:rPr>
          <w:spacing w:val="40"/>
        </w:rPr>
        <w:t> </w:t>
      </w:r>
      <w:r>
        <w:rPr/>
        <w:t>are</w:t>
      </w:r>
      <w:r>
        <w:rPr>
          <w:spacing w:val="40"/>
        </w:rPr>
        <w:t> </w:t>
      </w:r>
      <w:r>
        <w:rPr/>
        <w:t>not,</w:t>
      </w:r>
      <w:r>
        <w:rPr>
          <w:spacing w:val="40"/>
        </w:rPr>
        <w:t> </w:t>
      </w:r>
      <w:r>
        <w:rPr/>
        <w:t>it</w:t>
      </w:r>
      <w:r>
        <w:rPr>
          <w:spacing w:val="40"/>
        </w:rPr>
        <w:t> </w:t>
      </w:r>
      <w:r>
        <w:rPr/>
        <w:t>is</w:t>
      </w:r>
      <w:r>
        <w:rPr>
          <w:spacing w:val="40"/>
        </w:rPr>
        <w:t> </w:t>
      </w:r>
      <w:r>
        <w:rPr/>
        <w:t>submitted,</w:t>
      </w:r>
      <w:r>
        <w:rPr>
          <w:spacing w:val="40"/>
        </w:rPr>
        <w:t> </w:t>
      </w:r>
      <w:r>
        <w:rPr/>
        <w:t>removed</w:t>
      </w:r>
      <w:r>
        <w:rPr>
          <w:spacing w:val="40"/>
        </w:rPr>
        <w:t> </w:t>
      </w:r>
      <w:r>
        <w:rPr/>
        <w:t>by</w:t>
      </w:r>
      <w:r>
        <w:rPr>
          <w:spacing w:val="40"/>
        </w:rPr>
        <w:t> </w:t>
      </w:r>
      <w:r>
        <w:rPr/>
        <w:t>Dillon</w:t>
      </w:r>
      <w:r>
        <w:rPr>
          <w:spacing w:val="40"/>
        </w:rPr>
        <w:t> </w:t>
      </w:r>
      <w:r>
        <w:rPr/>
        <w:t>L.J.’s</w:t>
      </w:r>
      <w:r>
        <w:rPr>
          <w:spacing w:val="40"/>
        </w:rPr>
        <w:t> </w:t>
      </w:r>
      <w:r>
        <w:rPr/>
        <w:t>alternative</w:t>
      </w:r>
      <w:r>
        <w:rPr>
          <w:spacing w:val="40"/>
        </w:rPr>
        <w:t> </w:t>
      </w:r>
      <w:r>
        <w:rPr/>
        <w:t>ground</w:t>
      </w:r>
      <w:r>
        <w:rPr>
          <w:spacing w:val="40"/>
        </w:rPr>
        <w:t> </w:t>
      </w:r>
      <w:r>
        <w:rPr/>
        <w:t>for decision, viz. that the bank was constructive trustee for the council of its contractual </w:t>
      </w:r>
      <w:r>
        <w:rPr/>
        <w:t>rights against the defendant: this reasoning merely pushes the enquiry back to the question what (if anything) the bank could have recovered from the defendant.</w:t>
      </w:r>
    </w:p>
    <w:p>
      <w:pPr>
        <w:pStyle w:val="BodyText"/>
        <w:spacing w:before="8"/>
      </w:pPr>
    </w:p>
    <w:p>
      <w:pPr>
        <w:spacing w:line="235" w:lineRule="auto" w:before="0"/>
        <w:ind w:left="705" w:right="167" w:hanging="541"/>
        <w:jc w:val="both"/>
        <w:rPr>
          <w:rFonts w:ascii="Arial" w:hAnsi="Arial"/>
          <w:i/>
          <w:sz w:val="20"/>
        </w:rPr>
      </w:pPr>
      <w:bookmarkStart w:name="_bookmark839" w:id="841"/>
      <w:bookmarkEnd w:id="841"/>
      <w:r>
        <w:rPr/>
      </w:r>
      <w:hyperlink w:history="true" w:anchor="_bookmark644">
        <w:r>
          <w:rPr>
            <w:color w:val="005DA1"/>
            <w:position w:val="5"/>
            <w:sz w:val="14"/>
            <w:u w:val="single" w:color="005DA1"/>
          </w:rPr>
          <w:t>389</w:t>
        </w:r>
      </w:hyperlink>
      <w:r>
        <w:rPr>
          <w:position w:val="5"/>
          <w:sz w:val="14"/>
        </w:rPr>
        <w:t>.</w:t>
      </w:r>
      <w:r>
        <w:rPr>
          <w:spacing w:val="80"/>
          <w:position w:val="5"/>
          <w:sz w:val="14"/>
        </w:rPr>
        <w:t>  </w:t>
      </w:r>
      <w:r>
        <w:rPr>
          <w:rFonts w:ascii="Arial" w:hAnsi="Arial"/>
          <w:i/>
          <w:sz w:val="20"/>
        </w:rPr>
        <w:t>[1995] 1 W.L.R. 68</w:t>
      </w:r>
      <w:r>
        <w:rPr>
          <w:rFonts w:ascii="Arial" w:hAnsi="Arial"/>
          <w:i/>
          <w:spacing w:val="-1"/>
          <w:sz w:val="20"/>
        </w:rPr>
        <w:t> </w:t>
      </w:r>
      <w:r>
        <w:rPr>
          <w:sz w:val="20"/>
        </w:rPr>
        <w:t>at 79, per Steyn L.J. Dillon L.J. regarded the result in the</w:t>
      </w:r>
      <w:r>
        <w:rPr>
          <w:spacing w:val="-1"/>
          <w:sz w:val="20"/>
        </w:rPr>
        <w:t> </w:t>
      </w:r>
      <w:r>
        <w:rPr>
          <w:rFonts w:ascii="Arial" w:hAnsi="Arial"/>
          <w:i/>
          <w:sz w:val="20"/>
        </w:rPr>
        <w:t>Darlington</w:t>
      </w:r>
      <w:r>
        <w:rPr>
          <w:rFonts w:ascii="Arial" w:hAnsi="Arial"/>
          <w:i/>
          <w:spacing w:val="-1"/>
          <w:sz w:val="20"/>
        </w:rPr>
        <w:t> </w:t>
      </w:r>
      <w:r>
        <w:rPr>
          <w:sz w:val="20"/>
        </w:rPr>
        <w:t>case </w:t>
      </w:r>
      <w:r>
        <w:rPr>
          <w:sz w:val="20"/>
        </w:rPr>
        <w:t>as a “direct application” of the </w:t>
      </w:r>
      <w:r>
        <w:rPr>
          <w:rFonts w:ascii="Arial" w:hAnsi="Arial"/>
          <w:i/>
          <w:sz w:val="20"/>
        </w:rPr>
        <w:t>Linden Gardens </w:t>
      </w:r>
      <w:r>
        <w:rPr>
          <w:sz w:val="20"/>
        </w:rPr>
        <w:t>case: ibid., at p.75. Waite L.J. expressed his agreement with both the other judgments, though his reasoning seems to be closer to that of Dillon</w:t>
      </w:r>
      <w:r>
        <w:rPr>
          <w:spacing w:val="12"/>
          <w:sz w:val="20"/>
        </w:rPr>
        <w:t> </w:t>
      </w:r>
      <w:r>
        <w:rPr>
          <w:sz w:val="20"/>
        </w:rPr>
        <w:t>L.J.</w:t>
      </w:r>
      <w:r>
        <w:rPr>
          <w:spacing w:val="12"/>
          <w:sz w:val="20"/>
        </w:rPr>
        <w:t> </w:t>
      </w:r>
      <w:r>
        <w:rPr>
          <w:sz w:val="20"/>
        </w:rPr>
        <w:t>than</w:t>
      </w:r>
      <w:r>
        <w:rPr>
          <w:spacing w:val="12"/>
          <w:sz w:val="20"/>
        </w:rPr>
        <w:t> </w:t>
      </w:r>
      <w:r>
        <w:rPr>
          <w:sz w:val="20"/>
        </w:rPr>
        <w:t>to</w:t>
      </w:r>
      <w:r>
        <w:rPr>
          <w:spacing w:val="12"/>
          <w:sz w:val="20"/>
        </w:rPr>
        <w:t> </w:t>
      </w:r>
      <w:r>
        <w:rPr>
          <w:sz w:val="20"/>
        </w:rPr>
        <w:t>that</w:t>
      </w:r>
      <w:r>
        <w:rPr>
          <w:spacing w:val="12"/>
          <w:sz w:val="20"/>
        </w:rPr>
        <w:t> </w:t>
      </w:r>
      <w:r>
        <w:rPr>
          <w:sz w:val="20"/>
        </w:rPr>
        <w:t>of</w:t>
      </w:r>
      <w:r>
        <w:rPr>
          <w:spacing w:val="12"/>
          <w:sz w:val="20"/>
        </w:rPr>
        <w:t> </w:t>
      </w:r>
      <w:r>
        <w:rPr>
          <w:sz w:val="20"/>
        </w:rPr>
        <w:t>Steyn</w:t>
      </w:r>
      <w:r>
        <w:rPr>
          <w:spacing w:val="12"/>
          <w:sz w:val="20"/>
        </w:rPr>
        <w:t> </w:t>
      </w:r>
      <w:r>
        <w:rPr>
          <w:sz w:val="20"/>
        </w:rPr>
        <w:t>L.J.</w:t>
      </w:r>
      <w:r>
        <w:rPr>
          <w:spacing w:val="12"/>
          <w:sz w:val="20"/>
        </w:rPr>
        <w:t> </w:t>
      </w:r>
      <w:r>
        <w:rPr>
          <w:sz w:val="20"/>
        </w:rPr>
        <w:t>See</w:t>
      </w:r>
      <w:r>
        <w:rPr>
          <w:spacing w:val="12"/>
          <w:sz w:val="20"/>
        </w:rPr>
        <w:t> </w:t>
      </w:r>
      <w:r>
        <w:rPr>
          <w:sz w:val="20"/>
        </w:rPr>
        <w:t>also</w:t>
      </w:r>
      <w:r>
        <w:rPr>
          <w:spacing w:val="12"/>
          <w:sz w:val="20"/>
        </w:rPr>
        <w:t> </w:t>
      </w:r>
      <w:r>
        <w:rPr>
          <w:rFonts w:ascii="Arial" w:hAnsi="Arial"/>
          <w:i/>
          <w:sz w:val="20"/>
        </w:rPr>
        <w:t>John</w:t>
      </w:r>
      <w:r>
        <w:rPr>
          <w:rFonts w:ascii="Arial" w:hAnsi="Arial"/>
          <w:i/>
          <w:spacing w:val="12"/>
          <w:sz w:val="20"/>
        </w:rPr>
        <w:t> </w:t>
      </w:r>
      <w:r>
        <w:rPr>
          <w:rFonts w:ascii="Arial" w:hAnsi="Arial"/>
          <w:i/>
          <w:sz w:val="20"/>
        </w:rPr>
        <w:t>Harris</w:t>
      </w:r>
      <w:r>
        <w:rPr>
          <w:rFonts w:ascii="Arial" w:hAnsi="Arial"/>
          <w:i/>
          <w:spacing w:val="12"/>
          <w:sz w:val="20"/>
        </w:rPr>
        <w:t> </w:t>
      </w:r>
      <w:r>
        <w:rPr>
          <w:rFonts w:ascii="Arial" w:hAnsi="Arial"/>
          <w:i/>
          <w:sz w:val="20"/>
        </w:rPr>
        <w:t>Partnership</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Groveworld</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pacing w:val="-2"/>
          <w:sz w:val="20"/>
        </w:rPr>
        <w:t>[1999]</w:t>
      </w:r>
    </w:p>
    <w:p>
      <w:pPr>
        <w:pStyle w:val="BodyText"/>
        <w:spacing w:line="235" w:lineRule="auto"/>
        <w:ind w:left="705" w:right="167"/>
        <w:jc w:val="both"/>
      </w:pPr>
      <w:r>
        <w:rPr>
          <w:rFonts w:ascii="Arial"/>
          <w:i/>
        </w:rPr>
        <w:t>P.N.L.R. 697 </w:t>
      </w:r>
      <w:r>
        <w:rPr/>
        <w:t>(developer entitled to recover from architect retained by him loss suffered in part by a third party who had financed the building project).</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1136">
            <wp:simplePos x="0" y="0"/>
            <wp:positionH relativeFrom="page">
              <wp:posOffset>1257846</wp:posOffset>
            </wp:positionH>
            <wp:positionV relativeFrom="paragraph">
              <wp:posOffset>160287</wp:posOffset>
            </wp:positionV>
            <wp:extent cx="107988" cy="107988"/>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40" w:id="842"/>
      <w:bookmarkEnd w:id="842"/>
      <w:r>
        <w:rPr/>
      </w:r>
      <w:hyperlink w:history="true" w:anchor="_bookmark645">
        <w:r>
          <w:rPr>
            <w:color w:val="005DA1"/>
            <w:spacing w:val="-4"/>
            <w:sz w:val="14"/>
            <w:u w:val="single" w:color="005DA1"/>
          </w:rPr>
          <w:t>390</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Alfred McAlpine Construction Ltd v Panatown Ltd [2001] A.C. 518 </w:t>
      </w:r>
      <w:r>
        <w:rPr>
          <w:sz w:val="20"/>
        </w:rPr>
        <w:t>at 531, 566 per </w:t>
      </w:r>
      <w:r>
        <w:rPr>
          <w:sz w:val="20"/>
        </w:rPr>
        <w:t>Lords</w:t>
      </w:r>
      <w:r>
        <w:rPr>
          <w:spacing w:val="40"/>
          <w:sz w:val="20"/>
        </w:rPr>
        <w:t> </w:t>
      </w:r>
      <w:r>
        <w:rPr>
          <w:sz w:val="20"/>
        </w:rPr>
        <w:t>Clyde and Jauncey; ibid., pp.545, 584, per Lords Goff and Millett (dissenting). In</w:t>
      </w:r>
      <w:r>
        <w:rPr>
          <w:spacing w:val="-1"/>
          <w:sz w:val="20"/>
        </w:rPr>
        <w:t> </w:t>
      </w:r>
      <w:r>
        <w:rPr>
          <w:rFonts w:ascii="Arial" w:hAnsi="Arial"/>
          <w:i/>
          <w:sz w:val="20"/>
        </w:rPr>
        <w:t>Swynson Ltd v Lowick Rose LLP [2017] UKSC 32, [2017] 2 W.L.R. 1161 </w:t>
      </w:r>
      <w:r>
        <w:rPr>
          <w:sz w:val="20"/>
        </w:rPr>
        <w:t>Lord Sumption, in discussing the “ </w:t>
      </w:r>
      <w:r>
        <w:rPr>
          <w:rFonts w:ascii="Arial" w:hAnsi="Arial"/>
          <w:i/>
          <w:sz w:val="20"/>
        </w:rPr>
        <w:t>Albazero </w:t>
      </w:r>
      <w:r>
        <w:rPr>
          <w:sz w:val="20"/>
        </w:rPr>
        <w:t>exception” (see Main Work, Vol.I, para.18-054) and its extension to “contracts generally” (</w:t>
      </w:r>
      <w:r>
        <w:rPr>
          <w:rFonts w:ascii="Arial" w:hAnsi="Arial"/>
          <w:i/>
          <w:sz w:val="20"/>
        </w:rPr>
        <w:t>[2017] UKSC 32 </w:t>
      </w:r>
      <w:r>
        <w:rPr>
          <w:sz w:val="20"/>
        </w:rPr>
        <w:t>at [15]) said at [14] that these exceptions applied where the third party was “the intended transferee of property affected by the breach”; and Lord Neuberger similarly referred at [102] to their application “where there is a contract between A and B</w:t>
      </w:r>
      <w:r>
        <w:rPr>
          <w:spacing w:val="40"/>
          <w:sz w:val="20"/>
        </w:rPr>
        <w:t> </w:t>
      </w:r>
      <w:r>
        <w:rPr>
          <w:sz w:val="20"/>
        </w:rPr>
        <w:t>relating</w:t>
      </w:r>
      <w:r>
        <w:rPr>
          <w:spacing w:val="-2"/>
          <w:sz w:val="20"/>
        </w:rPr>
        <w:t> </w:t>
      </w:r>
      <w:r>
        <w:rPr>
          <w:sz w:val="20"/>
        </w:rPr>
        <w:t>to</w:t>
      </w:r>
      <w:r>
        <w:rPr>
          <w:spacing w:val="-2"/>
          <w:sz w:val="20"/>
        </w:rPr>
        <w:t> </w:t>
      </w:r>
      <w:r>
        <w:rPr>
          <w:sz w:val="20"/>
        </w:rPr>
        <w:t>A’s</w:t>
      </w:r>
      <w:r>
        <w:rPr>
          <w:spacing w:val="-2"/>
          <w:sz w:val="20"/>
        </w:rPr>
        <w:t> </w:t>
      </w:r>
      <w:r>
        <w:rPr>
          <w:sz w:val="20"/>
        </w:rPr>
        <w:t>property</w:t>
      </w:r>
      <w:r>
        <w:rPr>
          <w:spacing w:val="-2"/>
          <w:sz w:val="20"/>
        </w:rPr>
        <w:t> </w:t>
      </w:r>
      <w:r>
        <w:rPr>
          <w:sz w:val="20"/>
        </w:rPr>
        <w:t>which</w:t>
      </w:r>
      <w:r>
        <w:rPr>
          <w:spacing w:val="-2"/>
          <w:sz w:val="20"/>
        </w:rPr>
        <w:t> </w:t>
      </w:r>
      <w:r>
        <w:rPr>
          <w:sz w:val="20"/>
        </w:rPr>
        <w:t>is</w:t>
      </w:r>
      <w:r>
        <w:rPr>
          <w:spacing w:val="-2"/>
          <w:sz w:val="20"/>
        </w:rPr>
        <w:t> </w:t>
      </w:r>
      <w:r>
        <w:rPr>
          <w:sz w:val="20"/>
        </w:rPr>
        <w:t>subsequently</w:t>
      </w:r>
      <w:r>
        <w:rPr>
          <w:spacing w:val="-2"/>
          <w:sz w:val="20"/>
        </w:rPr>
        <w:t> </w:t>
      </w:r>
      <w:r>
        <w:rPr>
          <w:sz w:val="20"/>
        </w:rPr>
        <w:t>acquired</w:t>
      </w:r>
      <w:r>
        <w:rPr>
          <w:spacing w:val="-2"/>
          <w:sz w:val="20"/>
        </w:rPr>
        <w:t> </w:t>
      </w:r>
      <w:r>
        <w:rPr>
          <w:sz w:val="20"/>
        </w:rPr>
        <w:t>by</w:t>
      </w:r>
      <w:r>
        <w:rPr>
          <w:spacing w:val="-2"/>
          <w:sz w:val="20"/>
        </w:rPr>
        <w:t> </w:t>
      </w:r>
      <w:r>
        <w:rPr>
          <w:sz w:val="20"/>
        </w:rPr>
        <w:t>C</w:t>
      </w:r>
      <w:r>
        <w:rPr>
          <w:spacing w:val="-2"/>
          <w:sz w:val="20"/>
        </w:rPr>
        <w:t> </w:t>
      </w:r>
      <w:r>
        <w:rPr>
          <w:sz w:val="20"/>
        </w:rPr>
        <w:t>…</w:t>
      </w:r>
      <w:r>
        <w:rPr>
          <w:spacing w:val="-2"/>
          <w:sz w:val="20"/>
        </w:rPr>
        <w:t> </w:t>
      </w:r>
      <w:r>
        <w:rPr>
          <w:sz w:val="20"/>
        </w:rPr>
        <w:t>”.</w:t>
      </w:r>
      <w:r>
        <w:rPr>
          <w:spacing w:val="-2"/>
          <w:sz w:val="20"/>
        </w:rPr>
        <w:t> </w:t>
      </w:r>
      <w:r>
        <w:rPr>
          <w:sz w:val="20"/>
        </w:rPr>
        <w:t>These</w:t>
      </w:r>
      <w:r>
        <w:rPr>
          <w:spacing w:val="-2"/>
          <w:sz w:val="20"/>
        </w:rPr>
        <w:t> </w:t>
      </w:r>
      <w:r>
        <w:rPr>
          <w:sz w:val="20"/>
        </w:rPr>
        <w:t>statements</w:t>
      </w:r>
      <w:r>
        <w:rPr>
          <w:spacing w:val="-2"/>
          <w:sz w:val="20"/>
        </w:rPr>
        <w:t> </w:t>
      </w:r>
      <w:r>
        <w:rPr>
          <w:sz w:val="20"/>
        </w:rPr>
        <w:t>may,</w:t>
      </w:r>
      <w:r>
        <w:rPr>
          <w:spacing w:val="-2"/>
          <w:sz w:val="20"/>
        </w:rPr>
        <w:t> </w:t>
      </w:r>
      <w:r>
        <w:rPr>
          <w:sz w:val="20"/>
        </w:rPr>
        <w:t>at</w:t>
      </w:r>
      <w:r>
        <w:rPr>
          <w:spacing w:val="-2"/>
          <w:sz w:val="20"/>
        </w:rPr>
        <w:t> </w:t>
      </w:r>
      <w:r>
        <w:rPr>
          <w:sz w:val="20"/>
        </w:rPr>
        <w:t>first sight, seem to be inconsistent with </w:t>
      </w:r>
      <w:r>
        <w:rPr>
          <w:rFonts w:ascii="Arial" w:hAnsi="Arial"/>
          <w:i/>
          <w:sz w:val="20"/>
        </w:rPr>
        <w:t>Darlington B.C. v Wiltshier Northern Ltd [1995] 1 W.L.R. 68 </w:t>
      </w:r>
      <w:r>
        <w:rPr>
          <w:sz w:val="20"/>
        </w:rPr>
        <w:t>(discussed in Main Work para.18-058); but it is submitted that they should not be read in this way. They should be read rather as general statements of the scope of the “ </w:t>
      </w:r>
      <w:r>
        <w:rPr>
          <w:rFonts w:ascii="Arial" w:hAnsi="Arial"/>
          <w:i/>
          <w:sz w:val="20"/>
        </w:rPr>
        <w:t>Albazero </w:t>
      </w:r>
      <w:r>
        <w:rPr>
          <w:sz w:val="20"/>
        </w:rPr>
        <w:t>exception”</w:t>
      </w:r>
      <w:r>
        <w:rPr>
          <w:spacing w:val="9"/>
          <w:sz w:val="20"/>
        </w:rPr>
        <w:t> </w:t>
      </w:r>
      <w:r>
        <w:rPr>
          <w:sz w:val="20"/>
        </w:rPr>
        <w:t>and</w:t>
      </w:r>
      <w:r>
        <w:rPr>
          <w:spacing w:val="9"/>
          <w:sz w:val="20"/>
        </w:rPr>
        <w:t> </w:t>
      </w:r>
      <w:r>
        <w:rPr>
          <w:sz w:val="20"/>
        </w:rPr>
        <w:t>its</w:t>
      </w:r>
      <w:r>
        <w:rPr>
          <w:spacing w:val="9"/>
          <w:sz w:val="20"/>
        </w:rPr>
        <w:t> </w:t>
      </w:r>
      <w:r>
        <w:rPr>
          <w:sz w:val="20"/>
        </w:rPr>
        <w:t>extensions,</w:t>
      </w:r>
      <w:r>
        <w:rPr>
          <w:spacing w:val="9"/>
          <w:sz w:val="20"/>
        </w:rPr>
        <w:t> </w:t>
      </w:r>
      <w:r>
        <w:rPr>
          <w:sz w:val="20"/>
        </w:rPr>
        <w:t>and</w:t>
      </w:r>
      <w:r>
        <w:rPr>
          <w:spacing w:val="9"/>
          <w:sz w:val="20"/>
        </w:rPr>
        <w:t> </w:t>
      </w:r>
      <w:r>
        <w:rPr>
          <w:sz w:val="20"/>
        </w:rPr>
        <w:t>not</w:t>
      </w:r>
      <w:r>
        <w:rPr>
          <w:spacing w:val="9"/>
          <w:sz w:val="20"/>
        </w:rPr>
        <w:t> </w:t>
      </w:r>
      <w:r>
        <w:rPr>
          <w:sz w:val="20"/>
        </w:rPr>
        <w:t>as</w:t>
      </w:r>
      <w:r>
        <w:rPr>
          <w:spacing w:val="9"/>
          <w:sz w:val="20"/>
        </w:rPr>
        <w:t> </w:t>
      </w:r>
      <w:r>
        <w:rPr>
          <w:sz w:val="20"/>
        </w:rPr>
        <w:t>casting</w:t>
      </w:r>
      <w:r>
        <w:rPr>
          <w:spacing w:val="9"/>
          <w:sz w:val="20"/>
        </w:rPr>
        <w:t> </w:t>
      </w:r>
      <w:r>
        <w:rPr>
          <w:sz w:val="20"/>
        </w:rPr>
        <w:t>doubt</w:t>
      </w:r>
      <w:r>
        <w:rPr>
          <w:spacing w:val="9"/>
          <w:sz w:val="20"/>
        </w:rPr>
        <w:t> </w:t>
      </w:r>
      <w:r>
        <w:rPr>
          <w:sz w:val="20"/>
        </w:rPr>
        <w:t>on</w:t>
      </w:r>
      <w:r>
        <w:rPr>
          <w:spacing w:val="9"/>
          <w:sz w:val="20"/>
        </w:rPr>
        <w:t> </w:t>
      </w:r>
      <w:r>
        <w:rPr>
          <w:sz w:val="20"/>
        </w:rPr>
        <w:t>the</w:t>
      </w:r>
      <w:r>
        <w:rPr>
          <w:spacing w:val="9"/>
          <w:sz w:val="20"/>
        </w:rPr>
        <w:t> </w:t>
      </w:r>
      <w:r>
        <w:rPr>
          <w:rFonts w:ascii="Arial" w:hAnsi="Arial"/>
          <w:i/>
          <w:sz w:val="20"/>
        </w:rPr>
        <w:t>Darlington</w:t>
      </w:r>
      <w:r>
        <w:rPr>
          <w:rFonts w:ascii="Arial" w:hAnsi="Arial"/>
          <w:i/>
          <w:spacing w:val="9"/>
          <w:sz w:val="20"/>
        </w:rPr>
        <w:t> </w:t>
      </w:r>
      <w:r>
        <w:rPr>
          <w:sz w:val="20"/>
        </w:rPr>
        <w:t>case.</w:t>
      </w:r>
      <w:r>
        <w:rPr>
          <w:spacing w:val="9"/>
          <w:sz w:val="20"/>
        </w:rPr>
        <w:t> </w:t>
      </w:r>
      <w:r>
        <w:rPr>
          <w:sz w:val="20"/>
        </w:rPr>
        <w:t>That</w:t>
      </w:r>
      <w:r>
        <w:rPr>
          <w:spacing w:val="9"/>
          <w:sz w:val="20"/>
        </w:rPr>
        <w:t> </w:t>
      </w:r>
      <w:r>
        <w:rPr>
          <w:sz w:val="20"/>
        </w:rPr>
        <w:t>case</w:t>
      </w:r>
      <w:r>
        <w:rPr>
          <w:spacing w:val="9"/>
          <w:sz w:val="20"/>
        </w:rPr>
        <w:t> </w:t>
      </w:r>
      <w:r>
        <w:rPr>
          <w:spacing w:val="-5"/>
          <w:sz w:val="20"/>
        </w:rPr>
        <w:t>was</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24"/>
      </w:pPr>
    </w:p>
    <w:p>
      <w:pPr>
        <w:pStyle w:val="BodyText"/>
        <w:spacing w:line="235" w:lineRule="auto" w:before="1"/>
        <w:ind w:left="705" w:right="167"/>
        <w:jc w:val="both"/>
      </w:pPr>
      <w:r>
        <w:rPr/>
        <w:t>cited without disapproval by Lord Mance in the </w:t>
      </w:r>
      <w:r>
        <w:rPr>
          <w:rFonts w:ascii="Arial"/>
          <w:i/>
        </w:rPr>
        <w:t>Swynson case [2017] UKSC 32 </w:t>
      </w:r>
      <w:r>
        <w:rPr/>
        <w:t>at [52] and is</w:t>
      </w:r>
      <w:r>
        <w:rPr>
          <w:spacing w:val="40"/>
        </w:rPr>
        <w:t> </w:t>
      </w:r>
      <w:r>
        <w:rPr/>
        <w:t>not questioned in the other two judgments (i.e., those of Lord Sumption and of Lord Neuberger) in that case. The ground for the decision that the exceptions did not apply in the </w:t>
      </w:r>
      <w:r>
        <w:rPr>
          <w:rFonts w:ascii="Arial"/>
          <w:i/>
        </w:rPr>
        <w:t>Swynson </w:t>
      </w:r>
      <w:r>
        <w:rPr/>
        <w:t>case is stated above, para.18-057, text after n.359a.</w:t>
      </w:r>
    </w:p>
    <w:p>
      <w:pPr>
        <w:pStyle w:val="BodyText"/>
        <w:spacing w:before="8"/>
      </w:pPr>
    </w:p>
    <w:p>
      <w:pPr>
        <w:pStyle w:val="BodyText"/>
        <w:tabs>
          <w:tab w:pos="705" w:val="left" w:leader="none"/>
        </w:tabs>
        <w:spacing w:line="235" w:lineRule="auto"/>
        <w:ind w:left="705" w:right="168" w:hanging="541"/>
      </w:pPr>
      <w:bookmarkStart w:name="_bookmark841" w:id="843"/>
      <w:bookmarkEnd w:id="843"/>
      <w:r>
        <w:rPr/>
      </w:r>
      <w:hyperlink w:history="true" w:anchor="_bookmark646">
        <w:r>
          <w:rPr>
            <w:color w:val="005DA1"/>
            <w:spacing w:val="-4"/>
            <w:position w:val="5"/>
            <w:sz w:val="14"/>
            <w:u w:val="single" w:color="005DA1"/>
          </w:rPr>
          <w:t>391</w:t>
        </w:r>
      </w:hyperlink>
      <w:r>
        <w:rPr>
          <w:spacing w:val="-4"/>
          <w:position w:val="5"/>
          <w:sz w:val="14"/>
        </w:rPr>
        <w:t>.</w:t>
      </w:r>
      <w:r>
        <w:rPr>
          <w:position w:val="5"/>
          <w:sz w:val="14"/>
        </w:rPr>
        <w:tab/>
      </w:r>
      <w:r>
        <w:rPr/>
        <w:t>Quaere</w:t>
      </w:r>
      <w:r>
        <w:rPr>
          <w:spacing w:val="40"/>
        </w:rPr>
        <w:t> </w:t>
      </w:r>
      <w:r>
        <w:rPr/>
        <w:t>whether</w:t>
      </w:r>
      <w:r>
        <w:rPr>
          <w:spacing w:val="40"/>
        </w:rPr>
        <w:t> </w:t>
      </w:r>
      <w:r>
        <w:rPr/>
        <w:t>this</w:t>
      </w:r>
      <w:r>
        <w:rPr>
          <w:spacing w:val="40"/>
        </w:rPr>
        <w:t> </w:t>
      </w:r>
      <w:r>
        <w:rPr/>
        <w:t>extension</w:t>
      </w:r>
      <w:r>
        <w:rPr>
          <w:spacing w:val="40"/>
        </w:rPr>
        <w:t> </w:t>
      </w:r>
      <w:r>
        <w:rPr/>
        <w:t>will</w:t>
      </w:r>
      <w:r>
        <w:rPr>
          <w:spacing w:val="40"/>
        </w:rPr>
        <w:t> </w:t>
      </w:r>
      <w:r>
        <w:rPr/>
        <w:t>be</w:t>
      </w:r>
      <w:r>
        <w:rPr>
          <w:spacing w:val="40"/>
        </w:rPr>
        <w:t> </w:t>
      </w:r>
      <w:r>
        <w:rPr/>
        <w:t>applied</w:t>
      </w:r>
      <w:r>
        <w:rPr>
          <w:spacing w:val="40"/>
        </w:rPr>
        <w:t> </w:t>
      </w:r>
      <w:r>
        <w:rPr/>
        <w:t>in</w:t>
      </w:r>
      <w:r>
        <w:rPr>
          <w:spacing w:val="40"/>
        </w:rPr>
        <w:t> </w:t>
      </w:r>
      <w:r>
        <w:rPr/>
        <w:t>the</w:t>
      </w:r>
      <w:r>
        <w:rPr>
          <w:spacing w:val="40"/>
        </w:rPr>
        <w:t> </w:t>
      </w:r>
      <w:r>
        <w:rPr/>
        <w:t>carriage</w:t>
      </w:r>
      <w:r>
        <w:rPr>
          <w:spacing w:val="40"/>
        </w:rPr>
        <w:t> </w:t>
      </w:r>
      <w:r>
        <w:rPr/>
        <w:t>by</w:t>
      </w:r>
      <w:r>
        <w:rPr>
          <w:spacing w:val="40"/>
        </w:rPr>
        <w:t> </w:t>
      </w:r>
      <w:r>
        <w:rPr/>
        <w:t>sea</w:t>
      </w:r>
      <w:r>
        <w:rPr>
          <w:spacing w:val="40"/>
        </w:rPr>
        <w:t> </w:t>
      </w:r>
      <w:r>
        <w:rPr/>
        <w:t>context</w:t>
      </w:r>
      <w:r>
        <w:rPr>
          <w:spacing w:val="40"/>
        </w:rPr>
        <w:t> </w:t>
      </w:r>
      <w:r>
        <w:rPr/>
        <w:t>in</w:t>
      </w:r>
      <w:r>
        <w:rPr>
          <w:spacing w:val="40"/>
        </w:rPr>
        <w:t> </w:t>
      </w:r>
      <w:r>
        <w:rPr/>
        <w:t>which</w:t>
      </w:r>
      <w:r>
        <w:rPr>
          <w:spacing w:val="40"/>
        </w:rPr>
        <w:t> </w:t>
      </w:r>
      <w:r>
        <w:rPr/>
        <w:t>the exception originated: see Carver on Bills of Lading, 3rd ed. (2011) para.5-064.</w:t>
      </w:r>
    </w:p>
    <w:p>
      <w:pPr>
        <w:pStyle w:val="BodyText"/>
        <w:spacing w:before="5"/>
      </w:pPr>
    </w:p>
    <w:p>
      <w:pPr>
        <w:tabs>
          <w:tab w:pos="705" w:val="left" w:leader="none"/>
        </w:tabs>
        <w:spacing w:before="1"/>
        <w:ind w:left="165" w:right="0" w:firstLine="0"/>
        <w:jc w:val="left"/>
        <w:rPr>
          <w:sz w:val="20"/>
        </w:rPr>
      </w:pPr>
      <w:bookmarkStart w:name="_bookmark842" w:id="844"/>
      <w:bookmarkEnd w:id="844"/>
      <w:r>
        <w:rPr/>
      </w:r>
      <w:hyperlink w:history="true" w:anchor="_bookmark647">
        <w:r>
          <w:rPr>
            <w:color w:val="005DA1"/>
            <w:spacing w:val="-4"/>
            <w:position w:val="5"/>
            <w:sz w:val="14"/>
            <w:u w:val="single" w:color="005DA1"/>
          </w:rPr>
          <w:t>392</w:t>
        </w:r>
      </w:hyperlink>
      <w:r>
        <w:rPr>
          <w:spacing w:val="-4"/>
          <w:position w:val="5"/>
          <w:sz w:val="14"/>
        </w:rPr>
        <w:t>.</w:t>
      </w:r>
      <w:r>
        <w:rPr>
          <w:position w:val="5"/>
          <w:sz w:val="14"/>
        </w:rPr>
        <w:tab/>
      </w:r>
      <w:r>
        <w:rPr>
          <w:rFonts w:ascii="Arial"/>
          <w:i/>
          <w:sz w:val="20"/>
        </w:rPr>
        <w:t>[2006] EWCA Civ 1079, [2006] 1 W.L.R. </w:t>
      </w:r>
      <w:r>
        <w:rPr>
          <w:rFonts w:ascii="Arial"/>
          <w:i/>
          <w:spacing w:val="-2"/>
          <w:sz w:val="20"/>
        </w:rPr>
        <w:t>2926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843" w:id="845"/>
      <w:bookmarkEnd w:id="845"/>
      <w:r>
        <w:rPr/>
      </w:r>
      <w:hyperlink w:history="true" w:anchor="_bookmark648">
        <w:r>
          <w:rPr>
            <w:color w:val="005DA1"/>
            <w:spacing w:val="-4"/>
            <w:position w:val="5"/>
            <w:sz w:val="14"/>
            <w:u w:val="single" w:color="005DA1"/>
          </w:rPr>
          <w:t>393</w:t>
        </w:r>
      </w:hyperlink>
      <w:r>
        <w:rPr>
          <w:spacing w:val="-4"/>
          <w:position w:val="5"/>
          <w:sz w:val="14"/>
        </w:rPr>
        <w:t>.</w:t>
      </w:r>
      <w:r>
        <w:rPr>
          <w:position w:val="5"/>
          <w:sz w:val="14"/>
        </w:rPr>
        <w:tab/>
      </w:r>
      <w:r>
        <w:rPr>
          <w:sz w:val="20"/>
        </w:rPr>
        <w:t>ibid., at </w:t>
      </w:r>
      <w:r>
        <w:rPr>
          <w:spacing w:val="-2"/>
          <w:sz w:val="20"/>
        </w:rPr>
        <w:t>[33].</w:t>
      </w:r>
    </w:p>
    <w:p>
      <w:pPr>
        <w:pStyle w:val="BodyText"/>
        <w:spacing w:before="5"/>
      </w:pPr>
    </w:p>
    <w:p>
      <w:pPr>
        <w:pStyle w:val="BodyText"/>
        <w:tabs>
          <w:tab w:pos="705" w:val="left" w:leader="none"/>
        </w:tabs>
        <w:ind w:left="165"/>
      </w:pPr>
      <w:bookmarkStart w:name="_bookmark844" w:id="846"/>
      <w:bookmarkEnd w:id="846"/>
      <w:r>
        <w:rPr/>
      </w:r>
      <w:hyperlink w:history="true" w:anchor="_bookmark649">
        <w:r>
          <w:rPr>
            <w:color w:val="005DA1"/>
            <w:spacing w:val="-4"/>
            <w:position w:val="5"/>
            <w:sz w:val="14"/>
            <w:u w:val="single" w:color="005DA1"/>
          </w:rPr>
          <w:t>394</w:t>
        </w:r>
      </w:hyperlink>
      <w:r>
        <w:rPr>
          <w:spacing w:val="-4"/>
          <w:position w:val="5"/>
          <w:sz w:val="14"/>
        </w:rPr>
        <w:t>.</w:t>
      </w:r>
      <w:r>
        <w:rPr>
          <w:position w:val="5"/>
          <w:sz w:val="14"/>
        </w:rPr>
        <w:tab/>
      </w:r>
      <w:r>
        <w:rPr/>
        <w:t>ibid., at [43], per Mummery L.J., italics supplied; cf. ibid., at 87, per Rix </w:t>
      </w:r>
      <w:r>
        <w:rPr>
          <w:spacing w:val="-4"/>
        </w:rPr>
        <w:t>L.J.</w:t>
      </w:r>
    </w:p>
    <w:p>
      <w:pPr>
        <w:pStyle w:val="BodyText"/>
        <w:spacing w:before="5"/>
      </w:pPr>
    </w:p>
    <w:p>
      <w:pPr>
        <w:tabs>
          <w:tab w:pos="705" w:val="left" w:leader="none"/>
        </w:tabs>
        <w:spacing w:before="0"/>
        <w:ind w:left="165" w:right="0" w:firstLine="0"/>
        <w:jc w:val="left"/>
        <w:rPr>
          <w:sz w:val="20"/>
        </w:rPr>
      </w:pPr>
      <w:bookmarkStart w:name="_bookmark845" w:id="847"/>
      <w:bookmarkEnd w:id="847"/>
      <w:r>
        <w:rPr/>
      </w:r>
      <w:hyperlink w:history="true" w:anchor="_bookmark650">
        <w:r>
          <w:rPr>
            <w:color w:val="005DA1"/>
            <w:spacing w:val="-4"/>
            <w:position w:val="5"/>
            <w:sz w:val="14"/>
            <w:u w:val="single" w:color="005DA1"/>
          </w:rPr>
          <w:t>395</w:t>
        </w:r>
      </w:hyperlink>
      <w:r>
        <w:rPr>
          <w:spacing w:val="-4"/>
          <w:position w:val="5"/>
          <w:sz w:val="14"/>
        </w:rPr>
        <w:t>.</w:t>
      </w:r>
      <w:r>
        <w:rPr>
          <w:position w:val="5"/>
          <w:sz w:val="14"/>
        </w:rPr>
        <w:tab/>
      </w:r>
      <w:r>
        <w:rPr>
          <w:sz w:val="20"/>
        </w:rPr>
        <w:t>ibid., at </w:t>
      </w:r>
      <w:r>
        <w:rPr>
          <w:spacing w:val="-2"/>
          <w:sz w:val="20"/>
        </w:rPr>
        <w:t>[43].</w:t>
      </w:r>
    </w:p>
    <w:p>
      <w:pPr>
        <w:pStyle w:val="BodyText"/>
        <w:spacing w:before="8"/>
      </w:pPr>
    </w:p>
    <w:p>
      <w:pPr>
        <w:tabs>
          <w:tab w:pos="705" w:val="left" w:leader="none"/>
        </w:tabs>
        <w:spacing w:line="235" w:lineRule="auto" w:before="1"/>
        <w:ind w:left="705" w:right="168" w:hanging="541"/>
        <w:jc w:val="left"/>
        <w:rPr>
          <w:sz w:val="20"/>
        </w:rPr>
      </w:pPr>
      <w:bookmarkStart w:name="_bookmark846" w:id="848"/>
      <w:bookmarkEnd w:id="848"/>
      <w:r>
        <w:rPr/>
      </w:r>
      <w:hyperlink w:history="true" w:anchor="_bookmark651">
        <w:r>
          <w:rPr>
            <w:color w:val="005DA1"/>
            <w:spacing w:val="-4"/>
            <w:position w:val="5"/>
            <w:sz w:val="14"/>
            <w:u w:val="single" w:color="005DA1"/>
          </w:rPr>
          <w:t>396</w:t>
        </w:r>
      </w:hyperlink>
      <w:r>
        <w:rPr>
          <w:spacing w:val="-4"/>
          <w:position w:val="5"/>
          <w:sz w:val="14"/>
        </w:rPr>
        <w:t>.</w:t>
      </w:r>
      <w:r>
        <w:rPr>
          <w:position w:val="5"/>
          <w:sz w:val="14"/>
        </w:rPr>
        <w:tab/>
      </w:r>
      <w:r>
        <w:rPr>
          <w:rFonts w:ascii="Arial"/>
          <w:i/>
          <w:sz w:val="20"/>
        </w:rPr>
        <w:t>Landfast</w:t>
      </w:r>
      <w:r>
        <w:rPr>
          <w:rFonts w:ascii="Arial"/>
          <w:i/>
          <w:spacing w:val="23"/>
          <w:sz w:val="20"/>
        </w:rPr>
        <w:t> </w:t>
      </w:r>
      <w:r>
        <w:rPr>
          <w:rFonts w:ascii="Arial"/>
          <w:i/>
          <w:sz w:val="20"/>
        </w:rPr>
        <w:t>(Anglia)</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Cameron</w:t>
      </w:r>
      <w:r>
        <w:rPr>
          <w:rFonts w:ascii="Arial"/>
          <w:i/>
          <w:spacing w:val="23"/>
          <w:sz w:val="20"/>
        </w:rPr>
        <w:t> </w:t>
      </w:r>
      <w:r>
        <w:rPr>
          <w:rFonts w:ascii="Arial"/>
          <w:i/>
          <w:sz w:val="20"/>
        </w:rPr>
        <w:t>Taylor</w:t>
      </w:r>
      <w:r>
        <w:rPr>
          <w:rFonts w:ascii="Arial"/>
          <w:i/>
          <w:spacing w:val="23"/>
          <w:sz w:val="20"/>
        </w:rPr>
        <w:t> </w:t>
      </w:r>
      <w:r>
        <w:rPr>
          <w:rFonts w:ascii="Arial"/>
          <w:i/>
          <w:sz w:val="20"/>
        </w:rPr>
        <w:t>One</w:t>
      </w:r>
      <w:r>
        <w:rPr>
          <w:rFonts w:ascii="Arial"/>
          <w:i/>
          <w:spacing w:val="23"/>
          <w:sz w:val="20"/>
        </w:rPr>
        <w:t> </w:t>
      </w:r>
      <w:r>
        <w:rPr>
          <w:rFonts w:ascii="Arial"/>
          <w:i/>
          <w:sz w:val="20"/>
        </w:rPr>
        <w:t>[2006]</w:t>
      </w:r>
      <w:r>
        <w:rPr>
          <w:rFonts w:ascii="Arial"/>
          <w:i/>
          <w:spacing w:val="23"/>
          <w:sz w:val="20"/>
        </w:rPr>
        <w:t> </w:t>
      </w:r>
      <w:r>
        <w:rPr>
          <w:rFonts w:ascii="Arial"/>
          <w:i/>
          <w:sz w:val="20"/>
        </w:rPr>
        <w:t>EWHC</w:t>
      </w:r>
      <w:r>
        <w:rPr>
          <w:rFonts w:ascii="Arial"/>
          <w:i/>
          <w:spacing w:val="23"/>
          <w:sz w:val="20"/>
        </w:rPr>
        <w:t> </w:t>
      </w:r>
      <w:r>
        <w:rPr>
          <w:rFonts w:ascii="Arial"/>
          <w:i/>
          <w:sz w:val="20"/>
        </w:rPr>
        <w:t>343</w:t>
      </w:r>
      <w:r>
        <w:rPr>
          <w:rFonts w:ascii="Arial"/>
          <w:i/>
          <w:spacing w:val="23"/>
          <w:sz w:val="20"/>
        </w:rPr>
        <w:t> </w:t>
      </w:r>
      <w:r>
        <w:rPr>
          <w:rFonts w:ascii="Arial"/>
          <w:i/>
          <w:sz w:val="20"/>
        </w:rPr>
        <w:t>(TCC),</w:t>
      </w:r>
      <w:r>
        <w:rPr>
          <w:rFonts w:ascii="Arial"/>
          <w:i/>
          <w:spacing w:val="23"/>
          <w:sz w:val="20"/>
        </w:rPr>
        <w:t> </w:t>
      </w:r>
      <w:r>
        <w:rPr>
          <w:rFonts w:ascii="Arial"/>
          <w:i/>
          <w:sz w:val="20"/>
        </w:rPr>
        <w:t>117</w:t>
      </w:r>
      <w:r>
        <w:rPr>
          <w:rFonts w:ascii="Arial"/>
          <w:i/>
          <w:spacing w:val="23"/>
          <w:sz w:val="20"/>
        </w:rPr>
        <w:t> </w:t>
      </w:r>
      <w:r>
        <w:rPr>
          <w:rFonts w:ascii="Arial"/>
          <w:i/>
          <w:sz w:val="20"/>
        </w:rPr>
        <w:t>Con</w:t>
      </w:r>
      <w:r>
        <w:rPr>
          <w:rFonts w:ascii="Arial"/>
          <w:i/>
          <w:spacing w:val="23"/>
          <w:sz w:val="20"/>
        </w:rPr>
        <w:t> </w:t>
      </w:r>
      <w:r>
        <w:rPr>
          <w:rFonts w:ascii="Arial"/>
          <w:i/>
          <w:sz w:val="20"/>
        </w:rPr>
        <w:t>L.R.</w:t>
      </w:r>
      <w:r>
        <w:rPr>
          <w:rFonts w:ascii="Arial"/>
          <w:i/>
          <w:spacing w:val="23"/>
          <w:sz w:val="20"/>
        </w:rPr>
        <w:t> </w:t>
      </w:r>
      <w:r>
        <w:rPr>
          <w:rFonts w:ascii="Arial"/>
          <w:i/>
          <w:sz w:val="20"/>
        </w:rPr>
        <w:t>553</w:t>
      </w:r>
      <w:r>
        <w:rPr>
          <w:rFonts w:ascii="Arial"/>
          <w:i/>
          <w:spacing w:val="22"/>
          <w:sz w:val="20"/>
        </w:rPr>
        <w:t> </w:t>
      </w:r>
      <w:r>
        <w:rPr>
          <w:sz w:val="20"/>
        </w:rPr>
        <w:t>at </w:t>
      </w:r>
      <w:r>
        <w:rPr>
          <w:spacing w:val="-2"/>
          <w:sz w:val="20"/>
        </w:rPr>
        <w:t>[29].</w:t>
      </w:r>
    </w:p>
    <w:p>
      <w:pPr>
        <w:pStyle w:val="BodyText"/>
        <w:spacing w:before="5"/>
      </w:pPr>
    </w:p>
    <w:p>
      <w:pPr>
        <w:tabs>
          <w:tab w:pos="705" w:val="left" w:leader="none"/>
        </w:tabs>
        <w:spacing w:line="227" w:lineRule="exact" w:before="0"/>
        <w:ind w:left="165" w:right="0" w:firstLine="0"/>
        <w:jc w:val="left"/>
        <w:rPr>
          <w:sz w:val="20"/>
        </w:rPr>
      </w:pPr>
      <w:bookmarkStart w:name="_bookmark847" w:id="849"/>
      <w:bookmarkEnd w:id="849"/>
      <w:r>
        <w:rPr/>
      </w:r>
      <w:hyperlink w:history="true" w:anchor="_bookmark652">
        <w:r>
          <w:rPr>
            <w:color w:val="005DA1"/>
            <w:spacing w:val="-4"/>
            <w:position w:val="5"/>
            <w:sz w:val="14"/>
            <w:u w:val="single" w:color="005DA1"/>
          </w:rPr>
          <w:t>397</w:t>
        </w:r>
      </w:hyperlink>
      <w:r>
        <w:rPr>
          <w:spacing w:val="-4"/>
          <w:position w:val="5"/>
          <w:sz w:val="14"/>
        </w:rPr>
        <w:t>.</w:t>
      </w:r>
      <w:r>
        <w:rPr>
          <w:position w:val="5"/>
          <w:sz w:val="14"/>
        </w:rPr>
        <w:tab/>
      </w:r>
      <w:r>
        <w:rPr>
          <w:rFonts w:ascii="Arial"/>
          <w:i/>
          <w:sz w:val="20"/>
        </w:rPr>
        <w:t>[2001]</w:t>
      </w:r>
      <w:r>
        <w:rPr>
          <w:rFonts w:ascii="Arial"/>
          <w:i/>
          <w:spacing w:val="19"/>
          <w:sz w:val="20"/>
        </w:rPr>
        <w:t> </w:t>
      </w:r>
      <w:r>
        <w:rPr>
          <w:rFonts w:ascii="Arial"/>
          <w:i/>
          <w:sz w:val="20"/>
        </w:rPr>
        <w:t>1</w:t>
      </w:r>
      <w:r>
        <w:rPr>
          <w:rFonts w:ascii="Arial"/>
          <w:i/>
          <w:spacing w:val="20"/>
          <w:sz w:val="20"/>
        </w:rPr>
        <w:t> </w:t>
      </w:r>
      <w:r>
        <w:rPr>
          <w:rFonts w:ascii="Arial"/>
          <w:i/>
          <w:sz w:val="20"/>
        </w:rPr>
        <w:t>A.C.</w:t>
      </w:r>
      <w:r>
        <w:rPr>
          <w:rFonts w:ascii="Arial"/>
          <w:i/>
          <w:spacing w:val="20"/>
          <w:sz w:val="20"/>
        </w:rPr>
        <w:t> </w:t>
      </w:r>
      <w:r>
        <w:rPr>
          <w:rFonts w:ascii="Arial"/>
          <w:i/>
          <w:sz w:val="20"/>
        </w:rPr>
        <w:t>518</w:t>
      </w:r>
      <w:r>
        <w:rPr>
          <w:sz w:val="20"/>
        </w:rPr>
        <w:t>,</w:t>
      </w:r>
      <w:r>
        <w:rPr>
          <w:spacing w:val="20"/>
          <w:sz w:val="20"/>
        </w:rPr>
        <w:t> </w:t>
      </w:r>
      <w:r>
        <w:rPr>
          <w:sz w:val="20"/>
        </w:rPr>
        <w:t>discussed</w:t>
      </w:r>
      <w:r>
        <w:rPr>
          <w:spacing w:val="20"/>
          <w:sz w:val="20"/>
        </w:rPr>
        <w:t> </w:t>
      </w:r>
      <w:r>
        <w:rPr>
          <w:sz w:val="20"/>
        </w:rPr>
        <w:t>by</w:t>
      </w:r>
      <w:r>
        <w:rPr>
          <w:spacing w:val="20"/>
          <w:sz w:val="20"/>
        </w:rPr>
        <w:t> </w:t>
      </w:r>
      <w:r>
        <w:rPr>
          <w:sz w:val="20"/>
        </w:rPr>
        <w:t>Coote</w:t>
      </w:r>
      <w:r>
        <w:rPr>
          <w:spacing w:val="20"/>
          <w:sz w:val="20"/>
        </w:rPr>
        <w:t> </w:t>
      </w:r>
      <w:r>
        <w:rPr>
          <w:sz w:val="20"/>
        </w:rPr>
        <w:t>(2001)</w:t>
      </w:r>
      <w:r>
        <w:rPr>
          <w:spacing w:val="20"/>
          <w:sz w:val="20"/>
        </w:rPr>
        <w:t> </w:t>
      </w:r>
      <w:r>
        <w:rPr>
          <w:sz w:val="20"/>
        </w:rPr>
        <w:t>117</w:t>
      </w:r>
      <w:r>
        <w:rPr>
          <w:spacing w:val="20"/>
          <w:sz w:val="20"/>
        </w:rPr>
        <w:t> </w:t>
      </w:r>
      <w:r>
        <w:rPr>
          <w:sz w:val="20"/>
        </w:rPr>
        <w:t>L.Q.R.</w:t>
      </w:r>
      <w:r>
        <w:rPr>
          <w:spacing w:val="20"/>
          <w:sz w:val="20"/>
        </w:rPr>
        <w:t> </w:t>
      </w:r>
      <w:r>
        <w:rPr>
          <w:sz w:val="20"/>
        </w:rPr>
        <w:t>81;</w:t>
      </w:r>
      <w:r>
        <w:rPr>
          <w:spacing w:val="20"/>
          <w:sz w:val="20"/>
        </w:rPr>
        <w:t> </w:t>
      </w:r>
      <w:r>
        <w:rPr>
          <w:sz w:val="20"/>
        </w:rPr>
        <w:t>reversing</w:t>
      </w:r>
      <w:r>
        <w:rPr>
          <w:spacing w:val="20"/>
          <w:sz w:val="20"/>
        </w:rPr>
        <w:t> </w:t>
      </w:r>
      <w:r>
        <w:rPr>
          <w:sz w:val="20"/>
        </w:rPr>
        <w:t>(1998)</w:t>
      </w:r>
      <w:r>
        <w:rPr>
          <w:spacing w:val="20"/>
          <w:sz w:val="20"/>
        </w:rPr>
        <w:t> </w:t>
      </w:r>
      <w:r>
        <w:rPr>
          <w:sz w:val="20"/>
        </w:rPr>
        <w:t>58</w:t>
      </w:r>
      <w:r>
        <w:rPr>
          <w:spacing w:val="20"/>
          <w:sz w:val="20"/>
        </w:rPr>
        <w:t> </w:t>
      </w:r>
      <w:r>
        <w:rPr>
          <w:spacing w:val="-2"/>
          <w:sz w:val="20"/>
        </w:rPr>
        <w:t>Const.L.R.</w:t>
      </w:r>
    </w:p>
    <w:p>
      <w:pPr>
        <w:pStyle w:val="BodyText"/>
        <w:spacing w:line="225" w:lineRule="exact"/>
        <w:ind w:left="705"/>
      </w:pPr>
      <w:r>
        <w:rPr/>
        <w:t>58,</w:t>
      </w:r>
      <w:r>
        <w:rPr>
          <w:spacing w:val="7"/>
        </w:rPr>
        <w:t> </w:t>
      </w:r>
      <w:r>
        <w:rPr/>
        <w:t>discussed</w:t>
      </w:r>
      <w:r>
        <w:rPr>
          <w:spacing w:val="7"/>
        </w:rPr>
        <w:t> </w:t>
      </w:r>
      <w:r>
        <w:rPr/>
        <w:t>by</w:t>
      </w:r>
      <w:r>
        <w:rPr>
          <w:spacing w:val="7"/>
        </w:rPr>
        <w:t> </w:t>
      </w:r>
      <w:r>
        <w:rPr/>
        <w:t>Treitel</w:t>
      </w:r>
      <w:r>
        <w:rPr>
          <w:spacing w:val="7"/>
        </w:rPr>
        <w:t> </w:t>
      </w:r>
      <w:r>
        <w:rPr/>
        <w:t>(1998)</w:t>
      </w:r>
      <w:r>
        <w:rPr>
          <w:spacing w:val="7"/>
        </w:rPr>
        <w:t> </w:t>
      </w:r>
      <w:r>
        <w:rPr/>
        <w:t>L.Q.R.</w:t>
      </w:r>
      <w:r>
        <w:rPr>
          <w:spacing w:val="7"/>
        </w:rPr>
        <w:t> </w:t>
      </w:r>
      <w:r>
        <w:rPr/>
        <w:t>527;</w:t>
      </w:r>
      <w:r>
        <w:rPr>
          <w:spacing w:val="7"/>
        </w:rPr>
        <w:t> </w:t>
      </w:r>
      <w:r>
        <w:rPr/>
        <w:t>for</w:t>
      </w:r>
      <w:r>
        <w:rPr>
          <w:spacing w:val="7"/>
        </w:rPr>
        <w:t> </w:t>
      </w:r>
      <w:r>
        <w:rPr/>
        <w:t>further</w:t>
      </w:r>
      <w:r>
        <w:rPr>
          <w:spacing w:val="7"/>
        </w:rPr>
        <w:t> </w:t>
      </w:r>
      <w:r>
        <w:rPr/>
        <w:t>proceedings,</w:t>
      </w:r>
      <w:r>
        <w:rPr>
          <w:spacing w:val="7"/>
        </w:rPr>
        <w:t> </w:t>
      </w:r>
      <w:r>
        <w:rPr/>
        <w:t>see</w:t>
      </w:r>
      <w:r>
        <w:rPr>
          <w:spacing w:val="7"/>
        </w:rPr>
        <w:t> </w:t>
      </w:r>
      <w:r>
        <w:rPr/>
        <w:t>[2001]</w:t>
      </w:r>
      <w:r>
        <w:rPr>
          <w:spacing w:val="7"/>
        </w:rPr>
        <w:t> </w:t>
      </w:r>
      <w:r>
        <w:rPr/>
        <w:t>EWCA</w:t>
      </w:r>
      <w:r>
        <w:rPr>
          <w:spacing w:val="7"/>
        </w:rPr>
        <w:t> </w:t>
      </w:r>
      <w:r>
        <w:rPr/>
        <w:t>Civ</w:t>
      </w:r>
      <w:r>
        <w:rPr>
          <w:spacing w:val="7"/>
        </w:rPr>
        <w:t> </w:t>
      </w:r>
      <w:r>
        <w:rPr>
          <w:spacing w:val="-4"/>
        </w:rPr>
        <w:t>284;</w:t>
      </w:r>
    </w:p>
    <w:p>
      <w:pPr>
        <w:pStyle w:val="BodyText"/>
        <w:spacing w:line="227" w:lineRule="exact"/>
        <w:ind w:left="705"/>
      </w:pPr>
      <w:r>
        <w:rPr/>
        <w:t>(2001) 76 Con.L.R. </w:t>
      </w:r>
      <w:r>
        <w:rPr>
          <w:spacing w:val="-4"/>
        </w:rPr>
        <w:t>222.</w:t>
      </w:r>
    </w:p>
    <w:p>
      <w:pPr>
        <w:pStyle w:val="BodyText"/>
        <w:spacing w:before="5"/>
      </w:pPr>
    </w:p>
    <w:p>
      <w:pPr>
        <w:tabs>
          <w:tab w:pos="705" w:val="left" w:leader="none"/>
        </w:tabs>
        <w:spacing w:before="0"/>
        <w:ind w:left="165" w:right="0" w:firstLine="0"/>
        <w:jc w:val="left"/>
        <w:rPr>
          <w:sz w:val="20"/>
        </w:rPr>
      </w:pPr>
      <w:bookmarkStart w:name="_bookmark848" w:id="850"/>
      <w:bookmarkEnd w:id="850"/>
      <w:r>
        <w:rPr/>
      </w:r>
      <w:hyperlink w:history="true" w:anchor="_bookmark653">
        <w:r>
          <w:rPr>
            <w:color w:val="005DA1"/>
            <w:spacing w:val="-4"/>
            <w:position w:val="5"/>
            <w:sz w:val="14"/>
            <w:u w:val="single" w:color="005DA1"/>
          </w:rPr>
          <w:t>398</w:t>
        </w:r>
      </w:hyperlink>
      <w:r>
        <w:rPr>
          <w:spacing w:val="-4"/>
          <w:position w:val="5"/>
          <w:sz w:val="14"/>
        </w:rPr>
        <w:t>.</w:t>
      </w:r>
      <w:r>
        <w:rPr>
          <w:position w:val="5"/>
          <w:sz w:val="14"/>
        </w:rPr>
        <w:tab/>
      </w:r>
      <w:r>
        <w:rPr>
          <w:rFonts w:ascii="Arial"/>
          <w:i/>
          <w:sz w:val="20"/>
        </w:rPr>
        <w:t>[2001] 1 A.C. 518, 522, 563, </w:t>
      </w:r>
      <w:r>
        <w:rPr>
          <w:rFonts w:ascii="Arial"/>
          <w:i/>
          <w:spacing w:val="-4"/>
          <w:sz w:val="20"/>
        </w:rPr>
        <w:t>575</w:t>
      </w:r>
      <w:r>
        <w:rPr>
          <w:spacing w:val="-4"/>
          <w:sz w:val="20"/>
        </w:rPr>
        <w:t>.</w:t>
      </w:r>
    </w:p>
    <w:p>
      <w:pPr>
        <w:pStyle w:val="BodyText"/>
        <w:spacing w:before="5"/>
      </w:pPr>
    </w:p>
    <w:p>
      <w:pPr>
        <w:pStyle w:val="BodyText"/>
        <w:tabs>
          <w:tab w:pos="705" w:val="left" w:leader="none"/>
        </w:tabs>
        <w:ind w:left="165"/>
      </w:pPr>
      <w:bookmarkStart w:name="_bookmark849" w:id="851"/>
      <w:bookmarkEnd w:id="851"/>
      <w:r>
        <w:rPr/>
      </w:r>
      <w:hyperlink w:history="true" w:anchor="_bookmark653">
        <w:r>
          <w:rPr>
            <w:color w:val="005DA1"/>
            <w:spacing w:val="-4"/>
            <w:position w:val="5"/>
            <w:sz w:val="14"/>
            <w:u w:val="single" w:color="005DA1"/>
          </w:rPr>
          <w:t>399</w:t>
        </w:r>
      </w:hyperlink>
      <w:r>
        <w:rPr>
          <w:spacing w:val="-4"/>
          <w:position w:val="5"/>
          <w:sz w:val="14"/>
        </w:rPr>
        <w:t>.</w:t>
      </w:r>
      <w:r>
        <w:rPr>
          <w:position w:val="5"/>
          <w:sz w:val="14"/>
        </w:rPr>
        <w:tab/>
      </w:r>
      <w:r>
        <w:rPr/>
        <w:t>Lord Millet, ibid., 580-581; Lord Goff is more skeptical: see ibid., at 538-</w:t>
      </w:r>
      <w:r>
        <w:rPr>
          <w:spacing w:val="-4"/>
        </w:rPr>
        <w:t>539.</w:t>
      </w:r>
    </w:p>
    <w:p>
      <w:pPr>
        <w:pStyle w:val="BodyText"/>
        <w:spacing w:before="9"/>
      </w:pPr>
    </w:p>
    <w:p>
      <w:pPr>
        <w:tabs>
          <w:tab w:pos="705" w:val="left" w:leader="none"/>
        </w:tabs>
        <w:spacing w:line="235" w:lineRule="auto" w:before="0"/>
        <w:ind w:left="705" w:right="168" w:hanging="541"/>
        <w:jc w:val="left"/>
        <w:rPr>
          <w:sz w:val="20"/>
        </w:rPr>
      </w:pPr>
      <w:bookmarkStart w:name="_bookmark850" w:id="852"/>
      <w:bookmarkEnd w:id="852"/>
      <w:r>
        <w:rPr/>
      </w:r>
      <w:hyperlink w:history="true" w:anchor="_bookmark654">
        <w:r>
          <w:rPr>
            <w:color w:val="005DA1"/>
            <w:spacing w:val="-4"/>
            <w:position w:val="5"/>
            <w:sz w:val="14"/>
            <w:u w:val="single" w:color="005DA1"/>
          </w:rPr>
          <w:t>400</w:t>
        </w:r>
      </w:hyperlink>
      <w:r>
        <w:rPr>
          <w:spacing w:val="-4"/>
          <w:position w:val="5"/>
          <w:sz w:val="14"/>
        </w:rPr>
        <w:t>.</w:t>
      </w:r>
      <w:r>
        <w:rPr>
          <w:position w:val="5"/>
          <w:sz w:val="14"/>
        </w:rPr>
        <w:tab/>
      </w:r>
      <w:r>
        <w:rPr>
          <w:rFonts w:ascii="Arial"/>
          <w:i/>
          <w:sz w:val="20"/>
        </w:rPr>
        <w:t>[1994]</w:t>
      </w:r>
      <w:r>
        <w:rPr>
          <w:rFonts w:ascii="Arial"/>
          <w:i/>
          <w:spacing w:val="59"/>
          <w:sz w:val="20"/>
        </w:rPr>
        <w:t> </w:t>
      </w:r>
      <w:r>
        <w:rPr>
          <w:rFonts w:ascii="Arial"/>
          <w:i/>
          <w:sz w:val="20"/>
        </w:rPr>
        <w:t>1</w:t>
      </w:r>
      <w:r>
        <w:rPr>
          <w:rFonts w:ascii="Arial"/>
          <w:i/>
          <w:spacing w:val="59"/>
          <w:sz w:val="20"/>
        </w:rPr>
        <w:t> </w:t>
      </w:r>
      <w:r>
        <w:rPr>
          <w:rFonts w:ascii="Arial"/>
          <w:i/>
          <w:sz w:val="20"/>
        </w:rPr>
        <w:t>A.C.</w:t>
      </w:r>
      <w:r>
        <w:rPr>
          <w:rFonts w:ascii="Arial"/>
          <w:i/>
          <w:spacing w:val="59"/>
          <w:sz w:val="20"/>
        </w:rPr>
        <w:t> </w:t>
      </w:r>
      <w:r>
        <w:rPr>
          <w:rFonts w:ascii="Arial"/>
          <w:i/>
          <w:sz w:val="20"/>
        </w:rPr>
        <w:t>85</w:t>
      </w:r>
      <w:r>
        <w:rPr>
          <w:sz w:val="20"/>
        </w:rPr>
        <w:t>,</w:t>
      </w:r>
      <w:r>
        <w:rPr>
          <w:spacing w:val="59"/>
          <w:sz w:val="20"/>
        </w:rPr>
        <w:t> </w:t>
      </w:r>
      <w:r>
        <w:rPr>
          <w:sz w:val="20"/>
        </w:rPr>
        <w:t>above,</w:t>
      </w:r>
      <w:r>
        <w:rPr>
          <w:spacing w:val="59"/>
          <w:sz w:val="20"/>
        </w:rPr>
        <w:t> </w:t>
      </w:r>
      <w:r>
        <w:rPr>
          <w:sz w:val="20"/>
        </w:rPr>
        <w:t>para.18-055;</w:t>
      </w:r>
      <w:r>
        <w:rPr>
          <w:spacing w:val="59"/>
          <w:sz w:val="20"/>
        </w:rPr>
        <w:t> </w:t>
      </w:r>
      <w:r>
        <w:rPr>
          <w:sz w:val="20"/>
        </w:rPr>
        <w:t>referred</w:t>
      </w:r>
      <w:r>
        <w:rPr>
          <w:spacing w:val="59"/>
          <w:sz w:val="20"/>
        </w:rPr>
        <w:t> </w:t>
      </w:r>
      <w:r>
        <w:rPr>
          <w:sz w:val="20"/>
        </w:rPr>
        <w:t>to</w:t>
      </w:r>
      <w:r>
        <w:rPr>
          <w:spacing w:val="59"/>
          <w:sz w:val="20"/>
        </w:rPr>
        <w:t> </w:t>
      </w:r>
      <w:r>
        <w:rPr>
          <w:sz w:val="20"/>
        </w:rPr>
        <w:t>as</w:t>
      </w:r>
      <w:r>
        <w:rPr>
          <w:spacing w:val="59"/>
          <w:sz w:val="20"/>
        </w:rPr>
        <w:t> </w:t>
      </w:r>
      <w:r>
        <w:rPr>
          <w:sz w:val="20"/>
        </w:rPr>
        <w:t>the</w:t>
      </w:r>
      <w:r>
        <w:rPr>
          <w:spacing w:val="59"/>
          <w:sz w:val="20"/>
        </w:rPr>
        <w:t> </w:t>
      </w:r>
      <w:r>
        <w:rPr>
          <w:rFonts w:ascii="Arial"/>
          <w:i/>
          <w:sz w:val="20"/>
        </w:rPr>
        <w:t>St</w:t>
      </w:r>
      <w:r>
        <w:rPr>
          <w:rFonts w:ascii="Arial"/>
          <w:i/>
          <w:spacing w:val="59"/>
          <w:sz w:val="20"/>
        </w:rPr>
        <w:t> </w:t>
      </w:r>
      <w:r>
        <w:rPr>
          <w:rFonts w:ascii="Arial"/>
          <w:i/>
          <w:sz w:val="20"/>
        </w:rPr>
        <w:t>Martin</w:t>
      </w:r>
      <w:r>
        <w:rPr>
          <w:rFonts w:ascii="Arial"/>
          <w:i/>
          <w:spacing w:val="59"/>
          <w:sz w:val="20"/>
        </w:rPr>
        <w:t> </w:t>
      </w:r>
      <w:r>
        <w:rPr>
          <w:sz w:val="20"/>
        </w:rPr>
        <w:t>case</w:t>
      </w:r>
      <w:r>
        <w:rPr>
          <w:spacing w:val="59"/>
          <w:sz w:val="20"/>
        </w:rPr>
        <w:t> </w:t>
      </w:r>
      <w:r>
        <w:rPr>
          <w:sz w:val="20"/>
        </w:rPr>
        <w:t>throughout</w:t>
      </w:r>
      <w:r>
        <w:rPr>
          <w:spacing w:val="59"/>
          <w:sz w:val="20"/>
        </w:rPr>
        <w:t> </w:t>
      </w:r>
      <w:r>
        <w:rPr>
          <w:sz w:val="20"/>
        </w:rPr>
        <w:t>the speeches in the </w:t>
      </w:r>
      <w:r>
        <w:rPr>
          <w:rFonts w:ascii="Arial"/>
          <w:i/>
          <w:sz w:val="20"/>
        </w:rPr>
        <w:t>Panatown </w:t>
      </w:r>
      <w:r>
        <w:rPr>
          <w:sz w:val="20"/>
        </w:rPr>
        <w:t>case.</w:t>
      </w:r>
    </w:p>
    <w:p>
      <w:pPr>
        <w:pStyle w:val="BodyText"/>
        <w:spacing w:before="5"/>
      </w:pPr>
    </w:p>
    <w:p>
      <w:pPr>
        <w:tabs>
          <w:tab w:pos="705" w:val="left" w:leader="none"/>
        </w:tabs>
        <w:spacing w:before="0"/>
        <w:ind w:left="165" w:right="0" w:firstLine="0"/>
        <w:jc w:val="left"/>
        <w:rPr>
          <w:sz w:val="20"/>
        </w:rPr>
      </w:pPr>
      <w:bookmarkStart w:name="_bookmark851" w:id="853"/>
      <w:bookmarkEnd w:id="853"/>
      <w:r>
        <w:rPr/>
      </w:r>
      <w:hyperlink w:history="true" w:anchor="_bookmark655">
        <w:r>
          <w:rPr>
            <w:color w:val="005DA1"/>
            <w:spacing w:val="-4"/>
            <w:position w:val="5"/>
            <w:sz w:val="14"/>
            <w:u w:val="single" w:color="005DA1"/>
          </w:rPr>
          <w:t>401</w:t>
        </w:r>
      </w:hyperlink>
      <w:r>
        <w:rPr>
          <w:spacing w:val="-4"/>
          <w:position w:val="5"/>
          <w:sz w:val="14"/>
        </w:rPr>
        <w:t>.</w:t>
      </w:r>
      <w:r>
        <w:rPr>
          <w:position w:val="5"/>
          <w:sz w:val="14"/>
        </w:rPr>
        <w:tab/>
      </w:r>
      <w:r>
        <w:rPr>
          <w:rFonts w:ascii="Arial"/>
          <w:i/>
          <w:sz w:val="20"/>
        </w:rPr>
        <w:t>The</w:t>
      </w:r>
      <w:r>
        <w:rPr>
          <w:rFonts w:ascii="Arial"/>
          <w:i/>
          <w:spacing w:val="-1"/>
          <w:sz w:val="20"/>
        </w:rPr>
        <w:t> </w:t>
      </w:r>
      <w:r>
        <w:rPr>
          <w:rFonts w:ascii="Arial"/>
          <w:i/>
          <w:sz w:val="20"/>
        </w:rPr>
        <w:t>Albazero [1977] A.C. 774</w:t>
      </w:r>
      <w:r>
        <w:rPr>
          <w:sz w:val="20"/>
        </w:rPr>
        <w:t>; above, para.18-</w:t>
      </w:r>
      <w:r>
        <w:rPr>
          <w:spacing w:val="-4"/>
          <w:sz w:val="20"/>
        </w:rPr>
        <w:t>054.</w:t>
      </w:r>
    </w:p>
    <w:p>
      <w:pPr>
        <w:pStyle w:val="BodyText"/>
        <w:spacing w:before="9"/>
      </w:pPr>
    </w:p>
    <w:p>
      <w:pPr>
        <w:pStyle w:val="BodyText"/>
        <w:tabs>
          <w:tab w:pos="705" w:val="left" w:leader="none"/>
        </w:tabs>
        <w:spacing w:line="235" w:lineRule="auto"/>
        <w:ind w:left="705" w:right="168" w:hanging="541"/>
      </w:pPr>
      <w:bookmarkStart w:name="_bookmark852" w:id="854"/>
      <w:bookmarkEnd w:id="854"/>
      <w:r>
        <w:rPr/>
      </w:r>
      <w:hyperlink w:history="true" w:anchor="_bookmark656">
        <w:r>
          <w:rPr>
            <w:color w:val="005DA1"/>
            <w:spacing w:val="-4"/>
            <w:position w:val="5"/>
            <w:sz w:val="14"/>
            <w:u w:val="single" w:color="005DA1"/>
          </w:rPr>
          <w:t>402</w:t>
        </w:r>
      </w:hyperlink>
      <w:r>
        <w:rPr>
          <w:spacing w:val="-4"/>
          <w:position w:val="5"/>
          <w:sz w:val="14"/>
        </w:rPr>
        <w:t>.</w:t>
      </w:r>
      <w:r>
        <w:rPr>
          <w:position w:val="5"/>
          <w:sz w:val="14"/>
        </w:rPr>
        <w:tab/>
      </w:r>
      <w:r>
        <w:rPr/>
        <w:t>This</w:t>
      </w:r>
      <w:r>
        <w:rPr>
          <w:spacing w:val="22"/>
        </w:rPr>
        <w:t> </w:t>
      </w:r>
      <w:r>
        <w:rPr/>
        <w:t>was</w:t>
      </w:r>
      <w:r>
        <w:rPr>
          <w:spacing w:val="22"/>
        </w:rPr>
        <w:t> </w:t>
      </w:r>
      <w:r>
        <w:rPr/>
        <w:t>the</w:t>
      </w:r>
      <w:r>
        <w:rPr>
          <w:spacing w:val="22"/>
        </w:rPr>
        <w:t> </w:t>
      </w:r>
      <w:r>
        <w:rPr/>
        <w:t>position</w:t>
      </w:r>
      <w:r>
        <w:rPr>
          <w:spacing w:val="22"/>
        </w:rPr>
        <w:t> </w:t>
      </w:r>
      <w:r>
        <w:rPr/>
        <w:t>in</w:t>
      </w:r>
      <w:r>
        <w:rPr>
          <w:spacing w:val="22"/>
        </w:rPr>
        <w:t> </w:t>
      </w:r>
      <w:r>
        <w:rPr>
          <w:rFonts w:ascii="Arial"/>
          <w:i/>
        </w:rPr>
        <w:t>The</w:t>
      </w:r>
      <w:r>
        <w:rPr>
          <w:rFonts w:ascii="Arial"/>
          <w:i/>
          <w:spacing w:val="22"/>
        </w:rPr>
        <w:t> </w:t>
      </w:r>
      <w:r>
        <w:rPr>
          <w:rFonts w:ascii="Arial"/>
          <w:i/>
        </w:rPr>
        <w:t>Albazero</w:t>
      </w:r>
      <w:r>
        <w:rPr/>
        <w:t>,</w:t>
      </w:r>
      <w:r>
        <w:rPr>
          <w:spacing w:val="22"/>
        </w:rPr>
        <w:t> </w:t>
      </w:r>
      <w:r>
        <w:rPr/>
        <w:t>above,</w:t>
      </w:r>
      <w:r>
        <w:rPr>
          <w:spacing w:val="22"/>
        </w:rPr>
        <w:t> </w:t>
      </w:r>
      <w:r>
        <w:rPr/>
        <w:t>itself,</w:t>
      </w:r>
      <w:r>
        <w:rPr>
          <w:spacing w:val="22"/>
        </w:rPr>
        <w:t> </w:t>
      </w:r>
      <w:r>
        <w:rPr/>
        <w:t>where</w:t>
      </w:r>
      <w:r>
        <w:rPr>
          <w:spacing w:val="22"/>
        </w:rPr>
        <w:t> </w:t>
      </w:r>
      <w:r>
        <w:rPr/>
        <w:t>the</w:t>
      </w:r>
      <w:r>
        <w:rPr>
          <w:spacing w:val="22"/>
        </w:rPr>
        <w:t> </w:t>
      </w:r>
      <w:r>
        <w:rPr/>
        <w:t>exception</w:t>
      </w:r>
      <w:r>
        <w:rPr>
          <w:spacing w:val="22"/>
        </w:rPr>
        <w:t> </w:t>
      </w:r>
      <w:r>
        <w:rPr/>
        <w:t>accordingly</w:t>
      </w:r>
      <w:r>
        <w:rPr>
          <w:spacing w:val="22"/>
        </w:rPr>
        <w:t> </w:t>
      </w:r>
      <w:r>
        <w:rPr/>
        <w:t>did</w:t>
      </w:r>
      <w:r>
        <w:rPr>
          <w:spacing w:val="22"/>
        </w:rPr>
        <w:t> </w:t>
      </w:r>
      <w:r>
        <w:rPr/>
        <w:t>not </w:t>
      </w:r>
      <w:r>
        <w:rPr>
          <w:spacing w:val="-2"/>
        </w:rPr>
        <w:t>apply.</w:t>
      </w:r>
    </w:p>
    <w:p>
      <w:pPr>
        <w:pStyle w:val="BodyText"/>
        <w:spacing w:before="6"/>
      </w:pPr>
    </w:p>
    <w:p>
      <w:pPr>
        <w:pStyle w:val="BodyText"/>
        <w:tabs>
          <w:tab w:pos="705" w:val="left" w:leader="none"/>
        </w:tabs>
        <w:ind w:left="165"/>
      </w:pPr>
      <w:bookmarkStart w:name="_bookmark853" w:id="855"/>
      <w:bookmarkEnd w:id="855"/>
      <w:r>
        <w:rPr/>
      </w:r>
      <w:hyperlink w:history="true" w:anchor="_bookmark657">
        <w:r>
          <w:rPr>
            <w:color w:val="005DA1"/>
            <w:spacing w:val="-4"/>
            <w:position w:val="5"/>
            <w:sz w:val="14"/>
            <w:u w:val="single" w:color="005DA1"/>
          </w:rPr>
          <w:t>403</w:t>
        </w:r>
      </w:hyperlink>
      <w:r>
        <w:rPr>
          <w:spacing w:val="-4"/>
          <w:position w:val="5"/>
          <w:sz w:val="14"/>
        </w:rPr>
        <w:t>.</w:t>
      </w:r>
      <w:r>
        <w:rPr>
          <w:position w:val="5"/>
          <w:sz w:val="14"/>
        </w:rPr>
        <w:tab/>
      </w:r>
      <w:r>
        <w:rPr/>
        <w:t>Above, para.18-054, </w:t>
      </w:r>
      <w:r>
        <w:rPr>
          <w:spacing w:val="-2"/>
        </w:rPr>
        <w:t>n.339.</w:t>
      </w:r>
    </w:p>
    <w:p>
      <w:pPr>
        <w:pStyle w:val="BodyText"/>
        <w:spacing w:before="8"/>
      </w:pPr>
    </w:p>
    <w:p>
      <w:pPr>
        <w:tabs>
          <w:tab w:pos="705" w:val="left" w:leader="none"/>
        </w:tabs>
        <w:spacing w:line="235" w:lineRule="auto" w:before="1"/>
        <w:ind w:left="705" w:right="167" w:hanging="541"/>
        <w:jc w:val="left"/>
        <w:rPr>
          <w:rFonts w:ascii="Arial" w:hAnsi="Arial"/>
          <w:i/>
          <w:sz w:val="20"/>
        </w:rPr>
      </w:pPr>
      <w:bookmarkStart w:name="_bookmark854" w:id="856"/>
      <w:bookmarkEnd w:id="856"/>
      <w:r>
        <w:rPr/>
      </w:r>
      <w:hyperlink w:history="true" w:anchor="_bookmark658">
        <w:r>
          <w:rPr>
            <w:color w:val="005DA1"/>
            <w:spacing w:val="-4"/>
            <w:position w:val="5"/>
            <w:sz w:val="14"/>
            <w:u w:val="single" w:color="005DA1"/>
          </w:rPr>
          <w:t>404</w:t>
        </w:r>
      </w:hyperlink>
      <w:r>
        <w:rPr>
          <w:spacing w:val="-4"/>
          <w:position w:val="5"/>
          <w:sz w:val="14"/>
        </w:rPr>
        <w:t>.</w:t>
      </w:r>
      <w:r>
        <w:rPr>
          <w:position w:val="5"/>
          <w:sz w:val="14"/>
        </w:rPr>
        <w:tab/>
      </w:r>
      <w:r>
        <w:rPr>
          <w:sz w:val="20"/>
        </w:rPr>
        <w:t>The</w:t>
      </w:r>
      <w:r>
        <w:rPr>
          <w:spacing w:val="-3"/>
          <w:sz w:val="20"/>
        </w:rPr>
        <w:t> </w:t>
      </w:r>
      <w:r>
        <w:rPr>
          <w:sz w:val="20"/>
        </w:rPr>
        <w:t>restriction</w:t>
      </w:r>
      <w:r>
        <w:rPr>
          <w:spacing w:val="-3"/>
          <w:sz w:val="20"/>
        </w:rPr>
        <w:t> </w:t>
      </w:r>
      <w:r>
        <w:rPr>
          <w:sz w:val="20"/>
        </w:rPr>
        <w:t>could</w:t>
      </w:r>
      <w:r>
        <w:rPr>
          <w:spacing w:val="-3"/>
          <w:sz w:val="20"/>
        </w:rPr>
        <w:t> </w:t>
      </w:r>
      <w:r>
        <w:rPr>
          <w:sz w:val="20"/>
        </w:rPr>
        <w:t>also</w:t>
      </w:r>
      <w:r>
        <w:rPr>
          <w:spacing w:val="-3"/>
          <w:sz w:val="20"/>
        </w:rPr>
        <w:t> </w:t>
      </w:r>
      <w:r>
        <w:rPr>
          <w:sz w:val="20"/>
        </w:rPr>
        <w:t>apply</w:t>
      </w:r>
      <w:r>
        <w:rPr>
          <w:spacing w:val="-3"/>
          <w:sz w:val="20"/>
        </w:rPr>
        <w:t> </w:t>
      </w:r>
      <w:r>
        <w:rPr>
          <w:sz w:val="20"/>
        </w:rPr>
        <w:t>where</w:t>
      </w:r>
      <w:r>
        <w:rPr>
          <w:spacing w:val="-3"/>
          <w:sz w:val="20"/>
        </w:rPr>
        <w:t> </w:t>
      </w:r>
      <w:r>
        <w:rPr>
          <w:sz w:val="20"/>
        </w:rPr>
        <w:t>the</w:t>
      </w:r>
      <w:r>
        <w:rPr>
          <w:spacing w:val="-3"/>
          <w:sz w:val="20"/>
        </w:rPr>
        <w:t> </w:t>
      </w:r>
      <w:r>
        <w:rPr>
          <w:sz w:val="20"/>
        </w:rPr>
        <w:t>third</w:t>
      </w:r>
      <w:r>
        <w:rPr>
          <w:spacing w:val="-3"/>
          <w:sz w:val="20"/>
        </w:rPr>
        <w:t> </w:t>
      </w:r>
      <w:r>
        <w:rPr>
          <w:sz w:val="20"/>
        </w:rPr>
        <w:t>party’s</w:t>
      </w:r>
      <w:r>
        <w:rPr>
          <w:spacing w:val="-3"/>
          <w:sz w:val="20"/>
        </w:rPr>
        <w:t> </w:t>
      </w:r>
      <w:r>
        <w:rPr>
          <w:sz w:val="20"/>
        </w:rPr>
        <w:t>contractual</w:t>
      </w:r>
      <w:r>
        <w:rPr>
          <w:spacing w:val="-3"/>
          <w:sz w:val="20"/>
        </w:rPr>
        <w:t> </w:t>
      </w:r>
      <w:r>
        <w:rPr>
          <w:sz w:val="20"/>
        </w:rPr>
        <w:t>right</w:t>
      </w:r>
      <w:r>
        <w:rPr>
          <w:spacing w:val="-3"/>
          <w:sz w:val="20"/>
        </w:rPr>
        <w:t> </w:t>
      </w:r>
      <w:r>
        <w:rPr>
          <w:sz w:val="20"/>
        </w:rPr>
        <w:t>against</w:t>
      </w:r>
      <w:r>
        <w:rPr>
          <w:spacing w:val="-3"/>
          <w:sz w:val="20"/>
        </w:rPr>
        <w:t> </w:t>
      </w:r>
      <w:r>
        <w:rPr>
          <w:sz w:val="20"/>
        </w:rPr>
        <w:t>the</w:t>
      </w:r>
      <w:r>
        <w:rPr>
          <w:spacing w:val="-3"/>
          <w:sz w:val="20"/>
        </w:rPr>
        <w:t> </w:t>
      </w:r>
      <w:r>
        <w:rPr>
          <w:sz w:val="20"/>
        </w:rPr>
        <w:t>carrier</w:t>
      </w:r>
      <w:r>
        <w:rPr>
          <w:spacing w:val="-3"/>
          <w:sz w:val="20"/>
        </w:rPr>
        <w:t> </w:t>
      </w:r>
      <w:r>
        <w:rPr>
          <w:sz w:val="20"/>
        </w:rPr>
        <w:t>arose under</w:t>
      </w:r>
      <w:r>
        <w:rPr>
          <w:spacing w:val="21"/>
          <w:sz w:val="20"/>
        </w:rPr>
        <w:t> </w:t>
      </w:r>
      <w:r>
        <w:rPr>
          <w:sz w:val="20"/>
        </w:rPr>
        <w:t>an</w:t>
      </w:r>
      <w:r>
        <w:rPr>
          <w:spacing w:val="23"/>
          <w:sz w:val="20"/>
        </w:rPr>
        <w:t> </w:t>
      </w:r>
      <w:r>
        <w:rPr>
          <w:sz w:val="20"/>
        </w:rPr>
        <w:t>implied</w:t>
      </w:r>
      <w:r>
        <w:rPr>
          <w:spacing w:val="23"/>
          <w:sz w:val="20"/>
        </w:rPr>
        <w:t> </w:t>
      </w:r>
      <w:r>
        <w:rPr>
          <w:sz w:val="20"/>
        </w:rPr>
        <w:t>contract</w:t>
      </w:r>
      <w:r>
        <w:rPr>
          <w:spacing w:val="23"/>
          <w:sz w:val="20"/>
        </w:rPr>
        <w:t> </w:t>
      </w:r>
      <w:r>
        <w:rPr>
          <w:sz w:val="20"/>
        </w:rPr>
        <w:t>of</w:t>
      </w:r>
      <w:r>
        <w:rPr>
          <w:spacing w:val="23"/>
          <w:sz w:val="20"/>
        </w:rPr>
        <w:t> </w:t>
      </w:r>
      <w:r>
        <w:rPr>
          <w:sz w:val="20"/>
        </w:rPr>
        <w:t>the</w:t>
      </w:r>
      <w:r>
        <w:rPr>
          <w:spacing w:val="23"/>
          <w:sz w:val="20"/>
        </w:rPr>
        <w:t> </w:t>
      </w:r>
      <w:r>
        <w:rPr>
          <w:sz w:val="20"/>
        </w:rPr>
        <w:t>kind</w:t>
      </w:r>
      <w:r>
        <w:rPr>
          <w:spacing w:val="23"/>
          <w:sz w:val="20"/>
        </w:rPr>
        <w:t> </w:t>
      </w:r>
      <w:r>
        <w:rPr>
          <w:sz w:val="20"/>
        </w:rPr>
        <w:t>illustrated</w:t>
      </w:r>
      <w:r>
        <w:rPr>
          <w:spacing w:val="23"/>
          <w:sz w:val="20"/>
        </w:rPr>
        <w:t> </w:t>
      </w:r>
      <w:r>
        <w:rPr>
          <w:sz w:val="20"/>
        </w:rPr>
        <w:t>by</w:t>
      </w:r>
      <w:r>
        <w:rPr>
          <w:spacing w:val="23"/>
          <w:sz w:val="20"/>
        </w:rPr>
        <w:t> </w:t>
      </w:r>
      <w:r>
        <w:rPr>
          <w:rFonts w:ascii="Arial" w:hAnsi="Arial"/>
          <w:i/>
          <w:sz w:val="20"/>
        </w:rPr>
        <w:t>Brandt</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Liverpool,</w:t>
      </w:r>
      <w:r>
        <w:rPr>
          <w:rFonts w:ascii="Arial" w:hAnsi="Arial"/>
          <w:i/>
          <w:spacing w:val="23"/>
          <w:sz w:val="20"/>
        </w:rPr>
        <w:t> </w:t>
      </w:r>
      <w:r>
        <w:rPr>
          <w:rFonts w:ascii="Arial" w:hAnsi="Arial"/>
          <w:i/>
          <w:sz w:val="20"/>
        </w:rPr>
        <w:t>etc.,</w:t>
      </w:r>
      <w:r>
        <w:rPr>
          <w:rFonts w:ascii="Arial" w:hAnsi="Arial"/>
          <w:i/>
          <w:spacing w:val="23"/>
          <w:sz w:val="20"/>
        </w:rPr>
        <w:t> </w:t>
      </w:r>
      <w:r>
        <w:rPr>
          <w:rFonts w:ascii="Arial" w:hAnsi="Arial"/>
          <w:i/>
          <w:sz w:val="20"/>
        </w:rPr>
        <w:t>S.N.</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[1924]</w:t>
      </w:r>
      <w:r>
        <w:rPr>
          <w:rFonts w:ascii="Arial" w:hAnsi="Arial"/>
          <w:i/>
          <w:spacing w:val="23"/>
          <w:sz w:val="20"/>
        </w:rPr>
        <w:t> </w:t>
      </w:r>
      <w:r>
        <w:rPr>
          <w:rFonts w:ascii="Arial" w:hAnsi="Arial"/>
          <w:i/>
          <w:spacing w:val="-10"/>
          <w:sz w:val="20"/>
        </w:rPr>
        <w:t>1</w:t>
      </w:r>
    </w:p>
    <w:p>
      <w:pPr>
        <w:spacing w:line="225" w:lineRule="exact" w:before="0"/>
        <w:ind w:left="705" w:right="0" w:firstLine="0"/>
        <w:jc w:val="left"/>
        <w:rPr>
          <w:sz w:val="20"/>
        </w:rPr>
      </w:pPr>
      <w:r>
        <w:rPr>
          <w:rFonts w:ascii="Arial"/>
          <w:i/>
          <w:sz w:val="20"/>
        </w:rPr>
        <w:t>K.B.</w:t>
      </w:r>
      <w:r>
        <w:rPr>
          <w:rFonts w:ascii="Arial"/>
          <w:i/>
          <w:spacing w:val="-1"/>
          <w:sz w:val="20"/>
        </w:rPr>
        <w:t> </w:t>
      </w:r>
      <w:r>
        <w:rPr>
          <w:rFonts w:ascii="Arial"/>
          <w:i/>
          <w:sz w:val="20"/>
        </w:rPr>
        <w:t>575</w:t>
      </w:r>
      <w:r>
        <w:rPr>
          <w:sz w:val="20"/>
        </w:rPr>
        <w:t>; see </w:t>
      </w:r>
      <w:r>
        <w:rPr>
          <w:rFonts w:ascii="Arial"/>
          <w:i/>
          <w:sz w:val="20"/>
        </w:rPr>
        <w:t>The Albazero [1977] A.C.A 774, </w:t>
      </w:r>
      <w:r>
        <w:rPr>
          <w:rFonts w:ascii="Arial"/>
          <w:i/>
          <w:spacing w:val="-4"/>
          <w:sz w:val="20"/>
        </w:rPr>
        <w:t>847</w:t>
      </w:r>
      <w:r>
        <w:rPr>
          <w:spacing w:val="-4"/>
          <w:sz w:val="20"/>
        </w:rPr>
        <w:t>.</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bookmarkStart w:name="_bookmark855" w:id="857"/>
      <w:bookmarkEnd w:id="857"/>
      <w:r>
        <w:rPr/>
      </w:r>
      <w:hyperlink w:history="true" w:anchor="_bookmark659">
        <w:r>
          <w:rPr>
            <w:color w:val="005DA1"/>
            <w:spacing w:val="-4"/>
            <w:sz w:val="14"/>
            <w:u w:val="single" w:color="005DA1"/>
          </w:rPr>
          <w:t>405</w:t>
        </w:r>
      </w:hyperlink>
      <w:r>
        <w:rPr>
          <w:spacing w:val="-4"/>
          <w:sz w:val="14"/>
        </w:rPr>
        <w:t>.</w:t>
      </w:r>
    </w:p>
    <w:p>
      <w:pPr>
        <w:spacing w:line="235" w:lineRule="auto" w:before="212"/>
        <w:ind w:left="165" w:right="167" w:firstLine="170"/>
        <w:jc w:val="both"/>
        <w:rPr>
          <w:sz w:val="20"/>
        </w:rPr>
      </w:pPr>
      <w:r>
        <w:rPr/>
        <w:br w:type="column"/>
      </w:r>
      <w:r>
        <w:rPr>
          <w:sz w:val="20"/>
        </w:rPr>
        <w:t>As in </w:t>
      </w:r>
      <w:r>
        <w:rPr>
          <w:rFonts w:ascii="Arial"/>
          <w:i/>
          <w:sz w:val="20"/>
        </w:rPr>
        <w:t>The Albazero [1977] A.C. 774</w:t>
      </w:r>
      <w:r>
        <w:rPr>
          <w:sz w:val="20"/>
        </w:rPr>
        <w:t>. For the distinction between </w:t>
      </w:r>
      <w:r>
        <w:rPr>
          <w:rFonts w:ascii="Arial"/>
          <w:i/>
          <w:sz w:val="20"/>
        </w:rPr>
        <w:t>Albacruz (Cargo Owners) </w:t>
      </w:r>
      <w:r>
        <w:rPr>
          <w:rFonts w:ascii="Arial"/>
          <w:i/>
          <w:sz w:val="20"/>
        </w:rPr>
        <w:t>v Albazero (Owners) (The Albazero) </w:t>
      </w:r>
      <w:r>
        <w:rPr>
          <w:sz w:val="20"/>
        </w:rPr>
        <w:t>and </w:t>
      </w:r>
      <w:r>
        <w:rPr>
          <w:rFonts w:ascii="Arial"/>
          <w:i/>
          <w:sz w:val="20"/>
        </w:rPr>
        <w:t>Titan Europe 2006-3 Plc v Colliers International UK Plc [2015]</w:t>
      </w:r>
      <w:r>
        <w:rPr>
          <w:rFonts w:ascii="Arial"/>
          <w:i/>
          <w:spacing w:val="27"/>
          <w:sz w:val="20"/>
        </w:rPr>
        <w:t> </w:t>
      </w:r>
      <w:r>
        <w:rPr>
          <w:rFonts w:ascii="Arial"/>
          <w:i/>
          <w:sz w:val="20"/>
        </w:rPr>
        <w:t>EWCA</w:t>
      </w:r>
      <w:r>
        <w:rPr>
          <w:rFonts w:ascii="Arial"/>
          <w:i/>
          <w:spacing w:val="27"/>
          <w:sz w:val="20"/>
        </w:rPr>
        <w:t> </w:t>
      </w:r>
      <w:r>
        <w:rPr>
          <w:rFonts w:ascii="Arial"/>
          <w:i/>
          <w:sz w:val="20"/>
        </w:rPr>
        <w:t>Civ</w:t>
      </w:r>
      <w:r>
        <w:rPr>
          <w:rFonts w:ascii="Arial"/>
          <w:i/>
          <w:spacing w:val="27"/>
          <w:sz w:val="20"/>
        </w:rPr>
        <w:t> </w:t>
      </w:r>
      <w:r>
        <w:rPr>
          <w:rFonts w:ascii="Arial"/>
          <w:i/>
          <w:sz w:val="20"/>
        </w:rPr>
        <w:t>1083,</w:t>
      </w:r>
      <w:r>
        <w:rPr>
          <w:rFonts w:ascii="Arial"/>
          <w:i/>
          <w:spacing w:val="27"/>
          <w:sz w:val="20"/>
        </w:rPr>
        <w:t> </w:t>
      </w:r>
      <w:r>
        <w:rPr>
          <w:rFonts w:ascii="Arial"/>
          <w:i/>
          <w:sz w:val="20"/>
        </w:rPr>
        <w:t>[2016]</w:t>
      </w:r>
      <w:r>
        <w:rPr>
          <w:rFonts w:ascii="Arial"/>
          <w:i/>
          <w:spacing w:val="27"/>
          <w:sz w:val="20"/>
        </w:rPr>
        <w:t> </w:t>
      </w:r>
      <w:r>
        <w:rPr>
          <w:rFonts w:ascii="Arial"/>
          <w:i/>
          <w:sz w:val="20"/>
        </w:rPr>
        <w:t>1</w:t>
      </w:r>
      <w:r>
        <w:rPr>
          <w:rFonts w:ascii="Arial"/>
          <w:i/>
          <w:spacing w:val="27"/>
          <w:sz w:val="20"/>
        </w:rPr>
        <w:t> </w:t>
      </w:r>
      <w:r>
        <w:rPr>
          <w:rFonts w:ascii="Arial"/>
          <w:i/>
          <w:sz w:val="20"/>
        </w:rPr>
        <w:t>All</w:t>
      </w:r>
      <w:r>
        <w:rPr>
          <w:rFonts w:ascii="Arial"/>
          <w:i/>
          <w:spacing w:val="27"/>
          <w:sz w:val="20"/>
        </w:rPr>
        <w:t> </w:t>
      </w:r>
      <w:r>
        <w:rPr>
          <w:rFonts w:ascii="Arial"/>
          <w:i/>
          <w:sz w:val="20"/>
        </w:rPr>
        <w:t>E.R.</w:t>
      </w:r>
      <w:r>
        <w:rPr>
          <w:rFonts w:ascii="Arial"/>
          <w:i/>
          <w:spacing w:val="27"/>
          <w:sz w:val="20"/>
        </w:rPr>
        <w:t> </w:t>
      </w:r>
      <w:r>
        <w:rPr>
          <w:rFonts w:ascii="Arial"/>
          <w:i/>
          <w:sz w:val="20"/>
        </w:rPr>
        <w:t>(Comm)</w:t>
      </w:r>
      <w:r>
        <w:rPr>
          <w:rFonts w:ascii="Arial"/>
          <w:i/>
          <w:spacing w:val="27"/>
          <w:sz w:val="20"/>
        </w:rPr>
        <w:t> </w:t>
      </w:r>
      <w:r>
        <w:rPr>
          <w:rFonts w:ascii="Arial"/>
          <w:i/>
          <w:sz w:val="20"/>
        </w:rPr>
        <w:t>999</w:t>
      </w:r>
      <w:r>
        <w:rPr>
          <w:rFonts w:ascii="Arial"/>
          <w:i/>
          <w:spacing w:val="27"/>
          <w:sz w:val="20"/>
        </w:rPr>
        <w:t> </w:t>
      </w:r>
      <w:r>
        <w:rPr>
          <w:sz w:val="20"/>
        </w:rPr>
        <w:t>at</w:t>
      </w:r>
      <w:r>
        <w:rPr>
          <w:spacing w:val="27"/>
          <w:sz w:val="20"/>
        </w:rPr>
        <w:t> </w:t>
      </w:r>
      <w:r>
        <w:rPr>
          <w:sz w:val="20"/>
        </w:rPr>
        <w:t>[32],</w:t>
      </w:r>
      <w:r>
        <w:rPr>
          <w:spacing w:val="27"/>
          <w:sz w:val="20"/>
        </w:rPr>
        <w:t> </w:t>
      </w:r>
      <w:r>
        <w:rPr>
          <w:sz w:val="20"/>
        </w:rPr>
        <w:t>see</w:t>
      </w:r>
      <w:r>
        <w:rPr>
          <w:spacing w:val="27"/>
          <w:sz w:val="20"/>
        </w:rPr>
        <w:t> </w:t>
      </w:r>
      <w:r>
        <w:rPr>
          <w:sz w:val="20"/>
        </w:rPr>
        <w:t>above,</w:t>
      </w:r>
      <w:r>
        <w:rPr>
          <w:spacing w:val="27"/>
          <w:sz w:val="20"/>
        </w:rPr>
        <w:t> </w:t>
      </w:r>
      <w:r>
        <w:rPr>
          <w:sz w:val="20"/>
        </w:rPr>
        <w:t>para.18-054</w:t>
      </w:r>
      <w:r>
        <w:rPr>
          <w:spacing w:val="27"/>
          <w:sz w:val="20"/>
        </w:rPr>
        <w:t> </w:t>
      </w:r>
      <w:r>
        <w:rPr>
          <w:spacing w:val="-4"/>
          <w:sz w:val="20"/>
        </w:rPr>
        <w:t>note</w:t>
      </w:r>
    </w:p>
    <w:p>
      <w:pPr>
        <w:pStyle w:val="BodyText"/>
        <w:spacing w:line="225" w:lineRule="exact"/>
        <w:ind w:left="165"/>
      </w:pPr>
      <w:r>
        <w:rPr/>
        <w:drawing>
          <wp:anchor distT="0" distB="0" distL="0" distR="0" allowOverlap="1" layoutInCell="1" locked="0" behindDoc="0" simplePos="0" relativeHeight="15771648">
            <wp:simplePos x="0" y="0"/>
            <wp:positionH relativeFrom="page">
              <wp:posOffset>1257846</wp:posOffset>
            </wp:positionH>
            <wp:positionV relativeFrom="paragraph">
              <wp:posOffset>-403381</wp:posOffset>
            </wp:positionV>
            <wp:extent cx="107988" cy="107988"/>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7" cstate="print"/>
                    <a:stretch>
                      <a:fillRect/>
                    </a:stretch>
                  </pic:blipFill>
                  <pic:spPr>
                    <a:xfrm>
                      <a:off x="0" y="0"/>
                      <a:ext cx="107988" cy="107988"/>
                    </a:xfrm>
                    <a:prstGeom prst="rect">
                      <a:avLst/>
                    </a:prstGeom>
                  </pic:spPr>
                </pic:pic>
              </a:graphicData>
            </a:graphic>
          </wp:anchor>
        </w:drawing>
      </w:r>
      <w:r>
        <w:rPr>
          <w:spacing w:val="-4"/>
        </w:rPr>
        <w:t>339.</w:t>
      </w:r>
    </w:p>
    <w:p>
      <w:pPr>
        <w:pStyle w:val="BodyText"/>
        <w:spacing w:after="0" w:line="225" w:lineRule="exact"/>
        <w:sectPr>
          <w:type w:val="continuous"/>
          <w:pgSz w:w="11900" w:h="16840"/>
          <w:pgMar w:header="971" w:footer="0" w:top="116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856" w:id="858"/>
      <w:bookmarkEnd w:id="858"/>
      <w:r>
        <w:rPr/>
      </w:r>
      <w:hyperlink w:history="true" w:anchor="_bookmark660">
        <w:r>
          <w:rPr>
            <w:color w:val="005DA1"/>
            <w:position w:val="5"/>
            <w:sz w:val="14"/>
            <w:u w:val="single" w:color="005DA1"/>
          </w:rPr>
          <w:t>406</w:t>
        </w:r>
      </w:hyperlink>
      <w:r>
        <w:rPr>
          <w:position w:val="5"/>
          <w:sz w:val="14"/>
        </w:rPr>
        <w:t>.</w:t>
      </w:r>
      <w:r>
        <w:rPr>
          <w:spacing w:val="80"/>
          <w:w w:val="150"/>
          <w:position w:val="5"/>
          <w:sz w:val="14"/>
        </w:rPr>
        <w:t> </w:t>
      </w:r>
      <w:r>
        <w:rPr>
          <w:rFonts w:ascii="Arial" w:hAnsi="Arial"/>
          <w:i/>
          <w:sz w:val="20"/>
        </w:rPr>
        <w:t>Panatown case [2001] 1 A.C. 518, 575</w:t>
      </w:r>
      <w:r>
        <w:rPr>
          <w:sz w:val="20"/>
        </w:rPr>
        <w:t>; </w:t>
      </w:r>
      <w:r>
        <w:rPr>
          <w:rFonts w:ascii="Arial" w:hAnsi="Arial"/>
          <w:i/>
          <w:sz w:val="20"/>
        </w:rPr>
        <w:t>The Albazero</w:t>
      </w:r>
      <w:r>
        <w:rPr>
          <w:sz w:val="20"/>
        </w:rPr>
        <w:t>, above, 846–848. The exception is</w:t>
      </w:r>
      <w:r>
        <w:rPr>
          <w:spacing w:val="40"/>
          <w:sz w:val="20"/>
        </w:rPr>
        <w:t> </w:t>
      </w:r>
      <w:r>
        <w:rPr>
          <w:sz w:val="20"/>
        </w:rPr>
        <w:t>similarly “not needed” where full effect can be given to the broken promise by an award </w:t>
      </w:r>
      <w:r>
        <w:rPr>
          <w:sz w:val="20"/>
        </w:rPr>
        <w:t>of damages for the breach to the promisee: see </w:t>
      </w:r>
      <w:r>
        <w:rPr>
          <w:rFonts w:ascii="Arial" w:hAnsi="Arial"/>
          <w:i/>
          <w:sz w:val="20"/>
        </w:rPr>
        <w:t>Smithkline Beecham plc v Apotex Europe Ltd [2006] EWCA Civ 658, [2007] Ch. 71</w:t>
      </w:r>
      <w:r>
        <w:rPr>
          <w:sz w:val="20"/>
        </w:rPr>
        <w:t>, below, para.18-061 at n.386 and para.18-069.</w:t>
      </w:r>
    </w:p>
    <w:p>
      <w:pPr>
        <w:pStyle w:val="BodyText"/>
        <w:spacing w:before="5"/>
      </w:pPr>
    </w:p>
    <w:p>
      <w:pPr>
        <w:pStyle w:val="BodyText"/>
        <w:tabs>
          <w:tab w:pos="705" w:val="left" w:leader="none"/>
        </w:tabs>
        <w:ind w:left="165"/>
      </w:pPr>
      <w:bookmarkStart w:name="_bookmark857" w:id="859"/>
      <w:bookmarkEnd w:id="859"/>
      <w:r>
        <w:rPr/>
      </w:r>
      <w:hyperlink w:history="true" w:anchor="_bookmark661">
        <w:r>
          <w:rPr>
            <w:color w:val="005DA1"/>
            <w:spacing w:val="-4"/>
            <w:position w:val="5"/>
            <w:sz w:val="14"/>
            <w:u w:val="single" w:color="005DA1"/>
          </w:rPr>
          <w:t>407</w:t>
        </w:r>
      </w:hyperlink>
      <w:r>
        <w:rPr>
          <w:spacing w:val="-4"/>
          <w:position w:val="5"/>
          <w:sz w:val="14"/>
        </w:rPr>
        <w:t>.</w:t>
      </w:r>
      <w:r>
        <w:rPr>
          <w:position w:val="5"/>
          <w:sz w:val="14"/>
        </w:rPr>
        <w:tab/>
      </w:r>
      <w:r>
        <w:rPr/>
        <w:t>See</w:t>
      </w:r>
      <w:r>
        <w:rPr>
          <w:spacing w:val="-2"/>
        </w:rPr>
        <w:t> </w:t>
      </w:r>
      <w:r>
        <w:rPr/>
        <w:t>above, para.18-</w:t>
      </w:r>
      <w:r>
        <w:rPr>
          <w:spacing w:val="-4"/>
        </w:rPr>
        <w:t>053.</w:t>
      </w:r>
    </w:p>
    <w:p>
      <w:pPr>
        <w:pStyle w:val="BodyText"/>
        <w:spacing w:before="9"/>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2160">
            <wp:simplePos x="0" y="0"/>
            <wp:positionH relativeFrom="page">
              <wp:posOffset>1257846</wp:posOffset>
            </wp:positionH>
            <wp:positionV relativeFrom="paragraph">
              <wp:posOffset>160155</wp:posOffset>
            </wp:positionV>
            <wp:extent cx="107988" cy="107988"/>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58" w:id="860"/>
      <w:bookmarkEnd w:id="860"/>
      <w:r>
        <w:rPr/>
      </w:r>
      <w:hyperlink w:history="true" w:anchor="_bookmark662">
        <w:r>
          <w:rPr>
            <w:color w:val="005DA1"/>
            <w:spacing w:val="-4"/>
            <w:sz w:val="14"/>
            <w:u w:val="single" w:color="005DA1"/>
          </w:rPr>
          <w:t>408</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Darlington B.C. v Wiltshier Northern Ltd [1995] 1 W.L.R. 68, 79</w:t>
      </w:r>
      <w:r>
        <w:rPr>
          <w:sz w:val="20"/>
        </w:rPr>
        <w:t>; above, para.18-053 at n.327. The reasoning of the </w:t>
      </w:r>
      <w:r>
        <w:rPr>
          <w:rFonts w:ascii="Arial" w:hAnsi="Arial"/>
          <w:i/>
          <w:sz w:val="20"/>
        </w:rPr>
        <w:t>Panatown </w:t>
      </w:r>
      <w:r>
        <w:rPr>
          <w:sz w:val="20"/>
        </w:rPr>
        <w:t>case has likewise been said not to apply where the third </w:t>
      </w:r>
      <w:r>
        <w:rPr>
          <w:sz w:val="20"/>
        </w:rPr>
        <w:t>party has</w:t>
      </w:r>
      <w:r>
        <w:rPr>
          <w:spacing w:val="-2"/>
          <w:sz w:val="20"/>
        </w:rPr>
        <w:t> </w:t>
      </w:r>
      <w:r>
        <w:rPr>
          <w:sz w:val="20"/>
        </w:rPr>
        <w:t>its</w:t>
      </w:r>
      <w:r>
        <w:rPr>
          <w:spacing w:val="-2"/>
          <w:sz w:val="20"/>
        </w:rPr>
        <w:t> </w:t>
      </w:r>
      <w:r>
        <w:rPr>
          <w:sz w:val="20"/>
        </w:rPr>
        <w:t>own</w:t>
      </w:r>
      <w:r>
        <w:rPr>
          <w:spacing w:val="-2"/>
          <w:sz w:val="20"/>
        </w:rPr>
        <w:t> </w:t>
      </w:r>
      <w:r>
        <w:rPr>
          <w:sz w:val="20"/>
        </w:rPr>
        <w:t>independent</w:t>
      </w:r>
      <w:r>
        <w:rPr>
          <w:spacing w:val="-2"/>
          <w:sz w:val="20"/>
        </w:rPr>
        <w:t> </w:t>
      </w:r>
      <w:r>
        <w:rPr>
          <w:sz w:val="20"/>
        </w:rPr>
        <w:t>right</w:t>
      </w:r>
      <w:r>
        <w:rPr>
          <w:spacing w:val="-2"/>
          <w:sz w:val="20"/>
        </w:rPr>
        <w:t> </w:t>
      </w:r>
      <w:r>
        <w:rPr>
          <w:sz w:val="20"/>
        </w:rPr>
        <w:t>against</w:t>
      </w:r>
      <w:r>
        <w:rPr>
          <w:spacing w:val="-2"/>
          <w:sz w:val="20"/>
        </w:rPr>
        <w:t> </w:t>
      </w:r>
      <w:r>
        <w:rPr>
          <w:sz w:val="20"/>
        </w:rPr>
        <w:t>the</w:t>
      </w:r>
      <w:r>
        <w:rPr>
          <w:spacing w:val="-2"/>
          <w:sz w:val="20"/>
        </w:rPr>
        <w:t> </w:t>
      </w:r>
      <w:r>
        <w:rPr>
          <w:sz w:val="20"/>
        </w:rPr>
        <w:t>promisor,</w:t>
      </w:r>
      <w:r>
        <w:rPr>
          <w:spacing w:val="-2"/>
          <w:sz w:val="20"/>
        </w:rPr>
        <w:t> </w:t>
      </w:r>
      <w:r>
        <w:rPr>
          <w:sz w:val="20"/>
        </w:rPr>
        <w:t>not</w:t>
      </w:r>
      <w:r>
        <w:rPr>
          <w:spacing w:val="-2"/>
          <w:sz w:val="20"/>
        </w:rPr>
        <w:t> </w:t>
      </w:r>
      <w:r>
        <w:rPr>
          <w:sz w:val="20"/>
        </w:rPr>
        <w:t>in</w:t>
      </w:r>
      <w:r>
        <w:rPr>
          <w:spacing w:val="-2"/>
          <w:sz w:val="20"/>
        </w:rPr>
        <w:t> </w:t>
      </w:r>
      <w:r>
        <w:rPr>
          <w:sz w:val="20"/>
        </w:rPr>
        <w:t>contract,</w:t>
      </w:r>
      <w:r>
        <w:rPr>
          <w:spacing w:val="-2"/>
          <w:sz w:val="20"/>
        </w:rPr>
        <w:t> </w:t>
      </w:r>
      <w:r>
        <w:rPr>
          <w:sz w:val="20"/>
        </w:rPr>
        <w:t>but</w:t>
      </w:r>
      <w:r>
        <w:rPr>
          <w:spacing w:val="-2"/>
          <w:sz w:val="20"/>
        </w:rPr>
        <w:t> </w:t>
      </w:r>
      <w:r>
        <w:rPr>
          <w:sz w:val="20"/>
        </w:rPr>
        <w:t>in</w:t>
      </w:r>
      <w:r>
        <w:rPr>
          <w:spacing w:val="-2"/>
          <w:sz w:val="20"/>
        </w:rPr>
        <w:t> </w:t>
      </w:r>
      <w:r>
        <w:rPr>
          <w:sz w:val="20"/>
        </w:rPr>
        <w:t>tort,</w:t>
      </w:r>
      <w:r>
        <w:rPr>
          <w:spacing w:val="-3"/>
          <w:sz w:val="20"/>
        </w:rPr>
        <w:t> </w:t>
      </w:r>
      <w:r>
        <w:rPr>
          <w:rFonts w:ascii="Arial" w:hAnsi="Arial"/>
          <w:i/>
          <w:sz w:val="20"/>
        </w:rPr>
        <w:t>Riyad</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Ahli United Bank [2005] EWHC 279 (Comm), [2005] 2 Lloyd’s Rep. 409 </w:t>
      </w:r>
      <w:r>
        <w:rPr>
          <w:sz w:val="20"/>
        </w:rPr>
        <w:t>at [173] (affd without reference to this point </w:t>
      </w:r>
      <w:r>
        <w:rPr>
          <w:rFonts w:ascii="Arial" w:hAnsi="Arial"/>
          <w:i/>
          <w:sz w:val="20"/>
        </w:rPr>
        <w:t>[2006] EWCA Civ 780, [2006] 2 Lloyd’s Rep. 292</w:t>
      </w:r>
      <w:r>
        <w:rPr>
          <w:sz w:val="20"/>
        </w:rPr>
        <w:t>). Cf. the statement in </w:t>
      </w:r>
      <w:r>
        <w:rPr>
          <w:rFonts w:ascii="Arial" w:hAnsi="Arial"/>
          <w:i/>
          <w:sz w:val="20"/>
        </w:rPr>
        <w:t>Swynson</w:t>
      </w:r>
      <w:r>
        <w:rPr>
          <w:rFonts w:ascii="Arial" w:hAnsi="Arial"/>
          <w:i/>
          <w:spacing w:val="45"/>
          <w:sz w:val="20"/>
        </w:rPr>
        <w:t> </w:t>
      </w:r>
      <w:r>
        <w:rPr>
          <w:rFonts w:ascii="Arial" w:hAnsi="Arial"/>
          <w:i/>
          <w:sz w:val="20"/>
        </w:rPr>
        <w:t>Ltd</w:t>
      </w:r>
      <w:r>
        <w:rPr>
          <w:rFonts w:ascii="Arial" w:hAnsi="Arial"/>
          <w:i/>
          <w:spacing w:val="45"/>
          <w:sz w:val="20"/>
        </w:rPr>
        <w:t> </w:t>
      </w:r>
      <w:r>
        <w:rPr>
          <w:rFonts w:ascii="Arial" w:hAnsi="Arial"/>
          <w:i/>
          <w:sz w:val="20"/>
        </w:rPr>
        <w:t>v</w:t>
      </w:r>
      <w:r>
        <w:rPr>
          <w:rFonts w:ascii="Arial" w:hAnsi="Arial"/>
          <w:i/>
          <w:spacing w:val="45"/>
          <w:sz w:val="20"/>
        </w:rPr>
        <w:t> </w:t>
      </w:r>
      <w:r>
        <w:rPr>
          <w:rFonts w:ascii="Arial" w:hAnsi="Arial"/>
          <w:i/>
          <w:sz w:val="20"/>
        </w:rPr>
        <w:t>Lowick</w:t>
      </w:r>
      <w:r>
        <w:rPr>
          <w:rFonts w:ascii="Arial" w:hAnsi="Arial"/>
          <w:i/>
          <w:spacing w:val="45"/>
          <w:sz w:val="20"/>
        </w:rPr>
        <w:t> </w:t>
      </w:r>
      <w:r>
        <w:rPr>
          <w:rFonts w:ascii="Arial" w:hAnsi="Arial"/>
          <w:i/>
          <w:sz w:val="20"/>
        </w:rPr>
        <w:t>Rose</w:t>
      </w:r>
      <w:r>
        <w:rPr>
          <w:rFonts w:ascii="Arial" w:hAnsi="Arial"/>
          <w:i/>
          <w:spacing w:val="45"/>
          <w:sz w:val="20"/>
        </w:rPr>
        <w:t> </w:t>
      </w:r>
      <w:r>
        <w:rPr>
          <w:rFonts w:ascii="Arial" w:hAnsi="Arial"/>
          <w:i/>
          <w:sz w:val="20"/>
        </w:rPr>
        <w:t>LLP</w:t>
      </w:r>
      <w:r>
        <w:rPr>
          <w:rFonts w:ascii="Arial" w:hAnsi="Arial"/>
          <w:i/>
          <w:spacing w:val="45"/>
          <w:sz w:val="20"/>
        </w:rPr>
        <w:t> </w:t>
      </w:r>
      <w:r>
        <w:rPr>
          <w:rFonts w:ascii="Arial" w:hAnsi="Arial"/>
          <w:i/>
          <w:sz w:val="20"/>
        </w:rPr>
        <w:t>[2017]</w:t>
      </w:r>
      <w:r>
        <w:rPr>
          <w:rFonts w:ascii="Arial" w:hAnsi="Arial"/>
          <w:i/>
          <w:spacing w:val="45"/>
          <w:sz w:val="20"/>
        </w:rPr>
        <w:t> </w:t>
      </w:r>
      <w:r>
        <w:rPr>
          <w:rFonts w:ascii="Arial" w:hAnsi="Arial"/>
          <w:i/>
          <w:sz w:val="20"/>
        </w:rPr>
        <w:t>UKSC</w:t>
      </w:r>
      <w:r>
        <w:rPr>
          <w:rFonts w:ascii="Arial" w:hAnsi="Arial"/>
          <w:i/>
          <w:spacing w:val="45"/>
          <w:sz w:val="20"/>
        </w:rPr>
        <w:t> </w:t>
      </w:r>
      <w:r>
        <w:rPr>
          <w:rFonts w:ascii="Arial" w:hAnsi="Arial"/>
          <w:i/>
          <w:sz w:val="20"/>
        </w:rPr>
        <w:t>32,</w:t>
      </w:r>
      <w:r>
        <w:rPr>
          <w:rFonts w:ascii="Arial" w:hAnsi="Arial"/>
          <w:i/>
          <w:spacing w:val="45"/>
          <w:sz w:val="20"/>
        </w:rPr>
        <w:t> </w:t>
      </w:r>
      <w:r>
        <w:rPr>
          <w:rFonts w:ascii="Arial" w:hAnsi="Arial"/>
          <w:i/>
          <w:sz w:val="20"/>
        </w:rPr>
        <w:t>[2017]</w:t>
      </w:r>
      <w:r>
        <w:rPr>
          <w:rFonts w:ascii="Arial" w:hAnsi="Arial"/>
          <w:i/>
          <w:spacing w:val="45"/>
          <w:sz w:val="20"/>
        </w:rPr>
        <w:t> </w:t>
      </w:r>
      <w:r>
        <w:rPr>
          <w:rFonts w:ascii="Arial" w:hAnsi="Arial"/>
          <w:i/>
          <w:sz w:val="20"/>
        </w:rPr>
        <w:t>1</w:t>
      </w:r>
      <w:r>
        <w:rPr>
          <w:rFonts w:ascii="Arial" w:hAnsi="Arial"/>
          <w:i/>
          <w:spacing w:val="45"/>
          <w:sz w:val="20"/>
        </w:rPr>
        <w:t> </w:t>
      </w:r>
      <w:r>
        <w:rPr>
          <w:rFonts w:ascii="Arial" w:hAnsi="Arial"/>
          <w:i/>
          <w:sz w:val="20"/>
        </w:rPr>
        <w:t>W.L.R.</w:t>
      </w:r>
      <w:r>
        <w:rPr>
          <w:rFonts w:ascii="Arial" w:hAnsi="Arial"/>
          <w:i/>
          <w:spacing w:val="45"/>
          <w:sz w:val="20"/>
        </w:rPr>
        <w:t> </w:t>
      </w:r>
      <w:r>
        <w:rPr>
          <w:rFonts w:ascii="Arial" w:hAnsi="Arial"/>
          <w:i/>
          <w:sz w:val="20"/>
        </w:rPr>
        <w:t>1161</w:t>
      </w:r>
      <w:r>
        <w:rPr>
          <w:rFonts w:ascii="Arial" w:hAnsi="Arial"/>
          <w:i/>
          <w:spacing w:val="44"/>
          <w:sz w:val="20"/>
        </w:rPr>
        <w:t> </w:t>
      </w:r>
      <w:r>
        <w:rPr>
          <w:sz w:val="20"/>
        </w:rPr>
        <w:t>at</w:t>
      </w:r>
      <w:r>
        <w:rPr>
          <w:spacing w:val="45"/>
          <w:sz w:val="20"/>
        </w:rPr>
        <w:t> </w:t>
      </w:r>
      <w:r>
        <w:rPr>
          <w:sz w:val="20"/>
        </w:rPr>
        <w:t>[16]</w:t>
      </w:r>
      <w:r>
        <w:rPr>
          <w:spacing w:val="45"/>
          <w:sz w:val="20"/>
        </w:rPr>
        <w:t> </w:t>
      </w:r>
      <w:r>
        <w:rPr>
          <w:sz w:val="20"/>
        </w:rPr>
        <w:t>that</w:t>
      </w:r>
      <w:r>
        <w:rPr>
          <w:spacing w:val="45"/>
          <w:sz w:val="20"/>
        </w:rPr>
        <w:t> </w:t>
      </w:r>
      <w:r>
        <w:rPr>
          <w:spacing w:val="-5"/>
          <w:sz w:val="20"/>
        </w:rPr>
        <w:t>the</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24"/>
      </w:pPr>
    </w:p>
    <w:p>
      <w:pPr>
        <w:pStyle w:val="BodyText"/>
        <w:spacing w:line="235" w:lineRule="auto" w:before="1"/>
        <w:ind w:left="705" w:right="167"/>
        <w:jc w:val="both"/>
      </w:pPr>
      <w:r>
        <w:rPr/>
        <w:t>“principle of transferred loss” (see above, para.18-057 at n.359i) is “not available if the third party has a direct right for the same loss, </w:t>
      </w:r>
      <w:r>
        <w:rPr>
          <w:rFonts w:ascii="Arial" w:hAnsi="Arial"/>
          <w:i/>
        </w:rPr>
        <w:t>on whatever basis</w:t>
      </w:r>
      <w:r>
        <w:rPr/>
        <w:t>” (italics supplied). In that case, the third party had “abandoned the argument that a duty of care was owed [by the defendant] </w:t>
      </w:r>
      <w:r>
        <w:rPr/>
        <w:t>to</w:t>
      </w:r>
      <w:r>
        <w:rPr>
          <w:spacing w:val="40"/>
        </w:rPr>
        <w:t> </w:t>
      </w:r>
      <w:r>
        <w:rPr/>
        <w:t>him [the third party] personally” (</w:t>
      </w:r>
      <w:r>
        <w:rPr>
          <w:rFonts w:ascii="Arial" w:hAnsi="Arial"/>
          <w:i/>
        </w:rPr>
        <w:t>[2017] UKSC 32 </w:t>
      </w:r>
      <w:r>
        <w:rPr/>
        <w:t>at [10]) but there were other reasons why the principle of transferred loss did not there apply: see above, para.18-057.</w:t>
      </w:r>
    </w:p>
    <w:p>
      <w:pPr>
        <w:pStyle w:val="BodyText"/>
        <w:spacing w:before="4"/>
      </w:pPr>
    </w:p>
    <w:p>
      <w:pPr>
        <w:tabs>
          <w:tab w:pos="705" w:val="left" w:leader="none"/>
        </w:tabs>
        <w:spacing w:before="0"/>
        <w:ind w:left="165" w:right="0" w:firstLine="0"/>
        <w:jc w:val="left"/>
        <w:rPr>
          <w:sz w:val="20"/>
        </w:rPr>
      </w:pPr>
      <w:bookmarkStart w:name="_bookmark859" w:id="861"/>
      <w:bookmarkEnd w:id="861"/>
      <w:r>
        <w:rPr/>
      </w:r>
      <w:hyperlink w:history="true" w:anchor="_bookmark663">
        <w:r>
          <w:rPr>
            <w:color w:val="005DA1"/>
            <w:spacing w:val="-4"/>
            <w:position w:val="5"/>
            <w:sz w:val="14"/>
            <w:u w:val="single" w:color="005DA1"/>
          </w:rPr>
          <w:t>409</w:t>
        </w:r>
      </w:hyperlink>
      <w:r>
        <w:rPr>
          <w:spacing w:val="-4"/>
          <w:position w:val="5"/>
          <w:sz w:val="14"/>
        </w:rPr>
        <w:t>.</w:t>
      </w:r>
      <w:r>
        <w:rPr>
          <w:position w:val="5"/>
          <w:sz w:val="14"/>
        </w:rPr>
        <w:tab/>
      </w:r>
      <w:r>
        <w:rPr>
          <w:sz w:val="20"/>
        </w:rPr>
        <w:t>Above, para.18-056;</w:t>
      </w:r>
      <w:r>
        <w:rPr>
          <w:spacing w:val="-1"/>
          <w:sz w:val="20"/>
        </w:rPr>
        <w:t> </w:t>
      </w:r>
      <w:r>
        <w:rPr>
          <w:rFonts w:ascii="Arial"/>
          <w:i/>
          <w:sz w:val="20"/>
        </w:rPr>
        <w:t>Alfred McAlpine Construction Ltd v Panatown Ltd [2001] 1 A.C. 518, </w:t>
      </w:r>
      <w:r>
        <w:rPr>
          <w:rFonts w:ascii="Arial"/>
          <w:i/>
          <w:spacing w:val="-4"/>
          <w:sz w:val="20"/>
        </w:rPr>
        <w:t>532</w:t>
      </w:r>
      <w:r>
        <w:rPr>
          <w:spacing w:val="-4"/>
          <w:sz w:val="20"/>
        </w:rPr>
        <w:t>.</w:t>
      </w:r>
    </w:p>
    <w:p>
      <w:pPr>
        <w:pStyle w:val="BodyText"/>
        <w:spacing w:before="5"/>
      </w:pPr>
    </w:p>
    <w:p>
      <w:pPr>
        <w:pStyle w:val="BodyText"/>
        <w:tabs>
          <w:tab w:pos="705" w:val="left" w:leader="none"/>
        </w:tabs>
        <w:ind w:left="165"/>
      </w:pPr>
      <w:bookmarkStart w:name="_bookmark860" w:id="862"/>
      <w:bookmarkEnd w:id="862"/>
      <w:r>
        <w:rPr/>
      </w:r>
      <w:hyperlink w:history="true" w:anchor="_bookmark664">
        <w:r>
          <w:rPr>
            <w:color w:val="005DA1"/>
            <w:spacing w:val="-4"/>
            <w:position w:val="5"/>
            <w:sz w:val="14"/>
            <w:u w:val="single" w:color="005DA1"/>
          </w:rPr>
          <w:t>410</w:t>
        </w:r>
      </w:hyperlink>
      <w:r>
        <w:rPr>
          <w:spacing w:val="-4"/>
          <w:position w:val="5"/>
          <w:sz w:val="14"/>
        </w:rPr>
        <w:t>.</w:t>
      </w:r>
      <w:r>
        <w:rPr>
          <w:position w:val="5"/>
          <w:sz w:val="14"/>
        </w:rPr>
        <w:tab/>
      </w:r>
      <w:r>
        <w:rPr/>
        <w:t>ibid., 574 and 577 (per Lords Jauncey and Browne-</w:t>
      </w:r>
      <w:r>
        <w:rPr>
          <w:spacing w:val="-2"/>
        </w:rPr>
        <w:t>Wilkinson).</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2672">
            <wp:simplePos x="0" y="0"/>
            <wp:positionH relativeFrom="page">
              <wp:posOffset>1257846</wp:posOffset>
            </wp:positionH>
            <wp:positionV relativeFrom="paragraph">
              <wp:posOffset>160285</wp:posOffset>
            </wp:positionV>
            <wp:extent cx="107988" cy="107988"/>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861" w:id="863"/>
      <w:bookmarkEnd w:id="863"/>
      <w:r>
        <w:rPr/>
      </w:r>
      <w:hyperlink w:history="true" w:anchor="_bookmark665">
        <w:r>
          <w:rPr>
            <w:color w:val="005DA1"/>
            <w:spacing w:val="-4"/>
            <w:sz w:val="14"/>
            <w:u w:val="single" w:color="005DA1"/>
          </w:rPr>
          <w:t>411</w:t>
        </w:r>
      </w:hyperlink>
      <w:r>
        <w:rPr>
          <w:spacing w:val="-4"/>
          <w:sz w:val="14"/>
        </w:rPr>
        <w:t>.</w:t>
      </w:r>
    </w:p>
    <w:p>
      <w:pPr>
        <w:pStyle w:val="BodyText"/>
        <w:spacing w:line="235" w:lineRule="auto" w:before="212"/>
        <w:ind w:left="165" w:right="167" w:firstLine="170"/>
        <w:jc w:val="both"/>
      </w:pPr>
      <w:r>
        <w:rPr/>
        <w:br w:type="column"/>
      </w:r>
      <w:r>
        <w:rPr/>
        <w:t>See the references given in nn.380 and 382, above. For the view that the “principle of transferred loss” (see above, para.18-057 at n.359i) is “driven by legal necessity” (i.e., by the necessity</w:t>
      </w:r>
      <w:r>
        <w:rPr>
          <w:spacing w:val="-3"/>
        </w:rPr>
        <w:t> </w:t>
      </w:r>
      <w:r>
        <w:rPr/>
        <w:t>of</w:t>
      </w:r>
      <w:r>
        <w:rPr>
          <w:spacing w:val="-3"/>
        </w:rPr>
        <w:t> </w:t>
      </w:r>
      <w:r>
        <w:rPr/>
        <w:t>avoiding</w:t>
      </w:r>
      <w:r>
        <w:rPr>
          <w:spacing w:val="-3"/>
        </w:rPr>
        <w:t> </w:t>
      </w:r>
      <w:r>
        <w:rPr/>
        <w:t>a</w:t>
      </w:r>
      <w:r>
        <w:rPr>
          <w:spacing w:val="-3"/>
        </w:rPr>
        <w:t> </w:t>
      </w:r>
      <w:r>
        <w:rPr/>
        <w:t>“legal</w:t>
      </w:r>
      <w:r>
        <w:rPr>
          <w:spacing w:val="-3"/>
        </w:rPr>
        <w:t> </w:t>
      </w:r>
      <w:r>
        <w:rPr/>
        <w:t>black</w:t>
      </w:r>
      <w:r>
        <w:rPr>
          <w:spacing w:val="-3"/>
        </w:rPr>
        <w:t> </w:t>
      </w:r>
      <w:r>
        <w:rPr/>
        <w:t>hole”</w:t>
      </w:r>
      <w:r>
        <w:rPr>
          <w:spacing w:val="-3"/>
        </w:rPr>
        <w:t> </w:t>
      </w:r>
      <w:r>
        <w:rPr/>
        <w:t>of</w:t>
      </w:r>
      <w:r>
        <w:rPr>
          <w:spacing w:val="-3"/>
        </w:rPr>
        <w:t> </w:t>
      </w:r>
      <w:r>
        <w:rPr/>
        <w:t>the</w:t>
      </w:r>
      <w:r>
        <w:rPr>
          <w:spacing w:val="-3"/>
        </w:rPr>
        <w:t> </w:t>
      </w:r>
      <w:r>
        <w:rPr/>
        <w:t>kind</w:t>
      </w:r>
      <w:r>
        <w:rPr>
          <w:spacing w:val="-3"/>
        </w:rPr>
        <w:t> </w:t>
      </w:r>
      <w:r>
        <w:rPr/>
        <w:t>described</w:t>
      </w:r>
      <w:r>
        <w:rPr>
          <w:spacing w:val="-3"/>
        </w:rPr>
        <w:t> </w:t>
      </w:r>
      <w:r>
        <w:rPr/>
        <w:t>in</w:t>
      </w:r>
      <w:r>
        <w:rPr>
          <w:spacing w:val="-3"/>
        </w:rPr>
        <w:t> </w:t>
      </w:r>
      <w:r>
        <w:rPr/>
        <w:t>para.18-061</w:t>
      </w:r>
      <w:r>
        <w:rPr>
          <w:spacing w:val="-3"/>
        </w:rPr>
        <w:t> </w:t>
      </w:r>
      <w:r>
        <w:rPr/>
        <w:t>of</w:t>
      </w:r>
      <w:r>
        <w:rPr>
          <w:spacing w:val="-3"/>
        </w:rPr>
        <w:t> </w:t>
      </w:r>
      <w:r>
        <w:rPr/>
        <w:t>the</w:t>
      </w:r>
      <w:r>
        <w:rPr>
          <w:spacing w:val="-3"/>
        </w:rPr>
        <w:t> </w:t>
      </w:r>
      <w:r>
        <w:rPr/>
        <w:t>Main</w:t>
      </w:r>
      <w:r>
        <w:rPr>
          <w:spacing w:val="-3"/>
        </w:rPr>
        <w:t> </w:t>
      </w:r>
      <w:r>
        <w:rPr/>
        <w:t>Work) see </w:t>
      </w:r>
      <w:r>
        <w:rPr>
          <w:rFonts w:ascii="Arial" w:hAnsi="Arial"/>
          <w:i/>
        </w:rPr>
        <w:t>Swynson Ltd v Lowick Rose LLP [2017] UKSC 32, [2017] 1 W.L.R. 1161 </w:t>
      </w:r>
      <w:r>
        <w:rPr/>
        <w:t>at [16].</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8"/>
      </w:pPr>
    </w:p>
    <w:p>
      <w:pPr>
        <w:spacing w:line="235" w:lineRule="auto" w:before="0"/>
        <w:ind w:left="705" w:right="167" w:hanging="541"/>
        <w:jc w:val="both"/>
        <w:rPr>
          <w:sz w:val="20"/>
        </w:rPr>
      </w:pPr>
      <w:bookmarkStart w:name="_bookmark862" w:id="864"/>
      <w:bookmarkEnd w:id="864"/>
      <w:r>
        <w:rPr/>
      </w:r>
      <w:hyperlink w:history="true" w:anchor="_bookmark666">
        <w:r>
          <w:rPr>
            <w:color w:val="005DA1"/>
            <w:position w:val="5"/>
            <w:sz w:val="14"/>
            <w:u w:val="single" w:color="005DA1"/>
          </w:rPr>
          <w:t>412</w:t>
        </w:r>
      </w:hyperlink>
      <w:r>
        <w:rPr>
          <w:position w:val="5"/>
          <w:sz w:val="14"/>
        </w:rPr>
        <w:t>.</w:t>
      </w:r>
      <w:r>
        <w:rPr>
          <w:spacing w:val="80"/>
          <w:position w:val="5"/>
          <w:sz w:val="14"/>
        </w:rPr>
        <w:t>  </w:t>
      </w:r>
      <w:r>
        <w:rPr>
          <w:rFonts w:ascii="Arial" w:hAnsi="Arial"/>
          <w:i/>
          <w:sz w:val="20"/>
        </w:rPr>
        <w:t>Panatown case [2001] 1 A.C. 518, 574</w:t>
      </w:r>
      <w:r>
        <w:rPr>
          <w:sz w:val="20"/>
        </w:rPr>
        <w:t>, per Lord Jauncey. There would likewise be no </w:t>
      </w:r>
      <w:r>
        <w:rPr>
          <w:sz w:val="20"/>
        </w:rPr>
        <w:t>such “legal black hole” where A’s only interest in the performance of the contract was to avoid the prejudice which failure in its performance might cause to himself and he had a remedy in damages against B in respect of that prejudice: see </w:t>
      </w:r>
      <w:r>
        <w:rPr>
          <w:rFonts w:ascii="Arial" w:hAnsi="Arial"/>
          <w:i/>
          <w:sz w:val="20"/>
        </w:rPr>
        <w:t>Smithkline Beecham plc v Apotex Europe Ltd [2006] EWCA Civ 658, [2007] Ch. 71 </w:t>
      </w:r>
      <w:r>
        <w:rPr>
          <w:sz w:val="20"/>
        </w:rPr>
        <w:t>at [94], and below, para.18-069.</w:t>
      </w:r>
    </w:p>
    <w:p>
      <w:pPr>
        <w:pStyle w:val="BodyText"/>
        <w:spacing w:before="8"/>
      </w:pPr>
    </w:p>
    <w:p>
      <w:pPr>
        <w:spacing w:line="235" w:lineRule="auto" w:before="0"/>
        <w:ind w:left="705" w:right="167" w:hanging="541"/>
        <w:jc w:val="both"/>
        <w:rPr>
          <w:sz w:val="20"/>
        </w:rPr>
      </w:pPr>
      <w:bookmarkStart w:name="_bookmark863" w:id="865"/>
      <w:bookmarkEnd w:id="865"/>
      <w:r>
        <w:rPr/>
      </w:r>
      <w:hyperlink w:history="true" w:anchor="_bookmark666">
        <w:r>
          <w:rPr>
            <w:color w:val="005DA1"/>
            <w:position w:val="5"/>
            <w:sz w:val="14"/>
            <w:u w:val="single" w:color="005DA1"/>
          </w:rPr>
          <w:t>413</w:t>
        </w:r>
      </w:hyperlink>
      <w:r>
        <w:rPr>
          <w:position w:val="5"/>
          <w:sz w:val="14"/>
        </w:rPr>
        <w:t>.</w:t>
      </w:r>
      <w:r>
        <w:rPr>
          <w:spacing w:val="80"/>
          <w:position w:val="5"/>
          <w:sz w:val="14"/>
        </w:rPr>
        <w:t>  </w:t>
      </w:r>
      <w:r>
        <w:rPr>
          <w:rFonts w:ascii="Arial" w:hAnsi="Arial"/>
          <w:i/>
          <w:sz w:val="20"/>
        </w:rPr>
        <w:t>Panatown case [2001] 1 A.C. at 577</w:t>
      </w:r>
      <w:r>
        <w:rPr>
          <w:sz w:val="20"/>
        </w:rPr>
        <w:t>, per Lord Browne-Wilkinson; and see </w:t>
      </w:r>
      <w:r>
        <w:rPr>
          <w:rFonts w:ascii="Arial" w:hAnsi="Arial"/>
          <w:i/>
          <w:sz w:val="20"/>
        </w:rPr>
        <w:t>76 Con. L.R 224 </w:t>
      </w:r>
      <w:r>
        <w:rPr>
          <w:sz w:val="20"/>
        </w:rPr>
        <w:t>at 38 (“made their contractual bed”) cf. </w:t>
      </w:r>
      <w:r>
        <w:rPr>
          <w:rFonts w:ascii="Arial" w:hAnsi="Arial"/>
          <w:i/>
          <w:sz w:val="20"/>
        </w:rPr>
        <w:t>Henderson v Merrett Syndicates Ltd [1992] 2 A.C. </w:t>
      </w:r>
      <w:r>
        <w:rPr>
          <w:rFonts w:ascii="Arial" w:hAnsi="Arial"/>
          <w:i/>
          <w:sz w:val="20"/>
        </w:rPr>
        <w:t>145, 195</w:t>
      </w:r>
      <w:r>
        <w:rPr>
          <w:sz w:val="20"/>
        </w:rPr>
        <w:t>, using the phrase “contractual structure” in the context of the faintly analogous question whether</w:t>
      </w:r>
      <w:r>
        <w:rPr>
          <w:spacing w:val="40"/>
          <w:sz w:val="20"/>
        </w:rPr>
        <w:t> </w:t>
      </w:r>
      <w:r>
        <w:rPr>
          <w:sz w:val="20"/>
        </w:rPr>
        <w:t>a</w:t>
      </w:r>
      <w:r>
        <w:rPr>
          <w:spacing w:val="40"/>
          <w:sz w:val="20"/>
        </w:rPr>
        <w:t> </w:t>
      </w:r>
      <w:r>
        <w:rPr>
          <w:sz w:val="20"/>
        </w:rPr>
        <w:t>contract</w:t>
      </w:r>
      <w:r>
        <w:rPr>
          <w:spacing w:val="40"/>
          <w:sz w:val="20"/>
        </w:rPr>
        <w:t> </w:t>
      </w:r>
      <w:r>
        <w:rPr>
          <w:sz w:val="20"/>
        </w:rPr>
        <w:t>between</w:t>
      </w:r>
      <w:r>
        <w:rPr>
          <w:spacing w:val="40"/>
          <w:sz w:val="20"/>
        </w:rPr>
        <w:t> </w:t>
      </w:r>
      <w:r>
        <w:rPr>
          <w:sz w:val="20"/>
        </w:rPr>
        <w:t>A</w:t>
      </w:r>
      <w:r>
        <w:rPr>
          <w:spacing w:val="40"/>
          <w:sz w:val="20"/>
        </w:rPr>
        <w:t> </w:t>
      </w:r>
      <w:r>
        <w:rPr>
          <w:sz w:val="20"/>
        </w:rPr>
        <w:t>and</w:t>
      </w:r>
      <w:r>
        <w:rPr>
          <w:spacing w:val="40"/>
          <w:sz w:val="20"/>
        </w:rPr>
        <w:t> </w:t>
      </w:r>
      <w:r>
        <w:rPr>
          <w:sz w:val="20"/>
        </w:rPr>
        <w:t>B</w:t>
      </w:r>
      <w:r>
        <w:rPr>
          <w:spacing w:val="40"/>
          <w:sz w:val="20"/>
        </w:rPr>
        <w:t> </w:t>
      </w:r>
      <w:r>
        <w:rPr>
          <w:sz w:val="20"/>
        </w:rPr>
        <w:t>can</w:t>
      </w:r>
      <w:r>
        <w:rPr>
          <w:spacing w:val="40"/>
          <w:sz w:val="20"/>
        </w:rPr>
        <w:t> </w:t>
      </w:r>
      <w:r>
        <w:rPr>
          <w:sz w:val="20"/>
        </w:rPr>
        <w:t>impose</w:t>
      </w:r>
      <w:r>
        <w:rPr>
          <w:spacing w:val="40"/>
          <w:sz w:val="20"/>
        </w:rPr>
        <w:t> </w:t>
      </w:r>
      <w:r>
        <w:rPr>
          <w:sz w:val="20"/>
        </w:rPr>
        <w:t>on</w:t>
      </w:r>
      <w:r>
        <w:rPr>
          <w:spacing w:val="40"/>
          <w:sz w:val="20"/>
        </w:rPr>
        <w:t> </w:t>
      </w:r>
      <w:r>
        <w:rPr>
          <w:sz w:val="20"/>
        </w:rPr>
        <w:t>A</w:t>
      </w:r>
      <w:r>
        <w:rPr>
          <w:spacing w:val="40"/>
          <w:sz w:val="20"/>
        </w:rPr>
        <w:t> </w:t>
      </w:r>
      <w:r>
        <w:rPr>
          <w:sz w:val="20"/>
        </w:rPr>
        <w:t>a</w:t>
      </w:r>
      <w:r>
        <w:rPr>
          <w:spacing w:val="40"/>
          <w:sz w:val="20"/>
        </w:rPr>
        <w:t> </w:t>
      </w:r>
      <w:r>
        <w:rPr>
          <w:sz w:val="20"/>
        </w:rPr>
        <w:t>duty</w:t>
      </w:r>
      <w:r>
        <w:rPr>
          <w:spacing w:val="40"/>
          <w:sz w:val="20"/>
        </w:rPr>
        <w:t> </w:t>
      </w:r>
      <w:r>
        <w:rPr>
          <w:sz w:val="20"/>
        </w:rPr>
        <w:t>of</w:t>
      </w:r>
      <w:r>
        <w:rPr>
          <w:spacing w:val="40"/>
          <w:sz w:val="20"/>
        </w:rPr>
        <w:t> </w:t>
      </w:r>
      <w:r>
        <w:rPr>
          <w:sz w:val="20"/>
        </w:rPr>
        <w:t>care</w:t>
      </w:r>
      <w:r>
        <w:rPr>
          <w:spacing w:val="40"/>
          <w:sz w:val="20"/>
        </w:rPr>
        <w:t> </w:t>
      </w:r>
      <w:r>
        <w:rPr>
          <w:sz w:val="20"/>
        </w:rPr>
        <w:t>to</w:t>
      </w:r>
      <w:r>
        <w:rPr>
          <w:spacing w:val="40"/>
          <w:sz w:val="20"/>
        </w:rPr>
        <w:t> </w:t>
      </w:r>
      <w:r>
        <w:rPr>
          <w:sz w:val="20"/>
        </w:rPr>
        <w:t>C:</w:t>
      </w:r>
      <w:r>
        <w:rPr>
          <w:spacing w:val="40"/>
          <w:sz w:val="20"/>
        </w:rPr>
        <w:t> </w:t>
      </w:r>
      <w:r>
        <w:rPr>
          <w:sz w:val="20"/>
        </w:rPr>
        <w:t>see</w:t>
      </w:r>
      <w:r>
        <w:rPr>
          <w:spacing w:val="40"/>
          <w:sz w:val="20"/>
        </w:rPr>
        <w:t> </w:t>
      </w:r>
      <w:r>
        <w:rPr>
          <w:sz w:val="20"/>
        </w:rPr>
        <w:t>above, para.18-025 n.153; cf. </w:t>
      </w:r>
      <w:r>
        <w:rPr>
          <w:rFonts w:ascii="Arial" w:hAnsi="Arial"/>
          <w:i/>
          <w:sz w:val="20"/>
        </w:rPr>
        <w:t>Greater Nottingham Co-operative Society Ltd v Cementation Piling &amp; Foundation Ltd [1989] Q.B. 71 </w:t>
      </w:r>
      <w:r>
        <w:rPr>
          <w:sz w:val="20"/>
        </w:rPr>
        <w:t>(tort duty excluded by tripartite contractual structure); and </w:t>
      </w:r>
      <w:r>
        <w:rPr>
          <w:rFonts w:ascii="Arial" w:hAnsi="Arial"/>
          <w:i/>
          <w:sz w:val="20"/>
        </w:rPr>
        <w:t>R.M. Turton &amp; Co Ltd v Kerslake &amp; Partners [2000] Lloyd’s Rep. P.N. 967 </w:t>
      </w:r>
      <w:r>
        <w:rPr>
          <w:sz w:val="20"/>
        </w:rPr>
        <w:t>(New Zealand Court of Appeal). Contrast </w:t>
      </w:r>
      <w:r>
        <w:rPr>
          <w:rFonts w:ascii="Arial" w:hAnsi="Arial"/>
          <w:i/>
          <w:sz w:val="20"/>
        </w:rPr>
        <w:t>Riyad Bank v Ahli United Bank (UK) plc [2006] EWCA Civ 780, [2006] 2 Lloyd’s Rep. 292 </w:t>
      </w:r>
      <w:r>
        <w:rPr>
          <w:sz w:val="20"/>
        </w:rPr>
        <w:t>at [31], [32], [42] and [137], where the “contractual structure” did not exclude liability in tort to the third party.</w:t>
      </w:r>
    </w:p>
    <w:p>
      <w:pPr>
        <w:pStyle w:val="BodyText"/>
        <w:spacing w:before="3"/>
      </w:pPr>
    </w:p>
    <w:p>
      <w:pPr>
        <w:tabs>
          <w:tab w:pos="705" w:val="left" w:leader="none"/>
        </w:tabs>
        <w:spacing w:before="0"/>
        <w:ind w:left="165" w:right="0" w:firstLine="0"/>
        <w:jc w:val="left"/>
        <w:rPr>
          <w:sz w:val="20"/>
        </w:rPr>
      </w:pPr>
      <w:bookmarkStart w:name="_bookmark864" w:id="866"/>
      <w:bookmarkEnd w:id="866"/>
      <w:r>
        <w:rPr/>
      </w:r>
      <w:hyperlink w:history="true" w:anchor="_bookmark667">
        <w:r>
          <w:rPr>
            <w:color w:val="005DA1"/>
            <w:spacing w:val="-4"/>
            <w:position w:val="5"/>
            <w:sz w:val="14"/>
            <w:u w:val="single" w:color="005DA1"/>
          </w:rPr>
          <w:t>414</w:t>
        </w:r>
      </w:hyperlink>
      <w:r>
        <w:rPr>
          <w:spacing w:val="-4"/>
          <w:position w:val="5"/>
          <w:sz w:val="14"/>
        </w:rPr>
        <w:t>.</w:t>
      </w:r>
      <w:r>
        <w:rPr>
          <w:position w:val="5"/>
          <w:sz w:val="14"/>
        </w:rPr>
        <w:tab/>
      </w:r>
      <w:r>
        <w:rPr>
          <w:rFonts w:ascii="Arial"/>
          <w:i/>
          <w:sz w:val="20"/>
        </w:rPr>
        <w:t>Panatown</w:t>
      </w:r>
      <w:r>
        <w:rPr>
          <w:rFonts w:ascii="Arial"/>
          <w:i/>
          <w:spacing w:val="-3"/>
          <w:sz w:val="20"/>
        </w:rPr>
        <w:t> </w:t>
      </w:r>
      <w:r>
        <w:rPr>
          <w:rFonts w:ascii="Arial"/>
          <w:i/>
          <w:sz w:val="20"/>
        </w:rPr>
        <w:t>case [2001] 1 A.C. 519, 536</w:t>
      </w:r>
      <w:r>
        <w:rPr>
          <w:sz w:val="20"/>
        </w:rPr>
        <w:t>, per Lord </w:t>
      </w:r>
      <w:r>
        <w:rPr>
          <w:spacing w:val="-2"/>
          <w:sz w:val="20"/>
        </w:rPr>
        <w:t>Clyde.</w:t>
      </w:r>
    </w:p>
    <w:p>
      <w:pPr>
        <w:pStyle w:val="BodyText"/>
        <w:spacing w:before="5"/>
      </w:pPr>
    </w:p>
    <w:p>
      <w:pPr>
        <w:tabs>
          <w:tab w:pos="705" w:val="left" w:leader="none"/>
        </w:tabs>
        <w:spacing w:before="0"/>
        <w:ind w:left="165" w:right="0" w:firstLine="0"/>
        <w:jc w:val="left"/>
        <w:rPr>
          <w:sz w:val="20"/>
        </w:rPr>
      </w:pPr>
      <w:bookmarkStart w:name="_bookmark865" w:id="867"/>
      <w:bookmarkEnd w:id="867"/>
      <w:r>
        <w:rPr/>
      </w:r>
      <w:hyperlink w:history="true" w:anchor="_bookmark667">
        <w:r>
          <w:rPr>
            <w:color w:val="005DA1"/>
            <w:spacing w:val="-4"/>
            <w:position w:val="5"/>
            <w:sz w:val="14"/>
            <w:u w:val="single" w:color="005DA1"/>
          </w:rPr>
          <w:t>415</w:t>
        </w:r>
      </w:hyperlink>
      <w:r>
        <w:rPr>
          <w:spacing w:val="-4"/>
          <w:position w:val="5"/>
          <w:sz w:val="14"/>
        </w:rPr>
        <w:t>.</w:t>
      </w:r>
      <w:r>
        <w:rPr>
          <w:position w:val="5"/>
          <w:sz w:val="14"/>
        </w:rPr>
        <w:tab/>
      </w:r>
      <w:r>
        <w:rPr>
          <w:spacing w:val="-2"/>
          <w:sz w:val="20"/>
        </w:rPr>
        <w:t>ibid.</w:t>
      </w:r>
    </w:p>
    <w:p>
      <w:pPr>
        <w:pStyle w:val="BodyText"/>
        <w:spacing w:before="5"/>
      </w:pPr>
    </w:p>
    <w:p>
      <w:pPr>
        <w:pStyle w:val="BodyText"/>
        <w:tabs>
          <w:tab w:pos="705" w:val="left" w:leader="none"/>
        </w:tabs>
        <w:ind w:left="165"/>
      </w:pPr>
      <w:bookmarkStart w:name="_bookmark866" w:id="868"/>
      <w:bookmarkEnd w:id="868"/>
      <w:r>
        <w:rPr/>
      </w:r>
      <w:hyperlink w:history="true" w:anchor="_bookmark668">
        <w:r>
          <w:rPr>
            <w:color w:val="005DA1"/>
            <w:spacing w:val="-4"/>
            <w:position w:val="5"/>
            <w:sz w:val="14"/>
            <w:u w:val="single" w:color="005DA1"/>
          </w:rPr>
          <w:t>416</w:t>
        </w:r>
      </w:hyperlink>
      <w:r>
        <w:rPr>
          <w:spacing w:val="-4"/>
          <w:position w:val="5"/>
          <w:sz w:val="14"/>
        </w:rPr>
        <w:t>.</w:t>
      </w:r>
      <w:r>
        <w:rPr>
          <w:position w:val="5"/>
          <w:sz w:val="14"/>
        </w:rPr>
        <w:tab/>
      </w:r>
      <w:r>
        <w:rPr/>
        <w:t>For the contrary view, see Lord Goff, dissenting, in</w:t>
      </w:r>
      <w:r>
        <w:rPr>
          <w:spacing w:val="-1"/>
        </w:rPr>
        <w:t> </w:t>
      </w:r>
      <w:r>
        <w:rPr>
          <w:rFonts w:ascii="Arial"/>
          <w:i/>
        </w:rPr>
        <w:t>The Panatown</w:t>
      </w:r>
      <w:r>
        <w:rPr>
          <w:rFonts w:ascii="Arial"/>
          <w:i/>
          <w:spacing w:val="-1"/>
        </w:rPr>
        <w:t> </w:t>
      </w:r>
      <w:r>
        <w:rPr/>
        <w:t>case, above, 556-</w:t>
      </w:r>
      <w:r>
        <w:rPr>
          <w:spacing w:val="-4"/>
        </w:rPr>
        <w:t>557.</w:t>
      </w:r>
    </w:p>
    <w:p>
      <w:pPr>
        <w:pStyle w:val="BodyText"/>
        <w:spacing w:before="5"/>
      </w:pPr>
    </w:p>
    <w:p>
      <w:pPr>
        <w:tabs>
          <w:tab w:pos="705" w:val="left" w:leader="none"/>
        </w:tabs>
        <w:spacing w:before="0"/>
        <w:ind w:left="165" w:right="0" w:firstLine="0"/>
        <w:jc w:val="left"/>
        <w:rPr>
          <w:sz w:val="20"/>
        </w:rPr>
      </w:pPr>
      <w:bookmarkStart w:name="_bookmark867" w:id="869"/>
      <w:bookmarkEnd w:id="869"/>
      <w:r>
        <w:rPr/>
      </w:r>
      <w:hyperlink w:history="true" w:anchor="_bookmark669">
        <w:r>
          <w:rPr>
            <w:color w:val="005DA1"/>
            <w:spacing w:val="-4"/>
            <w:position w:val="5"/>
            <w:sz w:val="14"/>
            <w:u w:val="single" w:color="005DA1"/>
          </w:rPr>
          <w:t>417</w:t>
        </w:r>
      </w:hyperlink>
      <w:r>
        <w:rPr>
          <w:spacing w:val="-4"/>
          <w:position w:val="5"/>
          <w:sz w:val="14"/>
        </w:rPr>
        <w:t>.</w:t>
      </w:r>
      <w:r>
        <w:rPr>
          <w:position w:val="5"/>
          <w:sz w:val="14"/>
        </w:rPr>
        <w:tab/>
      </w:r>
      <w:r>
        <w:rPr>
          <w:rFonts w:ascii="Arial"/>
          <w:i/>
          <w:sz w:val="20"/>
        </w:rPr>
        <w:t>[2001]</w:t>
      </w:r>
      <w:r>
        <w:rPr>
          <w:rFonts w:ascii="Arial"/>
          <w:i/>
          <w:spacing w:val="-1"/>
          <w:sz w:val="20"/>
        </w:rPr>
        <w:t> </w:t>
      </w:r>
      <w:r>
        <w:rPr>
          <w:rFonts w:ascii="Arial"/>
          <w:i/>
          <w:sz w:val="20"/>
        </w:rPr>
        <w:t>1 A.C. 518</w:t>
      </w:r>
      <w:r>
        <w:rPr>
          <w:sz w:val="20"/>
        </w:rPr>
        <w:t>, above para.18-</w:t>
      </w:r>
      <w:r>
        <w:rPr>
          <w:spacing w:val="-4"/>
          <w:sz w:val="20"/>
        </w:rPr>
        <w:t>060.</w:t>
      </w:r>
    </w:p>
    <w:p>
      <w:pPr>
        <w:pStyle w:val="BodyText"/>
        <w:spacing w:before="5"/>
      </w:pPr>
    </w:p>
    <w:p>
      <w:pPr>
        <w:tabs>
          <w:tab w:pos="705" w:val="left" w:leader="none"/>
        </w:tabs>
        <w:spacing w:before="0"/>
        <w:ind w:left="165" w:right="0" w:firstLine="0"/>
        <w:jc w:val="left"/>
        <w:rPr>
          <w:sz w:val="20"/>
        </w:rPr>
      </w:pPr>
      <w:bookmarkStart w:name="_bookmark868" w:id="870"/>
      <w:bookmarkEnd w:id="870"/>
      <w:r>
        <w:rPr/>
      </w:r>
      <w:hyperlink w:history="true" w:anchor="_bookmark670">
        <w:r>
          <w:rPr>
            <w:color w:val="005DA1"/>
            <w:spacing w:val="-4"/>
            <w:position w:val="5"/>
            <w:sz w:val="14"/>
            <w:u w:val="single" w:color="005DA1"/>
          </w:rPr>
          <w:t>418</w:t>
        </w:r>
      </w:hyperlink>
      <w:r>
        <w:rPr>
          <w:spacing w:val="-4"/>
          <w:position w:val="5"/>
          <w:sz w:val="14"/>
        </w:rPr>
        <w:t>.</w:t>
      </w:r>
      <w:r>
        <w:rPr>
          <w:position w:val="5"/>
          <w:sz w:val="14"/>
        </w:rPr>
        <w:tab/>
      </w:r>
      <w:r>
        <w:rPr>
          <w:sz w:val="20"/>
        </w:rPr>
        <w:t>Above, para.18-</w:t>
      </w:r>
      <w:r>
        <w:rPr>
          <w:spacing w:val="-4"/>
          <w:sz w:val="20"/>
        </w:rPr>
        <w:t>056.</w:t>
      </w:r>
    </w:p>
    <w:p>
      <w:pPr>
        <w:pStyle w:val="BodyText"/>
        <w:spacing w:before="5"/>
      </w:pPr>
    </w:p>
    <w:p>
      <w:pPr>
        <w:pStyle w:val="BodyText"/>
        <w:tabs>
          <w:tab w:pos="705" w:val="left" w:leader="none"/>
        </w:tabs>
        <w:ind w:left="165"/>
      </w:pPr>
      <w:bookmarkStart w:name="_bookmark869" w:id="871"/>
      <w:bookmarkEnd w:id="871"/>
      <w:r>
        <w:rPr/>
      </w:r>
      <w:hyperlink w:history="true" w:anchor="_bookmark671">
        <w:r>
          <w:rPr>
            <w:color w:val="005DA1"/>
            <w:spacing w:val="-4"/>
            <w:position w:val="5"/>
            <w:sz w:val="14"/>
            <w:u w:val="single" w:color="005DA1"/>
          </w:rPr>
          <w:t>419</w:t>
        </w:r>
      </w:hyperlink>
      <w:r>
        <w:rPr>
          <w:spacing w:val="-4"/>
          <w:position w:val="5"/>
          <w:sz w:val="14"/>
        </w:rPr>
        <w:t>.</w:t>
      </w:r>
      <w:r>
        <w:rPr>
          <w:position w:val="5"/>
          <w:sz w:val="14"/>
        </w:rPr>
        <w:tab/>
      </w:r>
      <w:r>
        <w:rPr/>
        <w:t>Of Lords Goff and </w:t>
      </w:r>
      <w:r>
        <w:rPr>
          <w:spacing w:val="-2"/>
        </w:rPr>
        <w:t>Millett.</w:t>
      </w:r>
    </w:p>
    <w:p>
      <w:pPr>
        <w:pStyle w:val="BodyText"/>
        <w:spacing w:before="5"/>
      </w:pPr>
    </w:p>
    <w:p>
      <w:pPr>
        <w:pStyle w:val="BodyText"/>
        <w:tabs>
          <w:tab w:pos="705" w:val="left" w:leader="none"/>
        </w:tabs>
        <w:ind w:left="165"/>
      </w:pPr>
      <w:bookmarkStart w:name="_bookmark870" w:id="872"/>
      <w:bookmarkEnd w:id="872"/>
      <w:r>
        <w:rPr/>
      </w:r>
      <w:hyperlink w:history="true" w:anchor="_bookmark672">
        <w:r>
          <w:rPr>
            <w:color w:val="005DA1"/>
            <w:spacing w:val="-4"/>
            <w:position w:val="5"/>
            <w:sz w:val="14"/>
            <w:u w:val="single" w:color="005DA1"/>
          </w:rPr>
          <w:t>420</w:t>
        </w:r>
      </w:hyperlink>
      <w:r>
        <w:rPr>
          <w:spacing w:val="-4"/>
          <w:position w:val="5"/>
          <w:sz w:val="14"/>
        </w:rPr>
        <w:t>.</w:t>
      </w:r>
      <w:r>
        <w:rPr>
          <w:position w:val="5"/>
          <w:sz w:val="14"/>
        </w:rPr>
        <w:tab/>
      </w:r>
      <w:r>
        <w:rPr/>
        <w:t>Lords Clyde, Jauncey and Browne-</w:t>
      </w:r>
      <w:r>
        <w:rPr>
          <w:spacing w:val="-2"/>
        </w:rPr>
        <w:t>Wilkinson.</w:t>
      </w:r>
    </w:p>
    <w:p>
      <w:pPr>
        <w:pStyle w:val="BodyText"/>
        <w:spacing w:before="5"/>
      </w:pPr>
    </w:p>
    <w:p>
      <w:pPr>
        <w:tabs>
          <w:tab w:pos="705" w:val="left" w:leader="none"/>
        </w:tabs>
        <w:spacing w:before="0"/>
        <w:ind w:left="165" w:right="0" w:firstLine="0"/>
        <w:jc w:val="left"/>
        <w:rPr>
          <w:sz w:val="20"/>
        </w:rPr>
      </w:pPr>
      <w:bookmarkStart w:name="_bookmark871" w:id="873"/>
      <w:bookmarkEnd w:id="873"/>
      <w:r>
        <w:rPr/>
      </w:r>
      <w:hyperlink w:history="true" w:anchor="_bookmark673">
        <w:r>
          <w:rPr>
            <w:color w:val="005DA1"/>
            <w:spacing w:val="-4"/>
            <w:position w:val="5"/>
            <w:sz w:val="14"/>
            <w:u w:val="single" w:color="005DA1"/>
          </w:rPr>
          <w:t>421</w:t>
        </w:r>
      </w:hyperlink>
      <w:r>
        <w:rPr>
          <w:spacing w:val="-4"/>
          <w:position w:val="5"/>
          <w:sz w:val="14"/>
        </w:rPr>
        <w:t>.</w:t>
      </w:r>
      <w:r>
        <w:rPr>
          <w:position w:val="5"/>
          <w:sz w:val="14"/>
        </w:rPr>
        <w:tab/>
      </w:r>
      <w:r>
        <w:rPr>
          <w:rFonts w:ascii="Arial"/>
          <w:i/>
          <w:sz w:val="20"/>
        </w:rPr>
        <w:t>Linden</w:t>
      </w:r>
      <w:r>
        <w:rPr>
          <w:rFonts w:ascii="Arial"/>
          <w:i/>
          <w:spacing w:val="-1"/>
          <w:sz w:val="20"/>
        </w:rPr>
        <w:t> </w:t>
      </w:r>
      <w:r>
        <w:rPr>
          <w:rFonts w:ascii="Arial"/>
          <w:i/>
          <w:sz w:val="20"/>
        </w:rPr>
        <w:t>Gardens case [1994] 1 A.C. 85, 97</w:t>
      </w:r>
      <w:r>
        <w:rPr>
          <w:sz w:val="20"/>
        </w:rPr>
        <w:t>; see further paras 18-066 to 18-068 </w:t>
      </w:r>
      <w:r>
        <w:rPr>
          <w:spacing w:val="-2"/>
          <w:sz w:val="20"/>
        </w:rPr>
        <w:t>below.</w:t>
      </w:r>
    </w:p>
    <w:p>
      <w:pPr>
        <w:pStyle w:val="BodyText"/>
        <w:spacing w:before="5"/>
      </w:pPr>
    </w:p>
    <w:p>
      <w:pPr>
        <w:tabs>
          <w:tab w:pos="705" w:val="left" w:leader="none"/>
        </w:tabs>
        <w:spacing w:before="0"/>
        <w:ind w:left="165" w:right="0" w:firstLine="0"/>
        <w:jc w:val="left"/>
        <w:rPr>
          <w:sz w:val="20"/>
        </w:rPr>
      </w:pPr>
      <w:bookmarkStart w:name="_bookmark872" w:id="874"/>
      <w:bookmarkEnd w:id="874"/>
      <w:r>
        <w:rPr/>
      </w:r>
      <w:hyperlink w:history="true" w:anchor="_bookmark674">
        <w:r>
          <w:rPr>
            <w:color w:val="005DA1"/>
            <w:spacing w:val="-4"/>
            <w:position w:val="5"/>
            <w:sz w:val="14"/>
            <w:u w:val="single" w:color="005DA1"/>
          </w:rPr>
          <w:t>422</w:t>
        </w:r>
      </w:hyperlink>
      <w:r>
        <w:rPr>
          <w:spacing w:val="-4"/>
          <w:position w:val="5"/>
          <w:sz w:val="14"/>
        </w:rPr>
        <w:t>.</w:t>
      </w:r>
      <w:r>
        <w:rPr>
          <w:position w:val="5"/>
          <w:sz w:val="14"/>
        </w:rPr>
        <w:tab/>
      </w:r>
      <w:r>
        <w:rPr>
          <w:sz w:val="20"/>
        </w:rPr>
        <w:t>No such separate contract was established in</w:t>
      </w:r>
      <w:r>
        <w:rPr>
          <w:spacing w:val="-1"/>
          <w:sz w:val="20"/>
        </w:rPr>
        <w:t> </w:t>
      </w:r>
      <w:r>
        <w:rPr>
          <w:rFonts w:ascii="Arial"/>
          <w:i/>
          <w:sz w:val="20"/>
        </w:rPr>
        <w:t>Panatown</w:t>
      </w:r>
      <w:r>
        <w:rPr>
          <w:rFonts w:ascii="Arial"/>
          <w:i/>
          <w:spacing w:val="-1"/>
          <w:sz w:val="20"/>
        </w:rPr>
        <w:t> </w:t>
      </w:r>
      <w:r>
        <w:rPr>
          <w:sz w:val="20"/>
        </w:rPr>
        <w:t>case: see</w:t>
      </w:r>
      <w:r>
        <w:rPr>
          <w:spacing w:val="-1"/>
          <w:sz w:val="20"/>
        </w:rPr>
        <w:t> </w:t>
      </w:r>
      <w:r>
        <w:rPr>
          <w:rFonts w:ascii="Arial"/>
          <w:i/>
          <w:sz w:val="20"/>
        </w:rPr>
        <w:t>76 Con.L.R. 224</w:t>
      </w:r>
      <w:r>
        <w:rPr>
          <w:rFonts w:ascii="Arial"/>
          <w:i/>
          <w:spacing w:val="-1"/>
          <w:sz w:val="20"/>
        </w:rPr>
        <w:t> </w:t>
      </w:r>
      <w:r>
        <w:rPr>
          <w:sz w:val="20"/>
        </w:rPr>
        <w:t>at </w:t>
      </w:r>
      <w:r>
        <w:rPr>
          <w:spacing w:val="-5"/>
          <w:sz w:val="20"/>
        </w:rPr>
        <w:t>35.</w:t>
      </w:r>
    </w:p>
    <w:p>
      <w:pPr>
        <w:pStyle w:val="BodyText"/>
        <w:spacing w:before="9"/>
      </w:pPr>
    </w:p>
    <w:p>
      <w:pPr>
        <w:spacing w:line="235" w:lineRule="auto" w:before="0"/>
        <w:ind w:left="705" w:right="167" w:hanging="541"/>
        <w:jc w:val="both"/>
        <w:rPr>
          <w:sz w:val="20"/>
        </w:rPr>
      </w:pPr>
      <w:bookmarkStart w:name="_bookmark873" w:id="875"/>
      <w:bookmarkEnd w:id="875"/>
      <w:r>
        <w:rPr/>
      </w:r>
      <w:hyperlink w:history="true" w:anchor="_bookmark675">
        <w:r>
          <w:rPr>
            <w:color w:val="005DA1"/>
            <w:position w:val="5"/>
            <w:sz w:val="14"/>
            <w:u w:val="single" w:color="005DA1"/>
          </w:rPr>
          <w:t>423</w:t>
        </w:r>
      </w:hyperlink>
      <w:r>
        <w:rPr>
          <w:position w:val="5"/>
          <w:sz w:val="14"/>
        </w:rPr>
        <w:t>.</w:t>
      </w:r>
      <w:r>
        <w:rPr>
          <w:spacing w:val="80"/>
          <w:w w:val="150"/>
          <w:position w:val="5"/>
          <w:sz w:val="14"/>
        </w:rPr>
        <w:t> </w:t>
      </w:r>
      <w:r>
        <w:rPr>
          <w:rFonts w:ascii="Arial"/>
          <w:i/>
          <w:sz w:val="20"/>
        </w:rPr>
        <w:t>Panatown case [2001] 1 A.C. 518, 571</w:t>
      </w:r>
      <w:r>
        <w:rPr>
          <w:sz w:val="20"/>
        </w:rPr>
        <w:t>. This possible restriction on the scope of the </w:t>
      </w:r>
      <w:r>
        <w:rPr>
          <w:sz w:val="20"/>
        </w:rPr>
        <w:t>broader ground is not considered in the discussion of that ground in the further proceedings in that case (</w:t>
      </w:r>
      <w:r>
        <w:rPr>
          <w:rFonts w:ascii="Arial"/>
          <w:i/>
          <w:sz w:val="20"/>
        </w:rPr>
        <w:t>76 Con.L.R. 224 </w:t>
      </w:r>
      <w:r>
        <w:rPr>
          <w:sz w:val="20"/>
        </w:rPr>
        <w:t>at 20), being unnecessary to the decision at this stage.</w:t>
      </w:r>
    </w:p>
    <w:p>
      <w:pPr>
        <w:pStyle w:val="BodyText"/>
        <w:spacing w:before="5"/>
      </w:pPr>
    </w:p>
    <w:p>
      <w:pPr>
        <w:tabs>
          <w:tab w:pos="705" w:val="left" w:leader="none"/>
        </w:tabs>
        <w:spacing w:before="0"/>
        <w:ind w:left="165" w:right="0" w:firstLine="0"/>
        <w:jc w:val="left"/>
        <w:rPr>
          <w:sz w:val="20"/>
        </w:rPr>
      </w:pPr>
      <w:bookmarkStart w:name="_bookmark874" w:id="876"/>
      <w:bookmarkEnd w:id="876"/>
      <w:r>
        <w:rPr/>
      </w:r>
      <w:hyperlink w:history="true" w:anchor="_bookmark676">
        <w:r>
          <w:rPr>
            <w:color w:val="005DA1"/>
            <w:spacing w:val="-4"/>
            <w:position w:val="5"/>
            <w:sz w:val="14"/>
            <w:u w:val="single" w:color="005DA1"/>
          </w:rPr>
          <w:t>424</w:t>
        </w:r>
      </w:hyperlink>
      <w:r>
        <w:rPr>
          <w:spacing w:val="-4"/>
          <w:position w:val="5"/>
          <w:sz w:val="14"/>
        </w:rPr>
        <w:t>.</w:t>
      </w:r>
      <w:r>
        <w:rPr>
          <w:position w:val="5"/>
          <w:sz w:val="14"/>
        </w:rPr>
        <w:tab/>
      </w:r>
      <w:r>
        <w:rPr>
          <w:sz w:val="20"/>
        </w:rPr>
        <w:t>Below, para.18-</w:t>
      </w:r>
      <w:r>
        <w:rPr>
          <w:spacing w:val="-4"/>
          <w:sz w:val="20"/>
        </w:rPr>
        <w:t>078.</w:t>
      </w:r>
    </w:p>
    <w:p>
      <w:pPr>
        <w:pStyle w:val="BodyText"/>
        <w:spacing w:before="5"/>
      </w:pPr>
    </w:p>
    <w:p>
      <w:pPr>
        <w:pStyle w:val="BodyText"/>
        <w:tabs>
          <w:tab w:pos="705" w:val="left" w:leader="none"/>
        </w:tabs>
        <w:ind w:left="165"/>
      </w:pPr>
      <w:bookmarkStart w:name="_bookmark875" w:id="877"/>
      <w:bookmarkEnd w:id="877"/>
      <w:r>
        <w:rPr/>
      </w:r>
      <w:hyperlink w:history="true" w:anchor="_bookmark677">
        <w:r>
          <w:rPr>
            <w:color w:val="005DA1"/>
            <w:spacing w:val="-4"/>
            <w:position w:val="5"/>
            <w:sz w:val="14"/>
            <w:u w:val="single" w:color="005DA1"/>
          </w:rPr>
          <w:t>425</w:t>
        </w:r>
      </w:hyperlink>
      <w:r>
        <w:rPr>
          <w:spacing w:val="-4"/>
          <w:position w:val="5"/>
          <w:sz w:val="14"/>
        </w:rPr>
        <w:t>.</w:t>
      </w:r>
      <w:r>
        <w:rPr>
          <w:position w:val="5"/>
          <w:sz w:val="14"/>
        </w:rPr>
        <w:tab/>
      </w:r>
      <w:r>
        <w:rPr/>
        <w:t>Above,</w:t>
      </w:r>
      <w:r>
        <w:rPr>
          <w:spacing w:val="-2"/>
        </w:rPr>
        <w:t> </w:t>
      </w:r>
      <w:r>
        <w:rPr/>
        <w:t>at nn.395 and </w:t>
      </w:r>
      <w:r>
        <w:rPr>
          <w:spacing w:val="-4"/>
        </w:rPr>
        <w:t>396.</w:t>
      </w:r>
    </w:p>
    <w:p>
      <w:pPr>
        <w:pStyle w:val="BodyText"/>
        <w:spacing w:before="9"/>
      </w:pPr>
    </w:p>
    <w:p>
      <w:pPr>
        <w:pStyle w:val="BodyText"/>
        <w:tabs>
          <w:tab w:pos="705" w:val="left" w:leader="none"/>
        </w:tabs>
        <w:spacing w:line="235" w:lineRule="auto"/>
        <w:ind w:left="705" w:right="168" w:hanging="541"/>
      </w:pPr>
      <w:bookmarkStart w:name="_bookmark876" w:id="878"/>
      <w:bookmarkEnd w:id="878"/>
      <w:r>
        <w:rPr/>
      </w:r>
      <w:hyperlink w:history="true" w:anchor="_bookmark678">
        <w:r>
          <w:rPr>
            <w:color w:val="005DA1"/>
            <w:spacing w:val="-4"/>
            <w:position w:val="5"/>
            <w:sz w:val="14"/>
            <w:u w:val="single" w:color="005DA1"/>
          </w:rPr>
          <w:t>426</w:t>
        </w:r>
      </w:hyperlink>
      <w:r>
        <w:rPr>
          <w:spacing w:val="-4"/>
          <w:position w:val="5"/>
          <w:sz w:val="14"/>
        </w:rPr>
        <w:t>.</w:t>
      </w:r>
      <w:r>
        <w:rPr>
          <w:position w:val="5"/>
          <w:sz w:val="14"/>
        </w:rPr>
        <w:tab/>
      </w:r>
      <w:r>
        <w:rPr/>
        <w:t>Lord Millett’s dissent in the </w:t>
      </w:r>
      <w:r>
        <w:rPr>
          <w:rFonts w:ascii="Arial" w:hAnsi="Arial"/>
          <w:i/>
        </w:rPr>
        <w:t>Panatown </w:t>
      </w:r>
      <w:r>
        <w:rPr/>
        <w:t>case is restricted to this situation: </w:t>
      </w:r>
      <w:r>
        <w:rPr>
          <w:rFonts w:ascii="Arial" w:hAnsi="Arial"/>
          <w:i/>
        </w:rPr>
        <w:t>[2001] 1 A.C. 518, 591</w:t>
      </w:r>
      <w:r>
        <w:rPr/>
        <w:t>; Lord Goff’s dissent does not appear to be so restricted: see ibid. 545, 552–553.</w:t>
      </w:r>
    </w:p>
    <w:p>
      <w:pPr>
        <w:pStyle w:val="BodyText"/>
        <w:spacing w:after="0" w:line="235" w:lineRule="auto"/>
        <w:sectPr>
          <w:type w:val="continuous"/>
          <w:pgSz w:w="11900" w:h="16840"/>
          <w:pgMar w:header="971" w:footer="0" w:top="1160" w:bottom="280" w:left="1275" w:right="1275"/>
        </w:sectPr>
      </w:pPr>
    </w:p>
    <w:p>
      <w:pPr>
        <w:pStyle w:val="BodyText"/>
        <w:spacing w:before="84"/>
      </w:pPr>
    </w:p>
    <w:p>
      <w:pPr>
        <w:spacing w:line="235" w:lineRule="auto" w:before="1"/>
        <w:ind w:left="705" w:right="167" w:hanging="541"/>
        <w:jc w:val="both"/>
        <w:rPr>
          <w:sz w:val="20"/>
        </w:rPr>
      </w:pPr>
      <w:hyperlink w:history="true" w:anchor="_bookmark678">
        <w:r>
          <w:rPr>
            <w:color w:val="005DA1"/>
            <w:position w:val="5"/>
            <w:sz w:val="14"/>
            <w:u w:val="single" w:color="005DA1"/>
          </w:rPr>
          <w:t>427</w:t>
        </w:r>
      </w:hyperlink>
      <w:r>
        <w:rPr>
          <w:position w:val="5"/>
          <w:sz w:val="14"/>
        </w:rPr>
        <w:t>.</w:t>
      </w:r>
      <w:r>
        <w:rPr>
          <w:spacing w:val="80"/>
          <w:position w:val="5"/>
          <w:sz w:val="14"/>
        </w:rPr>
        <w:t> </w:t>
      </w:r>
      <w:r>
        <w:rPr>
          <w:rFonts w:ascii="Arial" w:hAnsi="Arial"/>
          <w:i/>
          <w:sz w:val="20"/>
        </w:rPr>
        <w:t>Linden Gardens case [1994] 1 A.C. 85, 97</w:t>
      </w:r>
      <w:r>
        <w:rPr>
          <w:sz w:val="20"/>
        </w:rPr>
        <w:t>. In </w:t>
      </w:r>
      <w:r>
        <w:rPr>
          <w:rFonts w:ascii="Arial" w:hAnsi="Arial"/>
          <w:i/>
          <w:sz w:val="20"/>
        </w:rPr>
        <w:t>Rolls Royce Power Engineering plc v Ricardo Consulting Engineers Ltd [2003] EWHC 2871 (TCC), [2004] 2 All E.R. (Comm) 129 </w:t>
      </w:r>
      <w:r>
        <w:rPr>
          <w:sz w:val="20"/>
        </w:rPr>
        <w:t>at [128] </w:t>
      </w:r>
      <w:r>
        <w:rPr>
          <w:sz w:val="20"/>
        </w:rPr>
        <w:t>it was said that the “broader ground” for the decision in the </w:t>
      </w:r>
      <w:r>
        <w:rPr>
          <w:rFonts w:ascii="Arial" w:hAnsi="Arial"/>
          <w:i/>
          <w:sz w:val="20"/>
        </w:rPr>
        <w:t>Linden Gardens </w:t>
      </w:r>
      <w:r>
        <w:rPr>
          <w:sz w:val="20"/>
        </w:rPr>
        <w:t>case was not easy to apply “where the alleged damage is damage to, or failure to repair, property and there is no suggestion of consequential loss.” It is, with respect, submitted that this restriction of the “broader ground” appears to be inconsistent with Lord Griffiths’ example stated in the text </w:t>
      </w:r>
      <w:r>
        <w:rPr>
          <w:spacing w:val="-2"/>
          <w:sz w:val="20"/>
        </w:rPr>
        <w:t>above.</w:t>
      </w:r>
    </w:p>
    <w:p>
      <w:pPr>
        <w:pStyle w:val="BodyText"/>
        <w:spacing w:before="3"/>
      </w:pPr>
    </w:p>
    <w:p>
      <w:pPr>
        <w:tabs>
          <w:tab w:pos="705" w:val="left" w:leader="none"/>
        </w:tabs>
        <w:spacing w:before="0"/>
        <w:ind w:left="165" w:right="0" w:firstLine="0"/>
        <w:jc w:val="left"/>
        <w:rPr>
          <w:sz w:val="20"/>
        </w:rPr>
      </w:pPr>
      <w:bookmarkStart w:name="_bookmark877" w:id="879"/>
      <w:bookmarkEnd w:id="879"/>
      <w:r>
        <w:rPr/>
      </w:r>
      <w:hyperlink w:history="true" w:anchor="_bookmark679">
        <w:r>
          <w:rPr>
            <w:color w:val="005DA1"/>
            <w:spacing w:val="-4"/>
            <w:position w:val="5"/>
            <w:sz w:val="14"/>
            <w:u w:val="single" w:color="005DA1"/>
          </w:rPr>
          <w:t>428</w:t>
        </w:r>
      </w:hyperlink>
      <w:r>
        <w:rPr>
          <w:spacing w:val="-4"/>
          <w:position w:val="5"/>
          <w:sz w:val="14"/>
        </w:rPr>
        <w:t>.</w:t>
      </w:r>
      <w:r>
        <w:rPr>
          <w:position w:val="5"/>
          <w:sz w:val="14"/>
        </w:rPr>
        <w:tab/>
      </w:r>
      <w:r>
        <w:rPr>
          <w:rFonts w:ascii="Arial"/>
          <w:i/>
          <w:sz w:val="20"/>
        </w:rPr>
        <w:t>[1986]</w:t>
      </w:r>
      <w:r>
        <w:rPr>
          <w:rFonts w:ascii="Arial"/>
          <w:i/>
          <w:spacing w:val="-1"/>
          <w:sz w:val="20"/>
        </w:rPr>
        <w:t> </w:t>
      </w:r>
      <w:r>
        <w:rPr>
          <w:rFonts w:ascii="Arial"/>
          <w:i/>
          <w:sz w:val="20"/>
        </w:rPr>
        <w:t>A.C. 58</w:t>
      </w:r>
      <w:r>
        <w:rPr>
          <w:sz w:val="20"/>
        </w:rPr>
        <w:t>, above, para.18-</w:t>
      </w:r>
      <w:r>
        <w:rPr>
          <w:spacing w:val="-4"/>
          <w:sz w:val="20"/>
        </w:rPr>
        <w:t>022.</w:t>
      </w:r>
    </w:p>
    <w:p>
      <w:pPr>
        <w:pStyle w:val="BodyText"/>
        <w:spacing w:before="5"/>
      </w:pPr>
    </w:p>
    <w:p>
      <w:pPr>
        <w:tabs>
          <w:tab w:pos="705" w:val="left" w:leader="none"/>
        </w:tabs>
        <w:spacing w:before="0"/>
        <w:ind w:left="165" w:right="0" w:firstLine="0"/>
        <w:jc w:val="left"/>
        <w:rPr>
          <w:sz w:val="20"/>
        </w:rPr>
      </w:pPr>
      <w:bookmarkStart w:name="_bookmark878" w:id="880"/>
      <w:bookmarkEnd w:id="880"/>
      <w:r>
        <w:rPr/>
      </w:r>
      <w:hyperlink w:history="true" w:anchor="_bookmark680">
        <w:r>
          <w:rPr>
            <w:color w:val="005DA1"/>
            <w:spacing w:val="-4"/>
            <w:position w:val="5"/>
            <w:sz w:val="14"/>
            <w:u w:val="single" w:color="005DA1"/>
          </w:rPr>
          <w:t>429</w:t>
        </w:r>
      </w:hyperlink>
      <w:r>
        <w:rPr>
          <w:spacing w:val="-4"/>
          <w:position w:val="5"/>
          <w:sz w:val="14"/>
        </w:rPr>
        <w:t>.</w:t>
      </w:r>
      <w:r>
        <w:rPr>
          <w:position w:val="5"/>
          <w:sz w:val="14"/>
        </w:rPr>
        <w:tab/>
      </w:r>
      <w:r>
        <w:rPr>
          <w:rFonts w:ascii="Arial"/>
          <w:i/>
          <w:sz w:val="20"/>
        </w:rPr>
        <w:t>[1986]</w:t>
      </w:r>
      <w:r>
        <w:rPr>
          <w:rFonts w:ascii="Arial"/>
          <w:i/>
          <w:spacing w:val="-1"/>
          <w:sz w:val="20"/>
        </w:rPr>
        <w:t> </w:t>
      </w:r>
      <w:r>
        <w:rPr>
          <w:rFonts w:ascii="Arial"/>
          <w:i/>
          <w:sz w:val="20"/>
        </w:rPr>
        <w:t>A.C. 58, 102</w:t>
      </w:r>
      <w:r>
        <w:rPr>
          <w:sz w:val="20"/>
        </w:rPr>
        <w:t>; above, para.18-</w:t>
      </w:r>
      <w:r>
        <w:rPr>
          <w:spacing w:val="-4"/>
          <w:sz w:val="20"/>
        </w:rPr>
        <w:t>049.</w:t>
      </w:r>
    </w:p>
    <w:p>
      <w:pPr>
        <w:pStyle w:val="BodyText"/>
        <w:spacing w:before="5"/>
      </w:pPr>
    </w:p>
    <w:p>
      <w:pPr>
        <w:tabs>
          <w:tab w:pos="705" w:val="left" w:leader="none"/>
        </w:tabs>
        <w:spacing w:before="0"/>
        <w:ind w:left="165" w:right="0" w:firstLine="0"/>
        <w:jc w:val="left"/>
        <w:rPr>
          <w:sz w:val="20"/>
        </w:rPr>
      </w:pPr>
      <w:bookmarkStart w:name="_bookmark879" w:id="881"/>
      <w:bookmarkEnd w:id="881"/>
      <w:r>
        <w:rPr/>
      </w:r>
      <w:hyperlink w:history="true" w:anchor="_bookmark681">
        <w:r>
          <w:rPr>
            <w:color w:val="005DA1"/>
            <w:spacing w:val="-4"/>
            <w:position w:val="5"/>
            <w:sz w:val="14"/>
            <w:u w:val="single" w:color="005DA1"/>
          </w:rPr>
          <w:t>430</w:t>
        </w:r>
      </w:hyperlink>
      <w:r>
        <w:rPr>
          <w:spacing w:val="-4"/>
          <w:position w:val="5"/>
          <w:sz w:val="14"/>
        </w:rPr>
        <w:t>.</w:t>
      </w:r>
      <w:r>
        <w:rPr>
          <w:position w:val="5"/>
          <w:sz w:val="14"/>
        </w:rPr>
        <w:tab/>
      </w:r>
      <w:r>
        <w:rPr>
          <w:rFonts w:ascii="Arial"/>
          <w:i/>
          <w:sz w:val="20"/>
        </w:rPr>
        <w:t>[1980]</w:t>
      </w:r>
      <w:r>
        <w:rPr>
          <w:rFonts w:ascii="Arial"/>
          <w:i/>
          <w:spacing w:val="-1"/>
          <w:sz w:val="20"/>
        </w:rPr>
        <w:t> </w:t>
      </w:r>
      <w:r>
        <w:rPr>
          <w:rFonts w:ascii="Arial"/>
          <w:i/>
          <w:sz w:val="20"/>
        </w:rPr>
        <w:t>1 W.L.R. 277</w:t>
      </w:r>
      <w:r>
        <w:rPr>
          <w:sz w:val="20"/>
        </w:rPr>
        <w:t>, above, para.18-</w:t>
      </w:r>
      <w:r>
        <w:rPr>
          <w:spacing w:val="-4"/>
          <w:sz w:val="20"/>
        </w:rPr>
        <w:t>052.</w:t>
      </w:r>
    </w:p>
    <w:p>
      <w:pPr>
        <w:pStyle w:val="BodyText"/>
        <w:spacing w:before="5"/>
      </w:pPr>
    </w:p>
    <w:p>
      <w:pPr>
        <w:pStyle w:val="BodyText"/>
        <w:tabs>
          <w:tab w:pos="705" w:val="left" w:leader="none"/>
        </w:tabs>
        <w:ind w:left="165"/>
      </w:pPr>
      <w:bookmarkStart w:name="_bookmark880" w:id="882"/>
      <w:bookmarkEnd w:id="882"/>
      <w:r>
        <w:rPr/>
      </w:r>
      <w:hyperlink w:history="true" w:anchor="_bookmark682">
        <w:r>
          <w:rPr>
            <w:color w:val="005DA1"/>
            <w:spacing w:val="-4"/>
            <w:position w:val="5"/>
            <w:sz w:val="14"/>
            <w:u w:val="single" w:color="005DA1"/>
          </w:rPr>
          <w:t>431</w:t>
        </w:r>
      </w:hyperlink>
      <w:r>
        <w:rPr>
          <w:spacing w:val="-4"/>
          <w:position w:val="5"/>
          <w:sz w:val="14"/>
        </w:rPr>
        <w:t>.</w:t>
      </w:r>
      <w:r>
        <w:rPr>
          <w:position w:val="5"/>
          <w:sz w:val="14"/>
        </w:rPr>
        <w:tab/>
      </w:r>
      <w:r>
        <w:rPr/>
        <w:t>i.e. unless A can show that B’s breach caused loss</w:t>
      </w:r>
      <w:r>
        <w:rPr>
          <w:spacing w:val="-1"/>
        </w:rPr>
        <w:t> </w:t>
      </w:r>
      <w:r>
        <w:rPr>
          <w:rFonts w:ascii="Arial" w:hAnsi="Arial"/>
          <w:i/>
        </w:rPr>
        <w:t>to </w:t>
      </w:r>
      <w:r>
        <w:rPr/>
        <w:t>A </w:t>
      </w:r>
      <w:r>
        <w:rPr>
          <w:spacing w:val="-2"/>
        </w:rPr>
        <w:t>himself.</w:t>
      </w:r>
    </w:p>
    <w:p>
      <w:pPr>
        <w:pStyle w:val="BodyText"/>
        <w:spacing w:before="5"/>
      </w:pPr>
    </w:p>
    <w:p>
      <w:pPr>
        <w:pStyle w:val="BodyText"/>
        <w:tabs>
          <w:tab w:pos="705" w:val="left" w:leader="none"/>
        </w:tabs>
        <w:ind w:left="165"/>
      </w:pPr>
      <w:bookmarkStart w:name="_bookmark881" w:id="883"/>
      <w:bookmarkEnd w:id="883"/>
      <w:r>
        <w:rPr/>
      </w:r>
      <w:hyperlink w:history="true" w:anchor="_bookmark683">
        <w:r>
          <w:rPr>
            <w:color w:val="005DA1"/>
            <w:spacing w:val="-4"/>
            <w:position w:val="5"/>
            <w:sz w:val="14"/>
            <w:u w:val="single" w:color="005DA1"/>
          </w:rPr>
          <w:t>432</w:t>
        </w:r>
      </w:hyperlink>
      <w:r>
        <w:rPr>
          <w:spacing w:val="-4"/>
          <w:position w:val="5"/>
          <w:sz w:val="14"/>
        </w:rPr>
        <w:t>.</w:t>
      </w:r>
      <w:r>
        <w:rPr>
          <w:position w:val="5"/>
          <w:sz w:val="14"/>
        </w:rPr>
        <w:tab/>
      </w:r>
      <w:r>
        <w:rPr/>
        <w:t>See above, paras 18-049, 18-052 and 18-</w:t>
      </w:r>
      <w:r>
        <w:rPr>
          <w:spacing w:val="-4"/>
        </w:rPr>
        <w:t>053.</w:t>
      </w:r>
    </w:p>
    <w:p>
      <w:pPr>
        <w:pStyle w:val="BodyText"/>
        <w:spacing w:before="5"/>
      </w:pPr>
    </w:p>
    <w:p>
      <w:pPr>
        <w:tabs>
          <w:tab w:pos="705" w:val="left" w:leader="none"/>
        </w:tabs>
        <w:spacing w:line="227" w:lineRule="exact" w:before="0"/>
        <w:ind w:left="165" w:right="0" w:firstLine="0"/>
        <w:jc w:val="left"/>
        <w:rPr>
          <w:sz w:val="20"/>
        </w:rPr>
      </w:pPr>
      <w:bookmarkStart w:name="_bookmark882" w:id="884"/>
      <w:bookmarkEnd w:id="884"/>
      <w:r>
        <w:rPr/>
      </w:r>
      <w:hyperlink w:history="true" w:anchor="_bookmark684">
        <w:r>
          <w:rPr>
            <w:color w:val="005DA1"/>
            <w:spacing w:val="-4"/>
            <w:position w:val="5"/>
            <w:sz w:val="14"/>
            <w:u w:val="single" w:color="005DA1"/>
          </w:rPr>
          <w:t>433</w:t>
        </w:r>
      </w:hyperlink>
      <w:r>
        <w:rPr>
          <w:spacing w:val="-4"/>
          <w:position w:val="5"/>
          <w:sz w:val="14"/>
        </w:rPr>
        <w:t>.</w:t>
      </w:r>
      <w:r>
        <w:rPr>
          <w:position w:val="5"/>
          <w:sz w:val="14"/>
        </w:rPr>
        <w:tab/>
      </w:r>
      <w:r>
        <w:rPr>
          <w:sz w:val="20"/>
        </w:rPr>
        <w:t>i.e.</w:t>
      </w:r>
      <w:r>
        <w:rPr>
          <w:spacing w:val="4"/>
          <w:sz w:val="20"/>
        </w:rPr>
        <w:t> </w:t>
      </w:r>
      <w:r>
        <w:rPr>
          <w:sz w:val="20"/>
        </w:rPr>
        <w:t>in</w:t>
      </w:r>
      <w:r>
        <w:rPr>
          <w:spacing w:val="5"/>
          <w:sz w:val="20"/>
        </w:rPr>
        <w:t> </w:t>
      </w:r>
      <w:r>
        <w:rPr>
          <w:sz w:val="20"/>
        </w:rPr>
        <w:t>the</w:t>
      </w:r>
      <w:r>
        <w:rPr>
          <w:spacing w:val="5"/>
          <w:sz w:val="20"/>
        </w:rPr>
        <w:t> </w:t>
      </w:r>
      <w:r>
        <w:rPr>
          <w:rFonts w:ascii="Arial"/>
          <w:i/>
          <w:sz w:val="20"/>
        </w:rPr>
        <w:t>Linden</w:t>
      </w:r>
      <w:r>
        <w:rPr>
          <w:rFonts w:ascii="Arial"/>
          <w:i/>
          <w:spacing w:val="5"/>
          <w:sz w:val="20"/>
        </w:rPr>
        <w:t> </w:t>
      </w:r>
      <w:r>
        <w:rPr>
          <w:rFonts w:ascii="Arial"/>
          <w:i/>
          <w:sz w:val="20"/>
        </w:rPr>
        <w:t>Gardens</w:t>
      </w:r>
      <w:r>
        <w:rPr>
          <w:rFonts w:ascii="Arial"/>
          <w:i/>
          <w:spacing w:val="5"/>
          <w:sz w:val="20"/>
        </w:rPr>
        <w:t> </w:t>
      </w:r>
      <w:r>
        <w:rPr>
          <w:rFonts w:ascii="Arial"/>
          <w:i/>
          <w:sz w:val="20"/>
        </w:rPr>
        <w:t>case</w:t>
      </w:r>
      <w:r>
        <w:rPr>
          <w:rFonts w:ascii="Arial"/>
          <w:i/>
          <w:spacing w:val="5"/>
          <w:sz w:val="20"/>
        </w:rPr>
        <w:t> </w:t>
      </w:r>
      <w:r>
        <w:rPr>
          <w:rFonts w:ascii="Arial"/>
          <w:i/>
          <w:sz w:val="20"/>
        </w:rPr>
        <w:t>[1994]</w:t>
      </w:r>
      <w:r>
        <w:rPr>
          <w:rFonts w:ascii="Arial"/>
          <w:i/>
          <w:spacing w:val="5"/>
          <w:sz w:val="20"/>
        </w:rPr>
        <w:t> </w:t>
      </w:r>
      <w:r>
        <w:rPr>
          <w:rFonts w:ascii="Arial"/>
          <w:i/>
          <w:sz w:val="20"/>
        </w:rPr>
        <w:t>A.C.</w:t>
      </w:r>
      <w:r>
        <w:rPr>
          <w:rFonts w:ascii="Arial"/>
          <w:i/>
          <w:spacing w:val="5"/>
          <w:sz w:val="20"/>
        </w:rPr>
        <w:t> </w:t>
      </w:r>
      <w:r>
        <w:rPr>
          <w:rFonts w:ascii="Arial"/>
          <w:i/>
          <w:sz w:val="20"/>
        </w:rPr>
        <w:t>85</w:t>
      </w:r>
      <w:r>
        <w:rPr>
          <w:sz w:val="20"/>
        </w:rPr>
        <w:t>,</w:t>
      </w:r>
      <w:r>
        <w:rPr>
          <w:spacing w:val="5"/>
          <w:sz w:val="20"/>
        </w:rPr>
        <w:t> </w:t>
      </w:r>
      <w:r>
        <w:rPr>
          <w:sz w:val="20"/>
        </w:rPr>
        <w:t>the</w:t>
      </w:r>
      <w:r>
        <w:rPr>
          <w:spacing w:val="5"/>
          <w:sz w:val="20"/>
        </w:rPr>
        <w:t> </w:t>
      </w:r>
      <w:r>
        <w:rPr>
          <w:rFonts w:ascii="Arial"/>
          <w:i/>
          <w:sz w:val="20"/>
        </w:rPr>
        <w:t>Darlington</w:t>
      </w:r>
      <w:r>
        <w:rPr>
          <w:rFonts w:ascii="Arial"/>
          <w:i/>
          <w:spacing w:val="5"/>
          <w:sz w:val="20"/>
        </w:rPr>
        <w:t> </w:t>
      </w:r>
      <w:r>
        <w:rPr>
          <w:rFonts w:ascii="Arial"/>
          <w:i/>
          <w:sz w:val="20"/>
        </w:rPr>
        <w:t>case</w:t>
      </w:r>
      <w:r>
        <w:rPr>
          <w:rFonts w:ascii="Arial"/>
          <w:i/>
          <w:spacing w:val="5"/>
          <w:sz w:val="20"/>
        </w:rPr>
        <w:t> </w:t>
      </w:r>
      <w:r>
        <w:rPr>
          <w:rFonts w:ascii="Arial"/>
          <w:i/>
          <w:sz w:val="20"/>
        </w:rPr>
        <w:t>[1995]</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68</w:t>
      </w:r>
      <w:r>
        <w:rPr>
          <w:rFonts w:ascii="Arial"/>
          <w:i/>
          <w:spacing w:val="5"/>
          <w:sz w:val="20"/>
        </w:rPr>
        <w:t> </w:t>
      </w:r>
      <w:r>
        <w:rPr>
          <w:sz w:val="20"/>
        </w:rPr>
        <w:t>and</w:t>
      </w:r>
      <w:r>
        <w:rPr>
          <w:spacing w:val="5"/>
          <w:sz w:val="20"/>
        </w:rPr>
        <w:t> </w:t>
      </w:r>
      <w:r>
        <w:rPr>
          <w:spacing w:val="-5"/>
          <w:sz w:val="20"/>
        </w:rPr>
        <w:t>the</w:t>
      </w:r>
    </w:p>
    <w:p>
      <w:pPr>
        <w:spacing w:line="227" w:lineRule="exact" w:before="0"/>
        <w:ind w:left="705" w:right="0" w:firstLine="0"/>
        <w:jc w:val="left"/>
        <w:rPr>
          <w:sz w:val="20"/>
        </w:rPr>
      </w:pPr>
      <w:r>
        <w:rPr>
          <w:rFonts w:ascii="Arial"/>
          <w:i/>
          <w:sz w:val="20"/>
        </w:rPr>
        <w:t>Panatown case [2001] 1 A.C. </w:t>
      </w:r>
      <w:r>
        <w:rPr>
          <w:rFonts w:ascii="Arial"/>
          <w:i/>
          <w:spacing w:val="-4"/>
          <w:sz w:val="20"/>
        </w:rPr>
        <w:t>518</w:t>
      </w:r>
      <w:r>
        <w:rPr>
          <w:spacing w:val="-4"/>
          <w:sz w:val="20"/>
        </w:rPr>
        <w:t>.</w:t>
      </w:r>
    </w:p>
    <w:p>
      <w:pPr>
        <w:pStyle w:val="BodyText"/>
        <w:spacing w:before="5"/>
      </w:pPr>
    </w:p>
    <w:p>
      <w:pPr>
        <w:pStyle w:val="BodyText"/>
        <w:tabs>
          <w:tab w:pos="705" w:val="left" w:leader="none"/>
        </w:tabs>
        <w:spacing w:before="1"/>
        <w:ind w:left="165"/>
      </w:pPr>
      <w:bookmarkStart w:name="_bookmark883" w:id="885"/>
      <w:bookmarkEnd w:id="885"/>
      <w:r>
        <w:rPr/>
      </w:r>
      <w:hyperlink w:history="true" w:anchor="_bookmark685">
        <w:r>
          <w:rPr>
            <w:color w:val="005DA1"/>
            <w:spacing w:val="-4"/>
            <w:position w:val="5"/>
            <w:sz w:val="14"/>
            <w:u w:val="single" w:color="005DA1"/>
          </w:rPr>
          <w:t>434</w:t>
        </w:r>
      </w:hyperlink>
      <w:r>
        <w:rPr>
          <w:spacing w:val="-4"/>
          <w:position w:val="5"/>
          <w:sz w:val="14"/>
        </w:rPr>
        <w:t>.</w:t>
      </w:r>
      <w:r>
        <w:rPr>
          <w:position w:val="5"/>
          <w:sz w:val="14"/>
        </w:rPr>
        <w:tab/>
      </w:r>
      <w:r>
        <w:rPr/>
        <w:t>See</w:t>
      </w:r>
      <w:r>
        <w:rPr>
          <w:spacing w:val="-2"/>
        </w:rPr>
        <w:t> </w:t>
      </w:r>
      <w:r>
        <w:rPr/>
        <w:t>above, para.18-</w:t>
      </w:r>
      <w:r>
        <w:rPr>
          <w:spacing w:val="-4"/>
        </w:rPr>
        <w:t>053.</w:t>
      </w:r>
    </w:p>
    <w:p>
      <w:pPr>
        <w:pStyle w:val="BodyText"/>
        <w:spacing w:before="4"/>
      </w:pPr>
    </w:p>
    <w:p>
      <w:pPr>
        <w:tabs>
          <w:tab w:pos="705" w:val="left" w:leader="none"/>
        </w:tabs>
        <w:spacing w:before="1"/>
        <w:ind w:left="165" w:right="0" w:firstLine="0"/>
        <w:jc w:val="left"/>
        <w:rPr>
          <w:sz w:val="20"/>
        </w:rPr>
      </w:pPr>
      <w:bookmarkStart w:name="_bookmark884" w:id="886"/>
      <w:bookmarkEnd w:id="886"/>
      <w:r>
        <w:rPr/>
      </w:r>
      <w:hyperlink w:history="true" w:anchor="_bookmark686">
        <w:r>
          <w:rPr>
            <w:color w:val="005DA1"/>
            <w:spacing w:val="-4"/>
            <w:position w:val="5"/>
            <w:sz w:val="14"/>
            <w:u w:val="single" w:color="005DA1"/>
          </w:rPr>
          <w:t>435</w:t>
        </w:r>
      </w:hyperlink>
      <w:r>
        <w:rPr>
          <w:spacing w:val="-4"/>
          <w:position w:val="5"/>
          <w:sz w:val="14"/>
        </w:rPr>
        <w:t>.</w:t>
      </w:r>
      <w:r>
        <w:rPr>
          <w:position w:val="5"/>
          <w:sz w:val="14"/>
        </w:rPr>
        <w:tab/>
      </w:r>
      <w:r>
        <w:rPr>
          <w:sz w:val="20"/>
        </w:rPr>
        <w:t>Above, para.18-</w:t>
      </w:r>
      <w:r>
        <w:rPr>
          <w:spacing w:val="-4"/>
          <w:sz w:val="20"/>
        </w:rPr>
        <w:t>022.</w:t>
      </w:r>
    </w:p>
    <w:p>
      <w:pPr>
        <w:pStyle w:val="BodyText"/>
        <w:spacing w:before="4"/>
      </w:pPr>
    </w:p>
    <w:p>
      <w:pPr>
        <w:tabs>
          <w:tab w:pos="705" w:val="left" w:leader="none"/>
        </w:tabs>
        <w:spacing w:before="1"/>
        <w:ind w:left="165" w:right="0" w:firstLine="0"/>
        <w:jc w:val="left"/>
        <w:rPr>
          <w:sz w:val="20"/>
        </w:rPr>
      </w:pPr>
      <w:bookmarkStart w:name="_bookmark885" w:id="887"/>
      <w:bookmarkEnd w:id="887"/>
      <w:r>
        <w:rPr/>
      </w:r>
      <w:hyperlink w:history="true" w:anchor="_bookmark687">
        <w:r>
          <w:rPr>
            <w:color w:val="005DA1"/>
            <w:spacing w:val="-4"/>
            <w:position w:val="5"/>
            <w:sz w:val="14"/>
            <w:u w:val="single" w:color="005DA1"/>
          </w:rPr>
          <w:t>436</w:t>
        </w:r>
      </w:hyperlink>
      <w:r>
        <w:rPr>
          <w:spacing w:val="-4"/>
          <w:position w:val="5"/>
          <w:sz w:val="14"/>
        </w:rPr>
        <w:t>.</w:t>
      </w:r>
      <w:r>
        <w:rPr>
          <w:position w:val="5"/>
          <w:sz w:val="14"/>
        </w:rPr>
        <w:tab/>
      </w:r>
      <w:r>
        <w:rPr>
          <w:sz w:val="20"/>
        </w:rPr>
        <w:t>Above, para.18-</w:t>
      </w:r>
      <w:r>
        <w:rPr>
          <w:spacing w:val="-4"/>
          <w:sz w:val="20"/>
        </w:rPr>
        <w:t>059.</w:t>
      </w:r>
    </w:p>
    <w:p>
      <w:pPr>
        <w:pStyle w:val="BodyText"/>
        <w:spacing w:before="4"/>
      </w:pPr>
    </w:p>
    <w:p>
      <w:pPr>
        <w:pStyle w:val="BodyText"/>
        <w:tabs>
          <w:tab w:pos="705" w:val="left" w:leader="none"/>
        </w:tabs>
        <w:spacing w:before="1"/>
        <w:ind w:left="165"/>
      </w:pPr>
      <w:bookmarkStart w:name="_bookmark886" w:id="888"/>
      <w:bookmarkEnd w:id="888"/>
      <w:r>
        <w:rPr/>
      </w:r>
      <w:hyperlink w:history="true" w:anchor="_bookmark688">
        <w:r>
          <w:rPr>
            <w:color w:val="005DA1"/>
            <w:spacing w:val="-4"/>
            <w:position w:val="5"/>
            <w:sz w:val="14"/>
            <w:u w:val="single" w:color="005DA1"/>
          </w:rPr>
          <w:t>437</w:t>
        </w:r>
      </w:hyperlink>
      <w:r>
        <w:rPr>
          <w:spacing w:val="-4"/>
          <w:position w:val="5"/>
          <w:sz w:val="14"/>
        </w:rPr>
        <w:t>.</w:t>
      </w:r>
      <w:r>
        <w:rPr>
          <w:position w:val="5"/>
          <w:sz w:val="14"/>
        </w:rPr>
        <w:tab/>
      </w:r>
      <w:r>
        <w:rPr/>
        <w:t>See below, paras 18-066-18-</w:t>
      </w:r>
      <w:r>
        <w:rPr>
          <w:spacing w:val="-4"/>
        </w:rPr>
        <w:t>069.</w:t>
      </w:r>
    </w:p>
    <w:p>
      <w:pPr>
        <w:pStyle w:val="BodyText"/>
        <w:spacing w:before="4"/>
      </w:pPr>
    </w:p>
    <w:p>
      <w:pPr>
        <w:tabs>
          <w:tab w:pos="705" w:val="left" w:leader="none"/>
        </w:tabs>
        <w:spacing w:before="1"/>
        <w:ind w:left="165" w:right="0" w:firstLine="0"/>
        <w:jc w:val="left"/>
        <w:rPr>
          <w:sz w:val="20"/>
        </w:rPr>
      </w:pPr>
      <w:bookmarkStart w:name="_bookmark887" w:id="889"/>
      <w:bookmarkEnd w:id="889"/>
      <w:r>
        <w:rPr/>
      </w:r>
      <w:hyperlink w:history="true" w:anchor="_bookmark689">
        <w:r>
          <w:rPr>
            <w:color w:val="005DA1"/>
            <w:spacing w:val="-4"/>
            <w:position w:val="5"/>
            <w:sz w:val="14"/>
            <w:u w:val="single" w:color="005DA1"/>
          </w:rPr>
          <w:t>438</w:t>
        </w:r>
      </w:hyperlink>
      <w:r>
        <w:rPr>
          <w:spacing w:val="-4"/>
          <w:position w:val="5"/>
          <w:sz w:val="14"/>
        </w:rPr>
        <w:t>.</w:t>
      </w:r>
      <w:r>
        <w:rPr>
          <w:position w:val="5"/>
          <w:sz w:val="14"/>
        </w:rPr>
        <w:tab/>
      </w:r>
      <w:r>
        <w:rPr>
          <w:rFonts w:ascii="Arial"/>
          <w:i/>
          <w:sz w:val="20"/>
        </w:rPr>
        <w:t>[2006] EWCA Civ 1079, [2006] 1 W.L.R. </w:t>
      </w:r>
      <w:r>
        <w:rPr>
          <w:rFonts w:ascii="Arial"/>
          <w:i/>
          <w:spacing w:val="-2"/>
          <w:sz w:val="20"/>
        </w:rPr>
        <w:t>2926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888" w:id="890"/>
      <w:bookmarkEnd w:id="890"/>
      <w:r>
        <w:rPr/>
      </w:r>
      <w:hyperlink w:history="true" w:anchor="_bookmark690">
        <w:r>
          <w:rPr>
            <w:color w:val="005DA1"/>
            <w:spacing w:val="-4"/>
            <w:position w:val="5"/>
            <w:sz w:val="14"/>
            <w:u w:val="single" w:color="005DA1"/>
          </w:rPr>
          <w:t>439</w:t>
        </w:r>
      </w:hyperlink>
      <w:r>
        <w:rPr>
          <w:spacing w:val="-4"/>
          <w:position w:val="5"/>
          <w:sz w:val="14"/>
        </w:rPr>
        <w:t>.</w:t>
      </w:r>
      <w:r>
        <w:rPr>
          <w:position w:val="5"/>
          <w:sz w:val="14"/>
        </w:rPr>
        <w:tab/>
      </w:r>
      <w:r>
        <w:rPr>
          <w:sz w:val="20"/>
        </w:rPr>
        <w:t>At </w:t>
      </w:r>
      <w:r>
        <w:rPr>
          <w:spacing w:val="-2"/>
          <w:sz w:val="20"/>
        </w:rPr>
        <w:t>[44].</w:t>
      </w:r>
    </w:p>
    <w:p>
      <w:pPr>
        <w:pStyle w:val="BodyText"/>
        <w:spacing w:before="5"/>
      </w:pPr>
    </w:p>
    <w:p>
      <w:pPr>
        <w:tabs>
          <w:tab w:pos="705" w:val="left" w:leader="none"/>
        </w:tabs>
        <w:spacing w:before="0"/>
        <w:ind w:left="165" w:right="0" w:firstLine="0"/>
        <w:jc w:val="left"/>
        <w:rPr>
          <w:sz w:val="20"/>
        </w:rPr>
      </w:pPr>
      <w:bookmarkStart w:name="_bookmark889" w:id="891"/>
      <w:bookmarkEnd w:id="891"/>
      <w:r>
        <w:rPr/>
      </w:r>
      <w:hyperlink w:history="true" w:anchor="_bookmark691">
        <w:r>
          <w:rPr>
            <w:color w:val="005DA1"/>
            <w:spacing w:val="-4"/>
            <w:position w:val="5"/>
            <w:sz w:val="14"/>
            <w:u w:val="single" w:color="005DA1"/>
          </w:rPr>
          <w:t>440</w:t>
        </w:r>
      </w:hyperlink>
      <w:r>
        <w:rPr>
          <w:spacing w:val="-4"/>
          <w:position w:val="5"/>
          <w:sz w:val="14"/>
        </w:rPr>
        <w:t>.</w:t>
      </w:r>
      <w:r>
        <w:rPr>
          <w:position w:val="5"/>
          <w:sz w:val="14"/>
        </w:rPr>
        <w:tab/>
      </w:r>
      <w:r>
        <w:rPr>
          <w:sz w:val="20"/>
        </w:rPr>
        <w:t>At </w:t>
      </w:r>
      <w:r>
        <w:rPr>
          <w:spacing w:val="-2"/>
          <w:sz w:val="20"/>
        </w:rPr>
        <w:t>[84].</w:t>
      </w:r>
    </w:p>
    <w:p>
      <w:pPr>
        <w:pStyle w:val="BodyText"/>
        <w:spacing w:before="5"/>
      </w:pPr>
    </w:p>
    <w:p>
      <w:pPr>
        <w:tabs>
          <w:tab w:pos="705" w:val="left" w:leader="none"/>
        </w:tabs>
        <w:spacing w:before="0"/>
        <w:ind w:left="165" w:right="0" w:firstLine="0"/>
        <w:jc w:val="left"/>
        <w:rPr>
          <w:sz w:val="20"/>
        </w:rPr>
      </w:pPr>
      <w:bookmarkStart w:name="_bookmark890" w:id="892"/>
      <w:bookmarkEnd w:id="892"/>
      <w:r>
        <w:rPr/>
      </w:r>
      <w:hyperlink w:history="true" w:anchor="_bookmark692">
        <w:r>
          <w:rPr>
            <w:color w:val="005DA1"/>
            <w:spacing w:val="-4"/>
            <w:position w:val="5"/>
            <w:sz w:val="14"/>
            <w:u w:val="single" w:color="005DA1"/>
          </w:rPr>
          <w:t>441</w:t>
        </w:r>
      </w:hyperlink>
      <w:r>
        <w:rPr>
          <w:spacing w:val="-4"/>
          <w:position w:val="5"/>
          <w:sz w:val="14"/>
        </w:rPr>
        <w:t>.</w:t>
      </w:r>
      <w:r>
        <w:rPr>
          <w:position w:val="5"/>
          <w:sz w:val="14"/>
        </w:rPr>
        <w:tab/>
      </w:r>
      <w:r>
        <w:rPr>
          <w:sz w:val="20"/>
        </w:rPr>
        <w:t>At </w:t>
      </w:r>
      <w:r>
        <w:rPr>
          <w:spacing w:val="-2"/>
          <w:sz w:val="20"/>
        </w:rPr>
        <w:t>[85].</w:t>
      </w:r>
    </w:p>
    <w:p>
      <w:pPr>
        <w:pStyle w:val="BodyText"/>
        <w:spacing w:before="5"/>
      </w:pPr>
    </w:p>
    <w:p>
      <w:pPr>
        <w:tabs>
          <w:tab w:pos="705" w:val="left" w:leader="none"/>
        </w:tabs>
        <w:spacing w:before="0"/>
        <w:ind w:left="165" w:right="0" w:firstLine="0"/>
        <w:jc w:val="left"/>
        <w:rPr>
          <w:sz w:val="20"/>
        </w:rPr>
      </w:pPr>
      <w:bookmarkStart w:name="_bookmark891" w:id="893"/>
      <w:bookmarkEnd w:id="893"/>
      <w:r>
        <w:rPr/>
      </w:r>
      <w:hyperlink w:history="true" w:anchor="_bookmark693">
        <w:r>
          <w:rPr>
            <w:color w:val="005DA1"/>
            <w:spacing w:val="-4"/>
            <w:position w:val="5"/>
            <w:sz w:val="14"/>
            <w:u w:val="single" w:color="005DA1"/>
          </w:rPr>
          <w:t>442</w:t>
        </w:r>
      </w:hyperlink>
      <w:r>
        <w:rPr>
          <w:spacing w:val="-4"/>
          <w:position w:val="5"/>
          <w:sz w:val="14"/>
        </w:rPr>
        <w:t>.</w:t>
      </w:r>
      <w:r>
        <w:rPr>
          <w:position w:val="5"/>
          <w:sz w:val="14"/>
        </w:rPr>
        <w:tab/>
      </w:r>
      <w:r>
        <w:rPr>
          <w:sz w:val="20"/>
        </w:rPr>
        <w:t>Below, para.18-</w:t>
      </w:r>
      <w:r>
        <w:rPr>
          <w:spacing w:val="-4"/>
          <w:sz w:val="20"/>
        </w:rPr>
        <w:t>078.</w:t>
      </w:r>
    </w:p>
    <w:p>
      <w:pPr>
        <w:pStyle w:val="BodyText"/>
        <w:spacing w:before="5"/>
      </w:pPr>
    </w:p>
    <w:p>
      <w:pPr>
        <w:tabs>
          <w:tab w:pos="705" w:val="left" w:leader="none"/>
        </w:tabs>
        <w:spacing w:before="0"/>
        <w:ind w:left="165" w:right="0" w:firstLine="0"/>
        <w:jc w:val="left"/>
        <w:rPr>
          <w:sz w:val="20"/>
        </w:rPr>
      </w:pPr>
      <w:bookmarkStart w:name="_bookmark892" w:id="894"/>
      <w:bookmarkEnd w:id="894"/>
      <w:r>
        <w:rPr/>
      </w:r>
      <w:hyperlink w:history="true" w:anchor="_bookmark694">
        <w:r>
          <w:rPr>
            <w:color w:val="005DA1"/>
            <w:spacing w:val="-4"/>
            <w:position w:val="5"/>
            <w:sz w:val="14"/>
            <w:u w:val="single" w:color="005DA1"/>
          </w:rPr>
          <w:t>443</w:t>
        </w:r>
      </w:hyperlink>
      <w:r>
        <w:rPr>
          <w:spacing w:val="-4"/>
          <w:position w:val="5"/>
          <w:sz w:val="14"/>
        </w:rPr>
        <w:t>.</w:t>
      </w:r>
      <w:r>
        <w:rPr>
          <w:position w:val="5"/>
          <w:sz w:val="14"/>
        </w:rPr>
        <w:tab/>
      </w:r>
      <w:r>
        <w:rPr>
          <w:rFonts w:ascii="Arial"/>
          <w:i/>
          <w:sz w:val="20"/>
        </w:rPr>
        <w:t>Panatown case [2001] 1 A.C. 518, </w:t>
      </w:r>
      <w:r>
        <w:rPr>
          <w:rFonts w:ascii="Arial"/>
          <w:i/>
          <w:spacing w:val="-4"/>
          <w:sz w:val="20"/>
        </w:rPr>
        <w:t>517</w:t>
      </w:r>
      <w:r>
        <w:rPr>
          <w:spacing w:val="-4"/>
          <w:sz w:val="20"/>
        </w:rPr>
        <w:t>.</w:t>
      </w:r>
    </w:p>
    <w:p>
      <w:pPr>
        <w:pStyle w:val="BodyText"/>
        <w:spacing w:before="5"/>
      </w:pPr>
    </w:p>
    <w:p>
      <w:pPr>
        <w:pStyle w:val="BodyText"/>
        <w:tabs>
          <w:tab w:pos="705" w:val="left" w:leader="none"/>
        </w:tabs>
        <w:ind w:left="165"/>
      </w:pPr>
      <w:bookmarkStart w:name="_bookmark893" w:id="895"/>
      <w:bookmarkEnd w:id="895"/>
      <w:r>
        <w:rPr/>
      </w:r>
      <w:hyperlink w:history="true" w:anchor="_bookmark695">
        <w:r>
          <w:rPr>
            <w:color w:val="005DA1"/>
            <w:spacing w:val="-4"/>
            <w:position w:val="5"/>
            <w:sz w:val="14"/>
            <w:u w:val="single" w:color="005DA1"/>
          </w:rPr>
          <w:t>444</w:t>
        </w:r>
      </w:hyperlink>
      <w:r>
        <w:rPr>
          <w:spacing w:val="-4"/>
          <w:position w:val="5"/>
          <w:sz w:val="14"/>
        </w:rPr>
        <w:t>.</w:t>
      </w:r>
      <w:r>
        <w:rPr>
          <w:position w:val="5"/>
          <w:sz w:val="14"/>
        </w:rPr>
        <w:tab/>
      </w:r>
      <w:r>
        <w:rPr/>
        <w:t>Above, para.18-064 at </w:t>
      </w:r>
      <w:r>
        <w:rPr>
          <w:spacing w:val="-2"/>
        </w:rPr>
        <w:t>n.401.</w:t>
      </w:r>
    </w:p>
    <w:p>
      <w:pPr>
        <w:pStyle w:val="BodyText"/>
        <w:spacing w:before="9"/>
      </w:pPr>
    </w:p>
    <w:p>
      <w:pPr>
        <w:tabs>
          <w:tab w:pos="705" w:val="left" w:leader="none"/>
        </w:tabs>
        <w:spacing w:line="235" w:lineRule="auto" w:before="0"/>
        <w:ind w:left="705" w:right="168" w:hanging="541"/>
        <w:jc w:val="left"/>
        <w:rPr>
          <w:sz w:val="20"/>
        </w:rPr>
      </w:pPr>
      <w:bookmarkStart w:name="_bookmark894" w:id="896"/>
      <w:bookmarkEnd w:id="896"/>
      <w:r>
        <w:rPr/>
      </w:r>
      <w:hyperlink w:history="true" w:anchor="_bookmark696">
        <w:r>
          <w:rPr>
            <w:color w:val="005DA1"/>
            <w:spacing w:val="-4"/>
            <w:position w:val="5"/>
            <w:sz w:val="14"/>
            <w:u w:val="single" w:color="005DA1"/>
          </w:rPr>
          <w:t>445</w:t>
        </w:r>
      </w:hyperlink>
      <w:r>
        <w:rPr>
          <w:spacing w:val="-4"/>
          <w:position w:val="5"/>
          <w:sz w:val="14"/>
        </w:rPr>
        <w:t>.</w:t>
      </w:r>
      <w:r>
        <w:rPr>
          <w:position w:val="5"/>
          <w:sz w:val="14"/>
        </w:rPr>
        <w:tab/>
      </w:r>
      <w:r>
        <w:rPr>
          <w:sz w:val="20"/>
        </w:rPr>
        <w:t>Performance</w:t>
      </w:r>
      <w:r>
        <w:rPr>
          <w:spacing w:val="-2"/>
          <w:sz w:val="20"/>
        </w:rPr>
        <w:t> </w:t>
      </w:r>
      <w:r>
        <w:rPr>
          <w:sz w:val="20"/>
        </w:rPr>
        <w:t>of</w:t>
      </w:r>
      <w:r>
        <w:rPr>
          <w:spacing w:val="-2"/>
          <w:sz w:val="20"/>
        </w:rPr>
        <w:t> </w:t>
      </w:r>
      <w:r>
        <w:rPr>
          <w:sz w:val="20"/>
        </w:rPr>
        <w:t>the</w:t>
      </w:r>
      <w:r>
        <w:rPr>
          <w:spacing w:val="-2"/>
          <w:sz w:val="20"/>
        </w:rPr>
        <w:t> </w:t>
      </w:r>
      <w:r>
        <w:rPr>
          <w:sz w:val="20"/>
        </w:rPr>
        <w:t>work</w:t>
      </w:r>
      <w:r>
        <w:rPr>
          <w:spacing w:val="-2"/>
          <w:sz w:val="20"/>
        </w:rPr>
        <w:t> </w:t>
      </w:r>
      <w:r>
        <w:rPr>
          <w:sz w:val="20"/>
        </w:rPr>
        <w:t>is</w:t>
      </w:r>
      <w:r>
        <w:rPr>
          <w:spacing w:val="-2"/>
          <w:sz w:val="20"/>
        </w:rPr>
        <w:t> </w:t>
      </w:r>
      <w:r>
        <w:rPr>
          <w:sz w:val="20"/>
        </w:rPr>
        <w:t>in</w:t>
      </w:r>
      <w:r>
        <w:rPr>
          <w:spacing w:val="-2"/>
          <w:sz w:val="20"/>
        </w:rPr>
        <w:t> </w:t>
      </w:r>
      <w:r>
        <w:rPr>
          <w:sz w:val="20"/>
        </w:rPr>
        <w:t>contracts</w:t>
      </w:r>
      <w:r>
        <w:rPr>
          <w:spacing w:val="-2"/>
          <w:sz w:val="20"/>
        </w:rPr>
        <w:t> </w:t>
      </w:r>
      <w:r>
        <w:rPr>
          <w:sz w:val="20"/>
        </w:rPr>
        <w:t>of</w:t>
      </w:r>
      <w:r>
        <w:rPr>
          <w:spacing w:val="-2"/>
          <w:sz w:val="20"/>
        </w:rPr>
        <w:t> </w:t>
      </w:r>
      <w:r>
        <w:rPr>
          <w:sz w:val="20"/>
        </w:rPr>
        <w:t>this</w:t>
      </w:r>
      <w:r>
        <w:rPr>
          <w:spacing w:val="-2"/>
          <w:sz w:val="20"/>
        </w:rPr>
        <w:t> </w:t>
      </w:r>
      <w:r>
        <w:rPr>
          <w:sz w:val="20"/>
        </w:rPr>
        <w:t>kind</w:t>
      </w:r>
      <w:r>
        <w:rPr>
          <w:spacing w:val="-2"/>
          <w:sz w:val="20"/>
        </w:rPr>
        <w:t> </w:t>
      </w:r>
      <w:r>
        <w:rPr>
          <w:sz w:val="20"/>
        </w:rPr>
        <w:t>prima</w:t>
      </w:r>
      <w:r>
        <w:rPr>
          <w:spacing w:val="-2"/>
          <w:sz w:val="20"/>
        </w:rPr>
        <w:t> </w:t>
      </w:r>
      <w:r>
        <w:rPr>
          <w:sz w:val="20"/>
        </w:rPr>
        <w:t>facie</w:t>
      </w:r>
      <w:r>
        <w:rPr>
          <w:spacing w:val="-2"/>
          <w:sz w:val="20"/>
        </w:rPr>
        <w:t> </w:t>
      </w:r>
      <w:r>
        <w:rPr>
          <w:sz w:val="20"/>
        </w:rPr>
        <w:t>a</w:t>
      </w:r>
      <w:r>
        <w:rPr>
          <w:spacing w:val="-2"/>
          <w:sz w:val="20"/>
        </w:rPr>
        <w:t> </w:t>
      </w:r>
      <w:r>
        <w:rPr>
          <w:sz w:val="20"/>
        </w:rPr>
        <w:t>condition</w:t>
      </w:r>
      <w:r>
        <w:rPr>
          <w:spacing w:val="-2"/>
          <w:sz w:val="20"/>
        </w:rPr>
        <w:t> </w:t>
      </w:r>
      <w:r>
        <w:rPr>
          <w:sz w:val="20"/>
        </w:rPr>
        <w:t>precedent</w:t>
      </w:r>
      <w:r>
        <w:rPr>
          <w:spacing w:val="-2"/>
          <w:sz w:val="20"/>
        </w:rPr>
        <w:t> </w:t>
      </w:r>
      <w:r>
        <w:rPr>
          <w:sz w:val="20"/>
        </w:rPr>
        <w:t>of</w:t>
      </w:r>
      <w:r>
        <w:rPr>
          <w:spacing w:val="-2"/>
          <w:sz w:val="20"/>
        </w:rPr>
        <w:t> </w:t>
      </w:r>
      <w:r>
        <w:rPr>
          <w:sz w:val="20"/>
        </w:rPr>
        <w:t>the</w:t>
      </w:r>
      <w:r>
        <w:rPr>
          <w:spacing w:val="-2"/>
          <w:sz w:val="20"/>
        </w:rPr>
        <w:t> </w:t>
      </w:r>
      <w:r>
        <w:rPr>
          <w:sz w:val="20"/>
        </w:rPr>
        <w:t>right to be paid: </w:t>
      </w:r>
      <w:r>
        <w:rPr>
          <w:rFonts w:ascii="Arial"/>
          <w:i/>
          <w:sz w:val="20"/>
        </w:rPr>
        <w:t>Morton v Lamb (1797) 7 T.R. 125</w:t>
      </w:r>
      <w:r>
        <w:rPr>
          <w:sz w:val="20"/>
        </w:rPr>
        <w:t>; </w:t>
      </w:r>
      <w:r>
        <w:rPr>
          <w:rFonts w:ascii="Arial"/>
          <w:i/>
          <w:sz w:val="20"/>
        </w:rPr>
        <w:t>Miles v Wakefield MDC [1987] A.C. 539, 561</w:t>
      </w:r>
      <w:r>
        <w:rPr>
          <w:sz w:val="20"/>
        </w:rPr>
        <w:t>.</w:t>
      </w:r>
    </w:p>
    <w:p>
      <w:pPr>
        <w:pStyle w:val="BodyText"/>
        <w:spacing w:before="9"/>
      </w:pPr>
    </w:p>
    <w:p>
      <w:pPr>
        <w:pStyle w:val="BodyText"/>
        <w:tabs>
          <w:tab w:pos="705" w:val="left" w:leader="none"/>
        </w:tabs>
        <w:spacing w:line="235" w:lineRule="auto"/>
        <w:ind w:left="705" w:right="168" w:hanging="541"/>
      </w:pPr>
      <w:bookmarkStart w:name="_bookmark895" w:id="897"/>
      <w:bookmarkEnd w:id="897"/>
      <w:r>
        <w:rPr/>
      </w:r>
      <w:hyperlink w:history="true" w:anchor="_bookmark697">
        <w:r>
          <w:rPr>
            <w:color w:val="005DA1"/>
            <w:spacing w:val="-4"/>
            <w:position w:val="5"/>
            <w:sz w:val="14"/>
            <w:u w:val="single" w:color="005DA1"/>
          </w:rPr>
          <w:t>446</w:t>
        </w:r>
      </w:hyperlink>
      <w:r>
        <w:rPr>
          <w:spacing w:val="-4"/>
          <w:position w:val="5"/>
          <w:sz w:val="14"/>
        </w:rPr>
        <w:t>.</w:t>
      </w:r>
      <w:r>
        <w:rPr>
          <w:position w:val="5"/>
          <w:sz w:val="14"/>
        </w:rPr>
        <w:tab/>
      </w:r>
      <w:r>
        <w:rPr/>
        <w:t>e.g.</w:t>
      </w:r>
      <w:r>
        <w:rPr>
          <w:spacing w:val="40"/>
        </w:rPr>
        <w:t> </w:t>
      </w:r>
      <w:r>
        <w:rPr/>
        <w:t>damages</w:t>
      </w:r>
      <w:r>
        <w:rPr>
          <w:spacing w:val="40"/>
        </w:rPr>
        <w:t> </w:t>
      </w:r>
      <w:r>
        <w:rPr/>
        <w:t>on</w:t>
      </w:r>
      <w:r>
        <w:rPr>
          <w:spacing w:val="40"/>
        </w:rPr>
        <w:t> </w:t>
      </w:r>
      <w:r>
        <w:rPr/>
        <w:t>a</w:t>
      </w:r>
      <w:r>
        <w:rPr>
          <w:spacing w:val="40"/>
        </w:rPr>
        <w:t> </w:t>
      </w:r>
      <w:r>
        <w:rPr/>
        <w:t>“cost</w:t>
      </w:r>
      <w:r>
        <w:rPr>
          <w:spacing w:val="40"/>
        </w:rPr>
        <w:t> </w:t>
      </w:r>
      <w:r>
        <w:rPr/>
        <w:t>of</w:t>
      </w:r>
      <w:r>
        <w:rPr>
          <w:spacing w:val="40"/>
        </w:rPr>
        <w:t> </w:t>
      </w:r>
      <w:r>
        <w:rPr/>
        <w:t>cure”</w:t>
      </w:r>
      <w:r>
        <w:rPr>
          <w:spacing w:val="40"/>
        </w:rPr>
        <w:t> </w:t>
      </w:r>
      <w:r>
        <w:rPr/>
        <w:t>basis</w:t>
      </w:r>
      <w:r>
        <w:rPr>
          <w:spacing w:val="40"/>
        </w:rPr>
        <w:t> </w:t>
      </w:r>
      <w:r>
        <w:rPr/>
        <w:t>are</w:t>
      </w:r>
      <w:r>
        <w:rPr>
          <w:spacing w:val="40"/>
        </w:rPr>
        <w:t> </w:t>
      </w:r>
      <w:r>
        <w:rPr/>
        <w:t>not</w:t>
      </w:r>
      <w:r>
        <w:rPr>
          <w:spacing w:val="40"/>
        </w:rPr>
        <w:t> </w:t>
      </w:r>
      <w:r>
        <w:rPr/>
        <w:t>recoverable</w:t>
      </w:r>
      <w:r>
        <w:rPr>
          <w:spacing w:val="40"/>
        </w:rPr>
        <w:t> </w:t>
      </w:r>
      <w:r>
        <w:rPr/>
        <w:t>if</w:t>
      </w:r>
      <w:r>
        <w:rPr>
          <w:spacing w:val="40"/>
        </w:rPr>
        <w:t> </w:t>
      </w:r>
      <w:r>
        <w:rPr/>
        <w:t>the</w:t>
      </w:r>
      <w:r>
        <w:rPr>
          <w:spacing w:val="40"/>
        </w:rPr>
        <w:t> </w:t>
      </w:r>
      <w:r>
        <w:rPr/>
        <w:t>cost</w:t>
      </w:r>
      <w:r>
        <w:rPr>
          <w:spacing w:val="40"/>
        </w:rPr>
        <w:t> </w:t>
      </w:r>
      <w:r>
        <w:rPr/>
        <w:t>of</w:t>
      </w:r>
      <w:r>
        <w:rPr>
          <w:spacing w:val="40"/>
        </w:rPr>
        <w:t> </w:t>
      </w:r>
      <w:r>
        <w:rPr/>
        <w:t>cure</w:t>
      </w:r>
      <w:r>
        <w:rPr>
          <w:spacing w:val="40"/>
        </w:rPr>
        <w:t> </w:t>
      </w:r>
      <w:r>
        <w:rPr/>
        <w:t>is</w:t>
      </w:r>
      <w:r>
        <w:rPr>
          <w:spacing w:val="40"/>
        </w:rPr>
        <w:t> </w:t>
      </w:r>
      <w:r>
        <w:rPr/>
        <w:t>wholly disproportionate to the benefit to be derived from cure: below, para.26-038.</w:t>
      </w:r>
    </w:p>
    <w:p>
      <w:pPr>
        <w:pStyle w:val="BodyText"/>
        <w:spacing w:before="5"/>
      </w:pPr>
    </w:p>
    <w:p>
      <w:pPr>
        <w:pStyle w:val="BodyText"/>
        <w:tabs>
          <w:tab w:pos="705" w:val="left" w:leader="none"/>
        </w:tabs>
        <w:ind w:left="165"/>
      </w:pPr>
      <w:bookmarkStart w:name="_bookmark896" w:id="898"/>
      <w:bookmarkEnd w:id="898"/>
      <w:r>
        <w:rPr/>
      </w:r>
      <w:hyperlink w:history="true" w:anchor="_bookmark698">
        <w:r>
          <w:rPr>
            <w:color w:val="005DA1"/>
            <w:spacing w:val="-4"/>
            <w:position w:val="5"/>
            <w:sz w:val="14"/>
            <w:u w:val="single" w:color="005DA1"/>
          </w:rPr>
          <w:t>447</w:t>
        </w:r>
      </w:hyperlink>
      <w:r>
        <w:rPr>
          <w:spacing w:val="-4"/>
          <w:position w:val="5"/>
          <w:sz w:val="14"/>
        </w:rPr>
        <w:t>.</w:t>
      </w:r>
      <w:r>
        <w:rPr>
          <w:position w:val="5"/>
          <w:sz w:val="14"/>
        </w:rPr>
        <w:tab/>
      </w:r>
      <w:r>
        <w:rPr/>
        <w:t>There will be a “total failure of consideration:” below, para.29-</w:t>
      </w:r>
      <w:r>
        <w:rPr>
          <w:spacing w:val="-4"/>
        </w:rPr>
        <w:t>058.</w:t>
      </w:r>
    </w:p>
    <w:p>
      <w:pPr>
        <w:pStyle w:val="BodyText"/>
        <w:spacing w:before="5"/>
      </w:pPr>
    </w:p>
    <w:p>
      <w:pPr>
        <w:pStyle w:val="BodyText"/>
        <w:tabs>
          <w:tab w:pos="705" w:val="left" w:leader="none"/>
        </w:tabs>
        <w:spacing w:before="1"/>
        <w:ind w:left="165"/>
      </w:pPr>
      <w:bookmarkStart w:name="_bookmark897" w:id="899"/>
      <w:bookmarkEnd w:id="899"/>
      <w:r>
        <w:rPr/>
      </w:r>
      <w:hyperlink w:history="true" w:anchor="_bookmark699">
        <w:r>
          <w:rPr>
            <w:color w:val="005DA1"/>
            <w:spacing w:val="-4"/>
            <w:position w:val="5"/>
            <w:sz w:val="14"/>
            <w:u w:val="single" w:color="005DA1"/>
          </w:rPr>
          <w:t>448</w:t>
        </w:r>
      </w:hyperlink>
      <w:r>
        <w:rPr>
          <w:spacing w:val="-4"/>
          <w:position w:val="5"/>
          <w:sz w:val="14"/>
        </w:rPr>
        <w:t>.</w:t>
      </w:r>
      <w:r>
        <w:rPr>
          <w:position w:val="5"/>
          <w:sz w:val="14"/>
        </w:rPr>
        <w:tab/>
      </w:r>
      <w:r>
        <w:rPr/>
        <w:t>See</w:t>
      </w:r>
      <w:r>
        <w:rPr>
          <w:spacing w:val="-2"/>
        </w:rPr>
        <w:t> </w:t>
      </w:r>
      <w:r>
        <w:rPr/>
        <w:t>below, para.26-</w:t>
      </w:r>
      <w:r>
        <w:rPr>
          <w:spacing w:val="-4"/>
        </w:rPr>
        <w:t>037.</w:t>
      </w:r>
    </w:p>
    <w:p>
      <w:pPr>
        <w:pStyle w:val="BodyText"/>
        <w:spacing w:before="4"/>
      </w:pPr>
    </w:p>
    <w:p>
      <w:pPr>
        <w:pStyle w:val="BodyText"/>
        <w:tabs>
          <w:tab w:pos="705" w:val="left" w:leader="none"/>
        </w:tabs>
        <w:spacing w:before="1"/>
        <w:ind w:left="165"/>
      </w:pPr>
      <w:bookmarkStart w:name="_bookmark898" w:id="900"/>
      <w:bookmarkEnd w:id="900"/>
      <w:r>
        <w:rPr/>
      </w:r>
      <w:hyperlink w:history="true" w:anchor="_bookmark700">
        <w:r>
          <w:rPr>
            <w:color w:val="005DA1"/>
            <w:spacing w:val="-4"/>
            <w:position w:val="5"/>
            <w:sz w:val="14"/>
            <w:u w:val="single" w:color="005DA1"/>
          </w:rPr>
          <w:t>449</w:t>
        </w:r>
      </w:hyperlink>
      <w:r>
        <w:rPr>
          <w:spacing w:val="-4"/>
          <w:position w:val="5"/>
          <w:sz w:val="14"/>
        </w:rPr>
        <w:t>.</w:t>
      </w:r>
      <w:r>
        <w:rPr>
          <w:position w:val="5"/>
          <w:sz w:val="14"/>
        </w:rPr>
        <w:tab/>
      </w:r>
      <w:r>
        <w:rPr/>
        <w:t>See above para.18-053 at n.327 for this </w:t>
      </w:r>
      <w:r>
        <w:rPr>
          <w:spacing w:val="-2"/>
        </w:rPr>
        <w:t>expression.</w:t>
      </w:r>
    </w:p>
    <w:p>
      <w:pPr>
        <w:pStyle w:val="BodyText"/>
        <w:spacing w:before="4"/>
      </w:pPr>
    </w:p>
    <w:p>
      <w:pPr>
        <w:tabs>
          <w:tab w:pos="705" w:val="left" w:leader="none"/>
        </w:tabs>
        <w:spacing w:before="1"/>
        <w:ind w:left="165" w:right="0" w:firstLine="0"/>
        <w:jc w:val="left"/>
        <w:rPr>
          <w:sz w:val="20"/>
        </w:rPr>
      </w:pPr>
      <w:bookmarkStart w:name="_bookmark899" w:id="901"/>
      <w:bookmarkEnd w:id="901"/>
      <w:r>
        <w:rPr/>
      </w:r>
      <w:hyperlink w:history="true" w:anchor="_bookmark701">
        <w:r>
          <w:rPr>
            <w:color w:val="005DA1"/>
            <w:spacing w:val="-4"/>
            <w:position w:val="5"/>
            <w:sz w:val="14"/>
            <w:u w:val="single" w:color="005DA1"/>
          </w:rPr>
          <w:t>450</w:t>
        </w:r>
      </w:hyperlink>
      <w:r>
        <w:rPr>
          <w:spacing w:val="-4"/>
          <w:position w:val="5"/>
          <w:sz w:val="14"/>
        </w:rPr>
        <w:t>.</w:t>
      </w:r>
      <w:r>
        <w:rPr>
          <w:position w:val="5"/>
          <w:sz w:val="14"/>
        </w:rPr>
        <w:tab/>
      </w:r>
      <w:r>
        <w:rPr>
          <w:sz w:val="20"/>
        </w:rPr>
        <w:t>As</w:t>
      </w:r>
      <w:r>
        <w:rPr>
          <w:spacing w:val="-3"/>
          <w:sz w:val="20"/>
        </w:rPr>
        <w:t> </w:t>
      </w:r>
      <w:r>
        <w:rPr>
          <w:sz w:val="20"/>
        </w:rPr>
        <w:t>in</w:t>
      </w:r>
      <w:r>
        <w:rPr>
          <w:spacing w:val="-1"/>
          <w:sz w:val="20"/>
        </w:rPr>
        <w:t> </w:t>
      </w:r>
      <w:r>
        <w:rPr>
          <w:rFonts w:ascii="Arial"/>
          <w:i/>
          <w:sz w:val="20"/>
        </w:rPr>
        <w:t>Beswick v Beswick [1968] A.C. 58</w:t>
      </w:r>
      <w:r>
        <w:rPr>
          <w:sz w:val="20"/>
        </w:rPr>
        <w:t>, above, para.18-</w:t>
      </w:r>
      <w:r>
        <w:rPr>
          <w:spacing w:val="-4"/>
          <w:sz w:val="20"/>
        </w:rPr>
        <w:t>049.</w:t>
      </w:r>
    </w:p>
    <w:p>
      <w:pPr>
        <w:pStyle w:val="BodyText"/>
        <w:spacing w:before="4"/>
      </w:pPr>
    </w:p>
    <w:p>
      <w:pPr>
        <w:pStyle w:val="BodyText"/>
        <w:tabs>
          <w:tab w:pos="705" w:val="left" w:leader="none"/>
        </w:tabs>
        <w:spacing w:before="1"/>
        <w:ind w:left="165"/>
      </w:pPr>
      <w:bookmarkStart w:name="_bookmark900" w:id="902"/>
      <w:bookmarkEnd w:id="902"/>
      <w:r>
        <w:rPr/>
      </w:r>
      <w:hyperlink w:history="true" w:anchor="_bookmark702">
        <w:r>
          <w:rPr>
            <w:color w:val="005DA1"/>
            <w:spacing w:val="-4"/>
            <w:position w:val="5"/>
            <w:sz w:val="14"/>
            <w:u w:val="single" w:color="005DA1"/>
          </w:rPr>
          <w:t>451</w:t>
        </w:r>
      </w:hyperlink>
      <w:r>
        <w:rPr>
          <w:spacing w:val="-4"/>
          <w:position w:val="5"/>
          <w:sz w:val="14"/>
        </w:rPr>
        <w:t>.</w:t>
      </w:r>
      <w:r>
        <w:rPr>
          <w:position w:val="5"/>
          <w:sz w:val="14"/>
        </w:rPr>
        <w:tab/>
      </w:r>
      <w:r>
        <w:rPr/>
        <w:t>The “failure of consideration” would be only “partial:” see below, para.29-</w:t>
      </w:r>
      <w:r>
        <w:rPr>
          <w:spacing w:val="-4"/>
        </w:rPr>
        <w:t>065.</w:t>
      </w:r>
    </w:p>
    <w:p>
      <w:pPr>
        <w:pStyle w:val="BodyText"/>
        <w:spacing w:before="4"/>
      </w:pPr>
    </w:p>
    <w:p>
      <w:pPr>
        <w:tabs>
          <w:tab w:pos="705" w:val="left" w:leader="none"/>
        </w:tabs>
        <w:spacing w:before="1"/>
        <w:ind w:left="165" w:right="0" w:firstLine="0"/>
        <w:jc w:val="left"/>
        <w:rPr>
          <w:sz w:val="20"/>
        </w:rPr>
      </w:pPr>
      <w:bookmarkStart w:name="_bookmark901" w:id="903"/>
      <w:bookmarkEnd w:id="903"/>
      <w:r>
        <w:rPr/>
      </w:r>
      <w:hyperlink w:history="true" w:anchor="_bookmark703">
        <w:r>
          <w:rPr>
            <w:color w:val="005DA1"/>
            <w:spacing w:val="-4"/>
            <w:position w:val="5"/>
            <w:sz w:val="14"/>
            <w:u w:val="single" w:color="005DA1"/>
          </w:rPr>
          <w:t>452</w:t>
        </w:r>
      </w:hyperlink>
      <w:r>
        <w:rPr>
          <w:spacing w:val="-4"/>
          <w:position w:val="5"/>
          <w:sz w:val="14"/>
        </w:rPr>
        <w:t>.</w:t>
      </w:r>
      <w:r>
        <w:rPr>
          <w:position w:val="5"/>
          <w:sz w:val="14"/>
        </w:rPr>
        <w:tab/>
      </w:r>
      <w:r>
        <w:rPr>
          <w:sz w:val="20"/>
        </w:rPr>
        <w:t>Below, para.27-</w:t>
      </w:r>
      <w:r>
        <w:rPr>
          <w:spacing w:val="-4"/>
          <w:sz w:val="20"/>
        </w:rPr>
        <w:t>024.</w:t>
      </w:r>
    </w:p>
    <w:p>
      <w:pPr>
        <w:spacing w:after="0"/>
        <w:jc w:val="left"/>
        <w:rPr>
          <w:sz w:val="20"/>
        </w:rPr>
        <w:sectPr>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7" w:hanging="541"/>
        <w:jc w:val="left"/>
        <w:rPr>
          <w:sz w:val="20"/>
        </w:rPr>
      </w:pPr>
      <w:hyperlink w:history="true" w:anchor="_bookmark704">
        <w:r>
          <w:rPr>
            <w:color w:val="005DA1"/>
            <w:spacing w:val="-4"/>
            <w:position w:val="5"/>
            <w:sz w:val="14"/>
            <w:u w:val="single" w:color="005DA1"/>
          </w:rPr>
          <w:t>453</w:t>
        </w:r>
      </w:hyperlink>
      <w:r>
        <w:rPr>
          <w:spacing w:val="-4"/>
          <w:position w:val="5"/>
          <w:sz w:val="14"/>
        </w:rPr>
        <w:t>.</w:t>
      </w:r>
      <w:r>
        <w:rPr>
          <w:position w:val="5"/>
          <w:sz w:val="14"/>
        </w:rPr>
        <w:tab/>
      </w:r>
      <w:r>
        <w:rPr>
          <w:rFonts w:ascii="Arial"/>
          <w:i/>
          <w:sz w:val="20"/>
        </w:rPr>
        <w:t>[1994] 1 A.C. 85, 97</w:t>
      </w:r>
      <w:r>
        <w:rPr>
          <w:sz w:val="20"/>
        </w:rPr>
        <w:t>; above, para.18-056 at n.350; for further discussion, see below at paras</w:t>
      </w:r>
      <w:r>
        <w:rPr>
          <w:spacing w:val="80"/>
          <w:w w:val="150"/>
          <w:sz w:val="20"/>
        </w:rPr>
        <w:t> </w:t>
      </w:r>
      <w:r>
        <w:rPr>
          <w:spacing w:val="-2"/>
          <w:sz w:val="20"/>
        </w:rPr>
        <w:t>18-067-18-068.</w:t>
      </w:r>
    </w:p>
    <w:p>
      <w:pPr>
        <w:pStyle w:val="BodyText"/>
        <w:spacing w:before="9"/>
      </w:pPr>
    </w:p>
    <w:p>
      <w:pPr>
        <w:pStyle w:val="BodyText"/>
        <w:tabs>
          <w:tab w:pos="705" w:val="left" w:leader="none"/>
        </w:tabs>
        <w:spacing w:line="235" w:lineRule="auto"/>
        <w:ind w:left="705" w:right="168" w:hanging="541"/>
      </w:pPr>
      <w:bookmarkStart w:name="_bookmark902" w:id="904"/>
      <w:bookmarkEnd w:id="904"/>
      <w:r>
        <w:rPr/>
      </w:r>
      <w:hyperlink w:history="true" w:anchor="_bookmark705">
        <w:r>
          <w:rPr>
            <w:color w:val="005DA1"/>
            <w:spacing w:val="-4"/>
            <w:position w:val="5"/>
            <w:sz w:val="14"/>
            <w:u w:val="single" w:color="005DA1"/>
          </w:rPr>
          <w:t>454</w:t>
        </w:r>
      </w:hyperlink>
      <w:r>
        <w:rPr>
          <w:spacing w:val="-4"/>
          <w:position w:val="5"/>
          <w:sz w:val="14"/>
        </w:rPr>
        <w:t>.</w:t>
      </w:r>
      <w:r>
        <w:rPr>
          <w:position w:val="5"/>
          <w:sz w:val="14"/>
        </w:rPr>
        <w:tab/>
      </w:r>
      <w:r>
        <w:rPr/>
        <w:t>For a possible exception, see the discussion at para.26-037 below of the question whether </w:t>
      </w:r>
      <w:r>
        <w:rPr/>
        <w:t>cost of cure is recoverable where cure is not undertaken.</w:t>
      </w:r>
    </w:p>
    <w:p>
      <w:pPr>
        <w:pStyle w:val="BodyText"/>
        <w:spacing w:before="9"/>
      </w:pPr>
    </w:p>
    <w:p>
      <w:pPr>
        <w:spacing w:line="235" w:lineRule="auto" w:before="0"/>
        <w:ind w:left="705" w:right="168" w:hanging="541"/>
        <w:jc w:val="both"/>
        <w:rPr>
          <w:sz w:val="20"/>
        </w:rPr>
      </w:pPr>
      <w:bookmarkStart w:name="_bookmark903" w:id="905"/>
      <w:bookmarkEnd w:id="905"/>
      <w:r>
        <w:rPr/>
      </w:r>
      <w:hyperlink w:history="true" w:anchor="_bookmark706">
        <w:r>
          <w:rPr>
            <w:color w:val="005DA1"/>
            <w:position w:val="5"/>
            <w:sz w:val="14"/>
            <w:u w:val="single" w:color="005DA1"/>
          </w:rPr>
          <w:t>455</w:t>
        </w:r>
      </w:hyperlink>
      <w:r>
        <w:rPr>
          <w:position w:val="5"/>
          <w:sz w:val="14"/>
        </w:rPr>
        <w:t>.</w:t>
      </w:r>
      <w:r>
        <w:rPr>
          <w:spacing w:val="80"/>
          <w:position w:val="5"/>
          <w:sz w:val="14"/>
        </w:rPr>
        <w:t>  </w:t>
      </w:r>
      <w:r>
        <w:rPr>
          <w:sz w:val="20"/>
        </w:rPr>
        <w:t>See</w:t>
      </w:r>
      <w:r>
        <w:rPr>
          <w:spacing w:val="20"/>
          <w:sz w:val="20"/>
        </w:rPr>
        <w:t> </w:t>
      </w:r>
      <w:r>
        <w:rPr>
          <w:sz w:val="20"/>
        </w:rPr>
        <w:t>the</w:t>
      </w:r>
      <w:r>
        <w:rPr>
          <w:spacing w:val="20"/>
          <w:sz w:val="20"/>
        </w:rPr>
        <w:t> </w:t>
      </w:r>
      <w:r>
        <w:rPr>
          <w:rFonts w:ascii="Arial"/>
          <w:i/>
          <w:sz w:val="20"/>
        </w:rPr>
        <w:t>Darlington</w:t>
      </w:r>
      <w:r>
        <w:rPr>
          <w:rFonts w:ascii="Arial"/>
          <w:i/>
          <w:spacing w:val="20"/>
          <w:sz w:val="20"/>
        </w:rPr>
        <w:t> </w:t>
      </w:r>
      <w:r>
        <w:rPr>
          <w:rFonts w:ascii="Arial"/>
          <w:i/>
          <w:sz w:val="20"/>
        </w:rPr>
        <w:t>case</w:t>
      </w:r>
      <w:r>
        <w:rPr>
          <w:rFonts w:ascii="Arial"/>
          <w:i/>
          <w:spacing w:val="20"/>
          <w:sz w:val="20"/>
        </w:rPr>
        <w:t> </w:t>
      </w:r>
      <w:r>
        <w:rPr>
          <w:rFonts w:ascii="Arial"/>
          <w:i/>
          <w:sz w:val="20"/>
        </w:rPr>
        <w:t>[1995]</w:t>
      </w:r>
      <w:r>
        <w:rPr>
          <w:rFonts w:ascii="Arial"/>
          <w:i/>
          <w:spacing w:val="20"/>
          <w:sz w:val="20"/>
        </w:rPr>
        <w:t> </w:t>
      </w:r>
      <w:r>
        <w:rPr>
          <w:rFonts w:ascii="Arial"/>
          <w:i/>
          <w:sz w:val="20"/>
        </w:rPr>
        <w:t>1</w:t>
      </w:r>
      <w:r>
        <w:rPr>
          <w:rFonts w:ascii="Arial"/>
          <w:i/>
          <w:spacing w:val="20"/>
          <w:sz w:val="20"/>
        </w:rPr>
        <w:t> </w:t>
      </w:r>
      <w:r>
        <w:rPr>
          <w:rFonts w:ascii="Arial"/>
          <w:i/>
          <w:sz w:val="20"/>
        </w:rPr>
        <w:t>W.L.R.</w:t>
      </w:r>
      <w:r>
        <w:rPr>
          <w:rFonts w:ascii="Arial"/>
          <w:i/>
          <w:spacing w:val="20"/>
          <w:sz w:val="20"/>
        </w:rPr>
        <w:t> </w:t>
      </w:r>
      <w:r>
        <w:rPr>
          <w:rFonts w:ascii="Arial"/>
          <w:i/>
          <w:sz w:val="20"/>
        </w:rPr>
        <w:t>68,</w:t>
      </w:r>
      <w:r>
        <w:rPr>
          <w:rFonts w:ascii="Arial"/>
          <w:i/>
          <w:spacing w:val="20"/>
          <w:sz w:val="20"/>
        </w:rPr>
        <w:t> </w:t>
      </w:r>
      <w:r>
        <w:rPr>
          <w:rFonts w:ascii="Arial"/>
          <w:i/>
          <w:sz w:val="20"/>
        </w:rPr>
        <w:t>80</w:t>
      </w:r>
      <w:r>
        <w:rPr>
          <w:sz w:val="20"/>
        </w:rPr>
        <w:t>;</w:t>
      </w:r>
      <w:r>
        <w:rPr>
          <w:spacing w:val="20"/>
          <w:sz w:val="20"/>
        </w:rPr>
        <w:t> </w:t>
      </w:r>
      <w:r>
        <w:rPr>
          <w:sz w:val="20"/>
        </w:rPr>
        <w:t>the</w:t>
      </w:r>
      <w:r>
        <w:rPr>
          <w:spacing w:val="20"/>
          <w:sz w:val="20"/>
        </w:rPr>
        <w:t> </w:t>
      </w:r>
      <w:r>
        <w:rPr>
          <w:rFonts w:ascii="Arial"/>
          <w:i/>
          <w:sz w:val="20"/>
        </w:rPr>
        <w:t>Panatown</w:t>
      </w:r>
      <w:r>
        <w:rPr>
          <w:rFonts w:ascii="Arial"/>
          <w:i/>
          <w:spacing w:val="20"/>
          <w:sz w:val="20"/>
        </w:rPr>
        <w:t> </w:t>
      </w:r>
      <w:r>
        <w:rPr>
          <w:rFonts w:ascii="Arial"/>
          <w:i/>
          <w:sz w:val="20"/>
        </w:rPr>
        <w:t>case</w:t>
      </w:r>
      <w:r>
        <w:rPr>
          <w:rFonts w:ascii="Arial"/>
          <w:i/>
          <w:spacing w:val="20"/>
          <w:sz w:val="20"/>
        </w:rPr>
        <w:t> </w:t>
      </w:r>
      <w:r>
        <w:rPr>
          <w:rFonts w:ascii="Arial"/>
          <w:i/>
          <w:sz w:val="20"/>
        </w:rPr>
        <w:t>[2001]</w:t>
      </w:r>
      <w:r>
        <w:rPr>
          <w:rFonts w:ascii="Arial"/>
          <w:i/>
          <w:spacing w:val="20"/>
          <w:sz w:val="20"/>
        </w:rPr>
        <w:t> </w:t>
      </w:r>
      <w:r>
        <w:rPr>
          <w:rFonts w:ascii="Arial"/>
          <w:i/>
          <w:sz w:val="20"/>
        </w:rPr>
        <w:t>1</w:t>
      </w:r>
      <w:r>
        <w:rPr>
          <w:rFonts w:ascii="Arial"/>
          <w:i/>
          <w:spacing w:val="20"/>
          <w:sz w:val="20"/>
        </w:rPr>
        <w:t> </w:t>
      </w:r>
      <w:r>
        <w:rPr>
          <w:rFonts w:ascii="Arial"/>
          <w:i/>
          <w:sz w:val="20"/>
        </w:rPr>
        <w:t>A.C.</w:t>
      </w:r>
      <w:r>
        <w:rPr>
          <w:rFonts w:ascii="Arial"/>
          <w:i/>
          <w:spacing w:val="20"/>
          <w:sz w:val="20"/>
        </w:rPr>
        <w:t> </w:t>
      </w:r>
      <w:r>
        <w:rPr>
          <w:rFonts w:ascii="Arial"/>
          <w:i/>
          <w:sz w:val="20"/>
        </w:rPr>
        <w:t>518,</w:t>
      </w:r>
      <w:r>
        <w:rPr>
          <w:rFonts w:ascii="Arial"/>
          <w:i/>
          <w:spacing w:val="20"/>
          <w:sz w:val="20"/>
        </w:rPr>
        <w:t> </w:t>
      </w:r>
      <w:r>
        <w:rPr>
          <w:rFonts w:ascii="Arial"/>
          <w:i/>
          <w:sz w:val="20"/>
        </w:rPr>
        <w:t>556, 592 </w:t>
      </w:r>
      <w:r>
        <w:rPr>
          <w:sz w:val="20"/>
        </w:rPr>
        <w:t>per Lords Goff and Millett, dissenting; </w:t>
      </w:r>
      <w:r>
        <w:rPr>
          <w:rFonts w:ascii="Arial"/>
          <w:i/>
          <w:sz w:val="20"/>
        </w:rPr>
        <w:t>Ruxley Electronics and Construction Co v </w:t>
      </w:r>
      <w:r>
        <w:rPr>
          <w:rFonts w:ascii="Arial"/>
          <w:i/>
          <w:sz w:val="20"/>
        </w:rPr>
        <w:t>Forsyth [1996] A.C. 344, 359 </w:t>
      </w:r>
      <w:r>
        <w:rPr>
          <w:sz w:val="20"/>
        </w:rPr>
        <w:t>and 357; above, para.18-056, n.350.</w:t>
      </w:r>
    </w:p>
    <w:p>
      <w:pPr>
        <w:pStyle w:val="BodyText"/>
        <w:spacing w:before="5"/>
      </w:pPr>
    </w:p>
    <w:p>
      <w:pPr>
        <w:tabs>
          <w:tab w:pos="705" w:val="left" w:leader="none"/>
        </w:tabs>
        <w:spacing w:before="0"/>
        <w:ind w:left="165" w:right="0" w:firstLine="0"/>
        <w:jc w:val="left"/>
        <w:rPr>
          <w:sz w:val="20"/>
        </w:rPr>
      </w:pPr>
      <w:bookmarkStart w:name="_bookmark904" w:id="906"/>
      <w:bookmarkEnd w:id="906"/>
      <w:r>
        <w:rPr/>
      </w:r>
      <w:hyperlink w:history="true" w:anchor="_bookmark707">
        <w:r>
          <w:rPr>
            <w:color w:val="005DA1"/>
            <w:spacing w:val="-4"/>
            <w:position w:val="5"/>
            <w:sz w:val="14"/>
            <w:u w:val="single" w:color="005DA1"/>
          </w:rPr>
          <w:t>456</w:t>
        </w:r>
      </w:hyperlink>
      <w:r>
        <w:rPr>
          <w:spacing w:val="-4"/>
          <w:position w:val="5"/>
          <w:sz w:val="14"/>
        </w:rPr>
        <w:t>.</w:t>
      </w:r>
      <w:r>
        <w:rPr>
          <w:position w:val="5"/>
          <w:sz w:val="14"/>
        </w:rPr>
        <w:tab/>
      </w:r>
      <w:r>
        <w:rPr>
          <w:sz w:val="20"/>
        </w:rPr>
        <w:t>Below, para.26-</w:t>
      </w:r>
      <w:r>
        <w:rPr>
          <w:spacing w:val="-4"/>
          <w:sz w:val="20"/>
        </w:rPr>
        <w:t>037.</w:t>
      </w:r>
    </w:p>
    <w:p>
      <w:pPr>
        <w:pStyle w:val="BodyText"/>
        <w:spacing w:before="5"/>
      </w:pPr>
    </w:p>
    <w:p>
      <w:pPr>
        <w:tabs>
          <w:tab w:pos="705" w:val="left" w:leader="none"/>
        </w:tabs>
        <w:spacing w:before="0"/>
        <w:ind w:left="165" w:right="0" w:firstLine="0"/>
        <w:jc w:val="left"/>
        <w:rPr>
          <w:sz w:val="20"/>
        </w:rPr>
      </w:pPr>
      <w:bookmarkStart w:name="_bookmark905" w:id="907"/>
      <w:bookmarkEnd w:id="907"/>
      <w:r>
        <w:rPr/>
      </w:r>
      <w:hyperlink w:history="true" w:anchor="_bookmark708">
        <w:r>
          <w:rPr>
            <w:color w:val="005DA1"/>
            <w:spacing w:val="-4"/>
            <w:position w:val="5"/>
            <w:sz w:val="14"/>
            <w:u w:val="single" w:color="005DA1"/>
          </w:rPr>
          <w:t>457</w:t>
        </w:r>
      </w:hyperlink>
      <w:r>
        <w:rPr>
          <w:spacing w:val="-4"/>
          <w:position w:val="5"/>
          <w:sz w:val="14"/>
        </w:rPr>
        <w:t>.</w:t>
      </w:r>
      <w:r>
        <w:rPr>
          <w:position w:val="5"/>
          <w:sz w:val="14"/>
        </w:rPr>
        <w:tab/>
      </w:r>
      <w:r>
        <w:rPr>
          <w:sz w:val="20"/>
        </w:rPr>
        <w:t>Below, para.26-</w:t>
      </w:r>
      <w:r>
        <w:rPr>
          <w:spacing w:val="-4"/>
          <w:sz w:val="20"/>
        </w:rPr>
        <w:t>082.</w:t>
      </w:r>
    </w:p>
    <w:p>
      <w:pPr>
        <w:pStyle w:val="BodyText"/>
        <w:spacing w:before="5"/>
      </w:pPr>
    </w:p>
    <w:p>
      <w:pPr>
        <w:tabs>
          <w:tab w:pos="705" w:val="left" w:leader="none"/>
        </w:tabs>
        <w:spacing w:before="0"/>
        <w:ind w:left="165" w:right="0" w:firstLine="0"/>
        <w:jc w:val="left"/>
        <w:rPr>
          <w:sz w:val="20"/>
        </w:rPr>
      </w:pPr>
      <w:bookmarkStart w:name="_bookmark906" w:id="908"/>
      <w:bookmarkEnd w:id="908"/>
      <w:r>
        <w:rPr/>
      </w:r>
      <w:hyperlink w:history="true" w:anchor="_bookmark709">
        <w:r>
          <w:rPr>
            <w:color w:val="005DA1"/>
            <w:spacing w:val="-4"/>
            <w:position w:val="5"/>
            <w:sz w:val="14"/>
            <w:u w:val="single" w:color="005DA1"/>
          </w:rPr>
          <w:t>458</w:t>
        </w:r>
      </w:hyperlink>
      <w:r>
        <w:rPr>
          <w:spacing w:val="-4"/>
          <w:position w:val="5"/>
          <w:sz w:val="14"/>
        </w:rPr>
        <w:t>.</w:t>
      </w:r>
      <w:r>
        <w:rPr>
          <w:position w:val="5"/>
          <w:sz w:val="14"/>
        </w:rPr>
        <w:tab/>
      </w:r>
      <w:r>
        <w:rPr>
          <w:sz w:val="20"/>
        </w:rPr>
        <w:t>See the references to the</w:t>
      </w:r>
      <w:r>
        <w:rPr>
          <w:spacing w:val="-1"/>
          <w:sz w:val="20"/>
        </w:rPr>
        <w:t> </w:t>
      </w:r>
      <w:r>
        <w:rPr>
          <w:rFonts w:ascii="Arial"/>
          <w:i/>
          <w:sz w:val="20"/>
        </w:rPr>
        <w:t>Darlington</w:t>
      </w:r>
      <w:r>
        <w:rPr>
          <w:rFonts w:ascii="Arial"/>
          <w:i/>
          <w:spacing w:val="-1"/>
          <w:sz w:val="20"/>
        </w:rPr>
        <w:t> </w:t>
      </w:r>
      <w:r>
        <w:rPr>
          <w:sz w:val="20"/>
        </w:rPr>
        <w:t>and</w:t>
      </w:r>
      <w:r>
        <w:rPr>
          <w:spacing w:val="-1"/>
          <w:sz w:val="20"/>
        </w:rPr>
        <w:t> </w:t>
      </w:r>
      <w:r>
        <w:rPr>
          <w:rFonts w:ascii="Arial"/>
          <w:i/>
          <w:sz w:val="20"/>
        </w:rPr>
        <w:t>Panatown</w:t>
      </w:r>
      <w:r>
        <w:rPr>
          <w:rFonts w:ascii="Arial"/>
          <w:i/>
          <w:spacing w:val="-1"/>
          <w:sz w:val="20"/>
        </w:rPr>
        <w:t> </w:t>
      </w:r>
      <w:r>
        <w:rPr>
          <w:sz w:val="20"/>
        </w:rPr>
        <w:t>cases in n.429, </w:t>
      </w:r>
      <w:r>
        <w:rPr>
          <w:spacing w:val="-2"/>
          <w:sz w:val="20"/>
        </w:rPr>
        <w:t>above.</w:t>
      </w:r>
    </w:p>
    <w:p>
      <w:pPr>
        <w:pStyle w:val="BodyText"/>
        <w:spacing w:before="9"/>
      </w:pPr>
    </w:p>
    <w:p>
      <w:pPr>
        <w:pStyle w:val="BodyText"/>
        <w:tabs>
          <w:tab w:pos="705" w:val="left" w:leader="none"/>
        </w:tabs>
        <w:spacing w:line="235" w:lineRule="auto"/>
        <w:ind w:left="705" w:right="168" w:hanging="541"/>
      </w:pPr>
      <w:bookmarkStart w:name="_bookmark907" w:id="909"/>
      <w:bookmarkEnd w:id="909"/>
      <w:r>
        <w:rPr/>
      </w:r>
      <w:hyperlink w:history="true" w:anchor="_bookmark710">
        <w:r>
          <w:rPr>
            <w:color w:val="005DA1"/>
            <w:spacing w:val="-4"/>
            <w:position w:val="5"/>
            <w:sz w:val="14"/>
            <w:u w:val="single" w:color="005DA1"/>
          </w:rPr>
          <w:t>459</w:t>
        </w:r>
      </w:hyperlink>
      <w:r>
        <w:rPr>
          <w:spacing w:val="-4"/>
          <w:position w:val="5"/>
          <w:sz w:val="14"/>
        </w:rPr>
        <w:t>.</w:t>
      </w:r>
      <w:r>
        <w:rPr>
          <w:position w:val="5"/>
          <w:sz w:val="14"/>
        </w:rPr>
        <w:tab/>
      </w:r>
      <w:r>
        <w:rPr/>
        <w:t>e.g., where a seller of goods in breach of contract fails to deliver and the goods are at the time of the failure worth less than the buyer had agreed to pay (but had not paid) for them.</w:t>
      </w:r>
    </w:p>
    <w:p>
      <w:pPr>
        <w:pStyle w:val="BodyText"/>
        <w:spacing w:before="6"/>
      </w:pPr>
    </w:p>
    <w:p>
      <w:pPr>
        <w:tabs>
          <w:tab w:pos="705" w:val="left" w:leader="none"/>
        </w:tabs>
        <w:spacing w:before="0"/>
        <w:ind w:left="165" w:right="0" w:firstLine="0"/>
        <w:jc w:val="left"/>
        <w:rPr>
          <w:sz w:val="20"/>
        </w:rPr>
      </w:pPr>
      <w:bookmarkStart w:name="_bookmark908" w:id="910"/>
      <w:bookmarkEnd w:id="910"/>
      <w:r>
        <w:rPr/>
      </w:r>
      <w:hyperlink w:history="true" w:anchor="_bookmark711">
        <w:r>
          <w:rPr>
            <w:color w:val="005DA1"/>
            <w:spacing w:val="-4"/>
            <w:position w:val="5"/>
            <w:sz w:val="14"/>
            <w:u w:val="single" w:color="005DA1"/>
          </w:rPr>
          <w:t>460</w:t>
        </w:r>
      </w:hyperlink>
      <w:r>
        <w:rPr>
          <w:spacing w:val="-4"/>
          <w:position w:val="5"/>
          <w:sz w:val="14"/>
        </w:rPr>
        <w:t>.</w:t>
      </w:r>
      <w:r>
        <w:rPr>
          <w:position w:val="5"/>
          <w:sz w:val="14"/>
        </w:rPr>
        <w:tab/>
      </w:r>
      <w:r>
        <w:rPr>
          <w:rFonts w:ascii="Arial"/>
          <w:i/>
          <w:sz w:val="20"/>
        </w:rPr>
        <w:t>[2001]</w:t>
      </w:r>
      <w:r>
        <w:rPr>
          <w:rFonts w:ascii="Arial"/>
          <w:i/>
          <w:spacing w:val="-2"/>
          <w:sz w:val="20"/>
        </w:rPr>
        <w:t> </w:t>
      </w:r>
      <w:r>
        <w:rPr>
          <w:rFonts w:ascii="Arial"/>
          <w:i/>
          <w:sz w:val="20"/>
        </w:rPr>
        <w:t>1 A.C. 518, </w:t>
      </w:r>
      <w:r>
        <w:rPr>
          <w:rFonts w:ascii="Arial"/>
          <w:i/>
          <w:spacing w:val="-4"/>
          <w:sz w:val="20"/>
        </w:rPr>
        <w:t>534</w:t>
      </w:r>
      <w:r>
        <w:rPr>
          <w:spacing w:val="-4"/>
          <w:sz w:val="20"/>
        </w:rPr>
        <w:t>.</w:t>
      </w:r>
    </w:p>
    <w:p>
      <w:pPr>
        <w:pStyle w:val="BodyText"/>
        <w:spacing w:before="8"/>
      </w:pPr>
    </w:p>
    <w:p>
      <w:pPr>
        <w:pStyle w:val="BodyText"/>
        <w:spacing w:line="235" w:lineRule="auto"/>
        <w:ind w:left="705" w:right="167" w:hanging="541"/>
        <w:jc w:val="both"/>
      </w:pPr>
      <w:bookmarkStart w:name="_bookmark909" w:id="911"/>
      <w:bookmarkEnd w:id="911"/>
      <w:r>
        <w:rPr/>
      </w:r>
      <w:hyperlink w:history="true" w:anchor="_bookmark712">
        <w:r>
          <w:rPr>
            <w:color w:val="005DA1"/>
            <w:position w:val="5"/>
            <w:sz w:val="14"/>
            <w:u w:val="single" w:color="005DA1"/>
          </w:rPr>
          <w:t>461</w:t>
        </w:r>
      </w:hyperlink>
      <w:r>
        <w:rPr>
          <w:position w:val="5"/>
          <w:sz w:val="14"/>
        </w:rPr>
        <w:t>.</w:t>
      </w:r>
      <w:r>
        <w:rPr>
          <w:spacing w:val="80"/>
          <w:position w:val="5"/>
          <w:sz w:val="14"/>
        </w:rPr>
        <w:t>  </w:t>
      </w:r>
      <w:r>
        <w:rPr/>
        <w:t>Our concern here is with adverse </w:t>
      </w:r>
      <w:r>
        <w:rPr>
          <w:rFonts w:ascii="Arial" w:hAnsi="Arial"/>
          <w:i/>
        </w:rPr>
        <w:t>financial </w:t>
      </w:r>
      <w:r>
        <w:rPr/>
        <w:t>effect on the claimant. A claim for damages for “loss of amenity” (below, para.26-144) will generally be one for loss suffered by the claimant, </w:t>
      </w:r>
      <w:r>
        <w:rPr/>
        <w:t>though in the family holiday cases (above, paras 18-051, 18-052) this loss may be increased by the claimant’s</w:t>
      </w:r>
      <w:r>
        <w:rPr>
          <w:spacing w:val="40"/>
        </w:rPr>
        <w:t> </w:t>
      </w:r>
      <w:r>
        <w:rPr/>
        <w:t>witnessing</w:t>
      </w:r>
      <w:r>
        <w:rPr>
          <w:spacing w:val="40"/>
        </w:rPr>
        <w:t> </w:t>
      </w:r>
      <w:r>
        <w:rPr/>
        <w:t>the</w:t>
      </w:r>
      <w:r>
        <w:rPr>
          <w:spacing w:val="40"/>
        </w:rPr>
        <w:t> </w:t>
      </w:r>
      <w:r>
        <w:rPr/>
        <w:t>sufferings</w:t>
      </w:r>
      <w:r>
        <w:rPr>
          <w:spacing w:val="40"/>
        </w:rPr>
        <w:t> </w:t>
      </w:r>
      <w:r>
        <w:rPr/>
        <w:t>of</w:t>
      </w:r>
      <w:r>
        <w:rPr>
          <w:spacing w:val="40"/>
        </w:rPr>
        <w:t> </w:t>
      </w:r>
      <w:r>
        <w:rPr/>
        <w:t>his</w:t>
      </w:r>
      <w:r>
        <w:rPr>
          <w:spacing w:val="40"/>
        </w:rPr>
        <w:t> </w:t>
      </w:r>
      <w:r>
        <w:rPr/>
        <w:t>family</w:t>
      </w:r>
      <w:r>
        <w:rPr>
          <w:spacing w:val="40"/>
        </w:rPr>
        <w:t> </w:t>
      </w:r>
      <w:r>
        <w:rPr/>
        <w:t>in</w:t>
      </w:r>
      <w:r>
        <w:rPr>
          <w:spacing w:val="40"/>
        </w:rPr>
        <w:t> </w:t>
      </w:r>
      <w:r>
        <w:rPr/>
        <w:t>comfortless</w:t>
      </w:r>
      <w:r>
        <w:rPr>
          <w:spacing w:val="40"/>
        </w:rPr>
        <w:t> </w:t>
      </w:r>
      <w:r>
        <w:rPr/>
        <w:t>hotels.</w:t>
      </w:r>
      <w:r>
        <w:rPr>
          <w:spacing w:val="40"/>
        </w:rPr>
        <w:t> </w:t>
      </w:r>
      <w:r>
        <w:rPr/>
        <w:t>Cf.</w:t>
      </w:r>
      <w:r>
        <w:rPr>
          <w:spacing w:val="40"/>
        </w:rPr>
        <w:t> </w:t>
      </w:r>
      <w:r>
        <w:rPr/>
        <w:t>also</w:t>
      </w:r>
      <w:r>
        <w:rPr>
          <w:spacing w:val="40"/>
        </w:rPr>
        <w:t> </w:t>
      </w:r>
      <w:r>
        <w:rPr/>
        <w:t>below, </w:t>
      </w:r>
      <w:r>
        <w:rPr>
          <w:spacing w:val="-2"/>
        </w:rPr>
        <w:t>para.26-144.</w:t>
      </w:r>
    </w:p>
    <w:p>
      <w:pPr>
        <w:pStyle w:val="BodyText"/>
        <w:spacing w:before="5"/>
      </w:pPr>
    </w:p>
    <w:p>
      <w:pPr>
        <w:tabs>
          <w:tab w:pos="705" w:val="left" w:leader="none"/>
        </w:tabs>
        <w:spacing w:before="0"/>
        <w:ind w:left="165" w:right="0" w:firstLine="0"/>
        <w:jc w:val="left"/>
        <w:rPr>
          <w:sz w:val="20"/>
        </w:rPr>
      </w:pPr>
      <w:bookmarkStart w:name="_bookmark910" w:id="912"/>
      <w:bookmarkEnd w:id="912"/>
      <w:r>
        <w:rPr/>
      </w:r>
      <w:hyperlink w:history="true" w:anchor="_bookmark713">
        <w:r>
          <w:rPr>
            <w:color w:val="005DA1"/>
            <w:spacing w:val="-4"/>
            <w:position w:val="5"/>
            <w:sz w:val="14"/>
            <w:u w:val="single" w:color="005DA1"/>
          </w:rPr>
          <w:t>462</w:t>
        </w:r>
      </w:hyperlink>
      <w:r>
        <w:rPr>
          <w:spacing w:val="-4"/>
          <w:position w:val="5"/>
          <w:sz w:val="14"/>
        </w:rPr>
        <w:t>.</w:t>
      </w:r>
      <w:r>
        <w:rPr>
          <w:position w:val="5"/>
          <w:sz w:val="14"/>
        </w:rPr>
        <w:tab/>
      </w:r>
      <w:r>
        <w:rPr>
          <w:rFonts w:ascii="Arial"/>
          <w:i/>
          <w:sz w:val="20"/>
        </w:rPr>
        <w:t>Panatown case [2001] 1 A.C. 518, </w:t>
      </w:r>
      <w:r>
        <w:rPr>
          <w:rFonts w:ascii="Arial"/>
          <w:i/>
          <w:spacing w:val="-4"/>
          <w:sz w:val="20"/>
        </w:rPr>
        <w:t>571</w:t>
      </w:r>
      <w:r>
        <w:rPr>
          <w:spacing w:val="-4"/>
          <w:sz w:val="20"/>
        </w:rPr>
        <w:t>.</w:t>
      </w:r>
    </w:p>
    <w:p>
      <w:pPr>
        <w:pStyle w:val="BodyText"/>
        <w:spacing w:before="5"/>
      </w:pPr>
    </w:p>
    <w:p>
      <w:pPr>
        <w:pStyle w:val="BodyText"/>
        <w:tabs>
          <w:tab w:pos="705" w:val="left" w:leader="none"/>
        </w:tabs>
        <w:ind w:left="165"/>
      </w:pPr>
      <w:bookmarkStart w:name="_bookmark911" w:id="913"/>
      <w:bookmarkEnd w:id="913"/>
      <w:r>
        <w:rPr/>
      </w:r>
      <w:hyperlink w:history="true" w:anchor="_bookmark714">
        <w:r>
          <w:rPr>
            <w:color w:val="005DA1"/>
            <w:spacing w:val="-4"/>
            <w:position w:val="5"/>
            <w:sz w:val="14"/>
            <w:u w:val="single" w:color="005DA1"/>
          </w:rPr>
          <w:t>463</w:t>
        </w:r>
      </w:hyperlink>
      <w:r>
        <w:rPr>
          <w:spacing w:val="-4"/>
          <w:position w:val="5"/>
          <w:sz w:val="14"/>
        </w:rPr>
        <w:t>.</w:t>
      </w:r>
      <w:r>
        <w:rPr>
          <w:position w:val="5"/>
          <w:sz w:val="14"/>
        </w:rPr>
        <w:tab/>
      </w:r>
      <w:r>
        <w:rPr/>
        <w:t>See at n.428,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912" w:id="914"/>
      <w:bookmarkEnd w:id="914"/>
      <w:r>
        <w:rPr/>
      </w:r>
      <w:hyperlink w:history="true" w:anchor="_bookmark715">
        <w:r>
          <w:rPr>
            <w:color w:val="005DA1"/>
            <w:spacing w:val="-4"/>
            <w:position w:val="5"/>
            <w:sz w:val="14"/>
            <w:u w:val="single" w:color="005DA1"/>
          </w:rPr>
          <w:t>464</w:t>
        </w:r>
      </w:hyperlink>
      <w:r>
        <w:rPr>
          <w:spacing w:val="-4"/>
          <w:position w:val="5"/>
          <w:sz w:val="14"/>
        </w:rPr>
        <w:t>.</w:t>
      </w:r>
      <w:r>
        <w:rPr>
          <w:position w:val="5"/>
          <w:sz w:val="14"/>
        </w:rPr>
        <w:tab/>
      </w:r>
      <w:r>
        <w:rPr>
          <w:sz w:val="20"/>
        </w:rPr>
        <w:t>Below, para.18-</w:t>
      </w:r>
      <w:r>
        <w:rPr>
          <w:spacing w:val="-4"/>
          <w:sz w:val="20"/>
        </w:rPr>
        <w:t>078.</w:t>
      </w:r>
    </w:p>
    <w:p>
      <w:pPr>
        <w:pStyle w:val="BodyText"/>
        <w:spacing w:before="5"/>
      </w:pPr>
    </w:p>
    <w:p>
      <w:pPr>
        <w:tabs>
          <w:tab w:pos="705" w:val="left" w:leader="none"/>
        </w:tabs>
        <w:spacing w:before="0"/>
        <w:ind w:left="165" w:right="0" w:firstLine="0"/>
        <w:jc w:val="left"/>
        <w:rPr>
          <w:sz w:val="20"/>
        </w:rPr>
      </w:pPr>
      <w:bookmarkStart w:name="_bookmark913" w:id="915"/>
      <w:bookmarkEnd w:id="915"/>
      <w:r>
        <w:rPr/>
      </w:r>
      <w:hyperlink w:history="true" w:anchor="_bookmark716">
        <w:r>
          <w:rPr>
            <w:color w:val="005DA1"/>
            <w:spacing w:val="-4"/>
            <w:position w:val="5"/>
            <w:sz w:val="14"/>
            <w:u w:val="single" w:color="005DA1"/>
          </w:rPr>
          <w:t>465</w:t>
        </w:r>
      </w:hyperlink>
      <w:r>
        <w:rPr>
          <w:spacing w:val="-4"/>
          <w:position w:val="5"/>
          <w:sz w:val="14"/>
        </w:rPr>
        <w:t>.</w:t>
      </w:r>
      <w:r>
        <w:rPr>
          <w:position w:val="5"/>
          <w:sz w:val="14"/>
        </w:rPr>
        <w:tab/>
      </w:r>
      <w:r>
        <w:rPr>
          <w:rFonts w:ascii="Arial"/>
          <w:i/>
          <w:sz w:val="20"/>
        </w:rPr>
        <w:t>[1994]</w:t>
      </w:r>
      <w:r>
        <w:rPr>
          <w:rFonts w:ascii="Arial"/>
          <w:i/>
          <w:spacing w:val="-1"/>
          <w:sz w:val="20"/>
        </w:rPr>
        <w:t> </w:t>
      </w:r>
      <w:r>
        <w:rPr>
          <w:rFonts w:ascii="Arial"/>
          <w:i/>
          <w:sz w:val="20"/>
        </w:rPr>
        <w:t>1 A.C. 85</w:t>
      </w:r>
      <w:r>
        <w:rPr>
          <w:sz w:val="20"/>
        </w:rPr>
        <w:t>, above para.18-</w:t>
      </w:r>
      <w:r>
        <w:rPr>
          <w:spacing w:val="-4"/>
          <w:sz w:val="20"/>
        </w:rPr>
        <w:t>055.</w:t>
      </w:r>
    </w:p>
    <w:p>
      <w:pPr>
        <w:pStyle w:val="BodyText"/>
        <w:spacing w:before="5"/>
      </w:pPr>
    </w:p>
    <w:p>
      <w:pPr>
        <w:tabs>
          <w:tab w:pos="705" w:val="left" w:leader="none"/>
        </w:tabs>
        <w:spacing w:before="0"/>
        <w:ind w:left="165" w:right="0" w:firstLine="0"/>
        <w:jc w:val="left"/>
        <w:rPr>
          <w:sz w:val="20"/>
        </w:rPr>
      </w:pPr>
      <w:bookmarkStart w:name="_bookmark914" w:id="916"/>
      <w:bookmarkEnd w:id="916"/>
      <w:r>
        <w:rPr/>
      </w:r>
      <w:hyperlink w:history="true" w:anchor="_bookmark717">
        <w:r>
          <w:rPr>
            <w:color w:val="005DA1"/>
            <w:spacing w:val="-4"/>
            <w:position w:val="5"/>
            <w:sz w:val="14"/>
            <w:u w:val="single" w:color="005DA1"/>
          </w:rPr>
          <w:t>466</w:t>
        </w:r>
      </w:hyperlink>
      <w:r>
        <w:rPr>
          <w:spacing w:val="-4"/>
          <w:position w:val="5"/>
          <w:sz w:val="14"/>
        </w:rPr>
        <w:t>.</w:t>
      </w:r>
      <w:r>
        <w:rPr>
          <w:position w:val="5"/>
          <w:sz w:val="14"/>
        </w:rPr>
        <w:tab/>
      </w:r>
      <w:r>
        <w:rPr>
          <w:rFonts w:ascii="Arial"/>
          <w:i/>
          <w:sz w:val="20"/>
        </w:rPr>
        <w:t>[2006] EWCA Civ 658, [2007] Ch. </w:t>
      </w:r>
      <w:r>
        <w:rPr>
          <w:rFonts w:ascii="Arial"/>
          <w:i/>
          <w:spacing w:val="-5"/>
          <w:sz w:val="20"/>
        </w:rPr>
        <w:t>71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915" w:id="917"/>
      <w:bookmarkEnd w:id="917"/>
      <w:r>
        <w:rPr/>
      </w:r>
      <w:hyperlink w:history="true" w:anchor="_bookmark718">
        <w:r>
          <w:rPr>
            <w:color w:val="005DA1"/>
            <w:spacing w:val="-4"/>
            <w:position w:val="5"/>
            <w:sz w:val="14"/>
            <w:u w:val="single" w:color="005DA1"/>
          </w:rPr>
          <w:t>467</w:t>
        </w:r>
      </w:hyperlink>
      <w:r>
        <w:rPr>
          <w:spacing w:val="-4"/>
          <w:position w:val="5"/>
          <w:sz w:val="14"/>
        </w:rPr>
        <w:t>.</w:t>
      </w:r>
      <w:r>
        <w:rPr>
          <w:position w:val="5"/>
          <w:sz w:val="14"/>
        </w:rPr>
        <w:tab/>
      </w:r>
      <w:r>
        <w:rPr>
          <w:sz w:val="20"/>
        </w:rPr>
        <w:t>ibid., at </w:t>
      </w:r>
      <w:r>
        <w:rPr>
          <w:spacing w:val="-2"/>
          <w:sz w:val="20"/>
        </w:rPr>
        <w:t>[88].</w:t>
      </w:r>
    </w:p>
    <w:p>
      <w:pPr>
        <w:pStyle w:val="BodyText"/>
        <w:spacing w:before="5"/>
      </w:pPr>
    </w:p>
    <w:p>
      <w:pPr>
        <w:tabs>
          <w:tab w:pos="705" w:val="left" w:leader="none"/>
        </w:tabs>
        <w:spacing w:before="0"/>
        <w:ind w:left="165" w:right="0" w:firstLine="0"/>
        <w:jc w:val="left"/>
        <w:rPr>
          <w:sz w:val="20"/>
        </w:rPr>
      </w:pPr>
      <w:bookmarkStart w:name="_bookmark916" w:id="918"/>
      <w:bookmarkEnd w:id="918"/>
      <w:r>
        <w:rPr/>
      </w:r>
      <w:hyperlink w:history="true" w:anchor="_bookmark719">
        <w:r>
          <w:rPr>
            <w:color w:val="005DA1"/>
            <w:spacing w:val="-4"/>
            <w:position w:val="5"/>
            <w:sz w:val="14"/>
            <w:u w:val="single" w:color="005DA1"/>
          </w:rPr>
          <w:t>468</w:t>
        </w:r>
      </w:hyperlink>
      <w:r>
        <w:rPr>
          <w:spacing w:val="-4"/>
          <w:position w:val="5"/>
          <w:sz w:val="14"/>
        </w:rPr>
        <w:t>.</w:t>
      </w:r>
      <w:r>
        <w:rPr>
          <w:position w:val="5"/>
          <w:sz w:val="14"/>
        </w:rPr>
        <w:tab/>
      </w:r>
      <w:r>
        <w:rPr>
          <w:sz w:val="20"/>
        </w:rPr>
        <w:t>ibid., at </w:t>
      </w:r>
      <w:r>
        <w:rPr>
          <w:spacing w:val="-2"/>
          <w:sz w:val="20"/>
        </w:rPr>
        <w:t>[86].</w:t>
      </w:r>
    </w:p>
    <w:p>
      <w:pPr>
        <w:pStyle w:val="BodyText"/>
        <w:spacing w:before="5"/>
      </w:pPr>
    </w:p>
    <w:p>
      <w:pPr>
        <w:pStyle w:val="BodyText"/>
        <w:tabs>
          <w:tab w:pos="705" w:val="left" w:leader="none"/>
        </w:tabs>
        <w:ind w:left="165"/>
      </w:pPr>
      <w:bookmarkStart w:name="_bookmark917" w:id="919"/>
      <w:bookmarkEnd w:id="919"/>
      <w:r>
        <w:rPr/>
      </w:r>
      <w:hyperlink w:history="true" w:anchor="_bookmark720">
        <w:r>
          <w:rPr>
            <w:color w:val="005DA1"/>
            <w:spacing w:val="-4"/>
            <w:position w:val="5"/>
            <w:sz w:val="14"/>
            <w:u w:val="single" w:color="005DA1"/>
          </w:rPr>
          <w:t>469</w:t>
        </w:r>
      </w:hyperlink>
      <w:r>
        <w:rPr>
          <w:spacing w:val="-4"/>
          <w:position w:val="5"/>
          <w:sz w:val="14"/>
        </w:rPr>
        <w:t>.</w:t>
      </w:r>
      <w:r>
        <w:rPr>
          <w:position w:val="5"/>
          <w:sz w:val="14"/>
        </w:rPr>
        <w:tab/>
      </w:r>
      <w:r>
        <w:rPr/>
        <w:t>See para.18-054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918" w:id="920"/>
      <w:bookmarkEnd w:id="920"/>
      <w:r>
        <w:rPr/>
      </w:r>
      <w:hyperlink w:history="true" w:anchor="_bookmark721">
        <w:r>
          <w:rPr>
            <w:color w:val="005DA1"/>
            <w:spacing w:val="-4"/>
            <w:position w:val="5"/>
            <w:sz w:val="14"/>
            <w:u w:val="single" w:color="005DA1"/>
          </w:rPr>
          <w:t>470</w:t>
        </w:r>
      </w:hyperlink>
      <w:r>
        <w:rPr>
          <w:spacing w:val="-4"/>
          <w:position w:val="5"/>
          <w:sz w:val="14"/>
        </w:rPr>
        <w:t>.</w:t>
      </w:r>
      <w:r>
        <w:rPr>
          <w:position w:val="5"/>
          <w:sz w:val="14"/>
        </w:rPr>
        <w:tab/>
      </w:r>
      <w:r>
        <w:rPr>
          <w:rFonts w:ascii="Arial"/>
          <w:i/>
          <w:sz w:val="20"/>
        </w:rPr>
        <w:t>[2006] EWCA Civ 658</w:t>
      </w:r>
      <w:r>
        <w:rPr>
          <w:rFonts w:ascii="Arial"/>
          <w:i/>
          <w:spacing w:val="-1"/>
          <w:sz w:val="20"/>
        </w:rPr>
        <w:t> </w:t>
      </w:r>
      <w:r>
        <w:rPr>
          <w:sz w:val="20"/>
        </w:rPr>
        <w:t>at </w:t>
      </w:r>
      <w:r>
        <w:rPr>
          <w:spacing w:val="-2"/>
          <w:sz w:val="20"/>
        </w:rPr>
        <w:t>[94].</w:t>
      </w:r>
    </w:p>
    <w:p>
      <w:pPr>
        <w:pStyle w:val="BodyText"/>
        <w:spacing w:before="5"/>
      </w:pPr>
    </w:p>
    <w:p>
      <w:pPr>
        <w:pStyle w:val="BodyText"/>
        <w:tabs>
          <w:tab w:pos="705" w:val="left" w:leader="none"/>
        </w:tabs>
        <w:ind w:left="165"/>
      </w:pPr>
      <w:bookmarkStart w:name="_bookmark919" w:id="921"/>
      <w:bookmarkEnd w:id="921"/>
      <w:r>
        <w:rPr/>
      </w:r>
      <w:hyperlink w:history="true" w:anchor="_bookmark722">
        <w:r>
          <w:rPr>
            <w:color w:val="005DA1"/>
            <w:spacing w:val="-4"/>
            <w:position w:val="5"/>
            <w:sz w:val="14"/>
            <w:u w:val="single" w:color="005DA1"/>
          </w:rPr>
          <w:t>471</w:t>
        </w:r>
      </w:hyperlink>
      <w:r>
        <w:rPr>
          <w:spacing w:val="-4"/>
          <w:position w:val="5"/>
          <w:sz w:val="14"/>
        </w:rPr>
        <w:t>.</w:t>
      </w:r>
      <w:r>
        <w:rPr>
          <w:position w:val="5"/>
          <w:sz w:val="14"/>
        </w:rPr>
        <w:tab/>
      </w:r>
      <w:r>
        <w:rPr/>
        <w:t>In</w:t>
      </w:r>
      <w:r>
        <w:rPr>
          <w:spacing w:val="-2"/>
        </w:rPr>
        <w:t> </w:t>
      </w:r>
      <w:r>
        <w:rPr/>
        <w:t>paras 18-054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920" w:id="922"/>
      <w:bookmarkEnd w:id="922"/>
      <w:r>
        <w:rPr/>
      </w:r>
      <w:hyperlink w:history="true" w:anchor="_bookmark723">
        <w:r>
          <w:rPr>
            <w:color w:val="005DA1"/>
            <w:spacing w:val="-4"/>
            <w:position w:val="5"/>
            <w:sz w:val="14"/>
            <w:u w:val="single" w:color="005DA1"/>
          </w:rPr>
          <w:t>472</w:t>
        </w:r>
      </w:hyperlink>
      <w:r>
        <w:rPr>
          <w:spacing w:val="-4"/>
          <w:position w:val="5"/>
          <w:sz w:val="14"/>
        </w:rPr>
        <w:t>.</w:t>
      </w:r>
      <w:r>
        <w:rPr>
          <w:position w:val="5"/>
          <w:sz w:val="14"/>
        </w:rPr>
        <w:tab/>
      </w:r>
      <w:r>
        <w:rPr>
          <w:sz w:val="20"/>
        </w:rPr>
        <w:t>Below, para.18-</w:t>
      </w:r>
      <w:r>
        <w:rPr>
          <w:spacing w:val="-4"/>
          <w:sz w:val="20"/>
        </w:rPr>
        <w:t>078.</w:t>
      </w:r>
    </w:p>
    <w:p>
      <w:pPr>
        <w:pStyle w:val="BodyText"/>
        <w:spacing w:before="9"/>
      </w:pPr>
    </w:p>
    <w:p>
      <w:pPr>
        <w:tabs>
          <w:tab w:pos="705" w:val="left" w:leader="none"/>
        </w:tabs>
        <w:spacing w:line="235" w:lineRule="auto" w:before="0"/>
        <w:ind w:left="705" w:right="168" w:hanging="541"/>
        <w:jc w:val="left"/>
        <w:rPr>
          <w:sz w:val="20"/>
        </w:rPr>
      </w:pPr>
      <w:bookmarkStart w:name="_bookmark921" w:id="923"/>
      <w:bookmarkEnd w:id="923"/>
      <w:r>
        <w:rPr/>
      </w:r>
      <w:hyperlink w:history="true" w:anchor="_bookmark724">
        <w:r>
          <w:rPr>
            <w:color w:val="005DA1"/>
            <w:spacing w:val="-4"/>
            <w:position w:val="5"/>
            <w:sz w:val="14"/>
            <w:u w:val="single" w:color="005DA1"/>
          </w:rPr>
          <w:t>473</w:t>
        </w:r>
      </w:hyperlink>
      <w:r>
        <w:rPr>
          <w:spacing w:val="-4"/>
          <w:position w:val="5"/>
          <w:sz w:val="14"/>
        </w:rPr>
        <w:t>.</w:t>
      </w:r>
      <w:r>
        <w:rPr>
          <w:position w:val="5"/>
          <w:sz w:val="14"/>
        </w:rPr>
        <w:tab/>
      </w:r>
      <w:r>
        <w:rPr>
          <w:sz w:val="20"/>
        </w:rPr>
        <w:t>e.g.,</w:t>
      </w:r>
      <w:r>
        <w:rPr>
          <w:spacing w:val="40"/>
          <w:sz w:val="20"/>
        </w:rPr>
        <w:t> </w:t>
      </w:r>
      <w:r>
        <w:rPr>
          <w:sz w:val="20"/>
        </w:rPr>
        <w:t>the</w:t>
      </w:r>
      <w:r>
        <w:rPr>
          <w:spacing w:val="40"/>
          <w:sz w:val="20"/>
        </w:rPr>
        <w:t> </w:t>
      </w:r>
      <w:r>
        <w:rPr>
          <w:rFonts w:ascii="Arial"/>
          <w:i/>
          <w:sz w:val="20"/>
        </w:rPr>
        <w:t>Woodar</w:t>
      </w:r>
      <w:r>
        <w:rPr>
          <w:rFonts w:ascii="Arial"/>
          <w:i/>
          <w:spacing w:val="40"/>
          <w:sz w:val="20"/>
        </w:rPr>
        <w:t> </w:t>
      </w:r>
      <w:r>
        <w:rPr>
          <w:rFonts w:ascii="Arial"/>
          <w:i/>
          <w:sz w:val="20"/>
        </w:rPr>
        <w:t>case</w:t>
      </w:r>
      <w:r>
        <w:rPr>
          <w:rFonts w:ascii="Arial"/>
          <w:i/>
          <w:spacing w:val="40"/>
          <w:sz w:val="20"/>
        </w:rPr>
        <w:t> </w:t>
      </w:r>
      <w:r>
        <w:rPr>
          <w:rFonts w:ascii="Arial"/>
          <w:i/>
          <w:sz w:val="20"/>
        </w:rPr>
        <w:t>[1980]</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277</w:t>
      </w:r>
      <w:r>
        <w:rPr>
          <w:rFonts w:ascii="Arial"/>
          <w:i/>
          <w:spacing w:val="40"/>
          <w:sz w:val="20"/>
        </w:rPr>
        <w:t> </w:t>
      </w:r>
      <w:r>
        <w:rPr>
          <w:sz w:val="20"/>
        </w:rPr>
        <w:t>(above,</w:t>
      </w:r>
      <w:r>
        <w:rPr>
          <w:spacing w:val="40"/>
          <w:sz w:val="20"/>
        </w:rPr>
        <w:t> </w:t>
      </w:r>
      <w:r>
        <w:rPr>
          <w:sz w:val="20"/>
        </w:rPr>
        <w:t>18-050,</w:t>
      </w:r>
      <w:r>
        <w:rPr>
          <w:spacing w:val="40"/>
          <w:sz w:val="20"/>
        </w:rPr>
        <w:t> </w:t>
      </w:r>
      <w:r>
        <w:rPr>
          <w:sz w:val="20"/>
        </w:rPr>
        <w:t>and</w:t>
      </w:r>
      <w:r>
        <w:rPr>
          <w:spacing w:val="40"/>
          <w:sz w:val="20"/>
        </w:rPr>
        <w:t> </w:t>
      </w:r>
      <w:r>
        <w:rPr>
          <w:sz w:val="20"/>
        </w:rPr>
        <w:t>see</w:t>
      </w:r>
      <w:r>
        <w:rPr>
          <w:spacing w:val="40"/>
          <w:sz w:val="20"/>
        </w:rPr>
        <w:t> </w:t>
      </w:r>
      <w:r>
        <w:rPr>
          <w:sz w:val="20"/>
        </w:rPr>
        <w:t>Law</w:t>
      </w:r>
      <w:r>
        <w:rPr>
          <w:spacing w:val="40"/>
          <w:sz w:val="20"/>
        </w:rPr>
        <w:t> </w:t>
      </w:r>
      <w:r>
        <w:rPr>
          <w:sz w:val="20"/>
        </w:rPr>
        <w:t>Com.</w:t>
      </w:r>
      <w:r>
        <w:rPr>
          <w:spacing w:val="40"/>
          <w:sz w:val="20"/>
        </w:rPr>
        <w:t> </w:t>
      </w:r>
      <w:r>
        <w:rPr>
          <w:sz w:val="20"/>
        </w:rPr>
        <w:t>No.242, para.7-49); and probably the </w:t>
      </w:r>
      <w:r>
        <w:rPr>
          <w:rFonts w:ascii="Arial"/>
          <w:i/>
          <w:sz w:val="20"/>
        </w:rPr>
        <w:t>Forster case (1981) 125 S.J. 397 </w:t>
      </w:r>
      <w:r>
        <w:rPr>
          <w:sz w:val="20"/>
        </w:rPr>
        <w:t>(above, para.18-053).</w:t>
      </w:r>
    </w:p>
    <w:p>
      <w:pPr>
        <w:pStyle w:val="BodyText"/>
        <w:spacing w:before="9"/>
      </w:pPr>
    </w:p>
    <w:p>
      <w:pPr>
        <w:tabs>
          <w:tab w:pos="705" w:val="left" w:leader="none"/>
        </w:tabs>
        <w:spacing w:line="235" w:lineRule="auto" w:before="0"/>
        <w:ind w:left="705" w:right="168" w:hanging="541"/>
        <w:jc w:val="left"/>
        <w:rPr>
          <w:sz w:val="20"/>
        </w:rPr>
      </w:pPr>
      <w:bookmarkStart w:name="_bookmark922" w:id="924"/>
      <w:bookmarkEnd w:id="924"/>
      <w:r>
        <w:rPr/>
      </w:r>
      <w:hyperlink w:history="true" w:anchor="_bookmark724">
        <w:r>
          <w:rPr>
            <w:color w:val="005DA1"/>
            <w:spacing w:val="-4"/>
            <w:position w:val="5"/>
            <w:sz w:val="14"/>
            <w:u w:val="single" w:color="005DA1"/>
          </w:rPr>
          <w:t>474</w:t>
        </w:r>
      </w:hyperlink>
      <w:r>
        <w:rPr>
          <w:spacing w:val="-4"/>
          <w:position w:val="5"/>
          <w:sz w:val="14"/>
        </w:rPr>
        <w:t>.</w:t>
      </w:r>
      <w:r>
        <w:rPr>
          <w:position w:val="5"/>
          <w:sz w:val="14"/>
        </w:rPr>
        <w:tab/>
      </w:r>
      <w:r>
        <w:rPr>
          <w:sz w:val="20"/>
        </w:rPr>
        <w:t>e.g.,</w:t>
      </w:r>
      <w:r>
        <w:rPr>
          <w:spacing w:val="29"/>
          <w:sz w:val="20"/>
        </w:rPr>
        <w:t> </w:t>
      </w:r>
      <w:r>
        <w:rPr>
          <w:sz w:val="20"/>
        </w:rPr>
        <w:t>probably,</w:t>
      </w:r>
      <w:r>
        <w:rPr>
          <w:spacing w:val="29"/>
          <w:sz w:val="20"/>
        </w:rPr>
        <w:t> </w:t>
      </w:r>
      <w:r>
        <w:rPr>
          <w:sz w:val="20"/>
        </w:rPr>
        <w:t>the</w:t>
      </w:r>
      <w:r>
        <w:rPr>
          <w:spacing w:val="28"/>
          <w:sz w:val="20"/>
        </w:rPr>
        <w:t> </w:t>
      </w:r>
      <w:r>
        <w:rPr>
          <w:rFonts w:ascii="Arial"/>
          <w:i/>
          <w:sz w:val="20"/>
        </w:rPr>
        <w:t>Linden</w:t>
      </w:r>
      <w:r>
        <w:rPr>
          <w:rFonts w:ascii="Arial"/>
          <w:i/>
          <w:spacing w:val="29"/>
          <w:sz w:val="20"/>
        </w:rPr>
        <w:t> </w:t>
      </w:r>
      <w:r>
        <w:rPr>
          <w:rFonts w:ascii="Arial"/>
          <w:i/>
          <w:sz w:val="20"/>
        </w:rPr>
        <w:t>Gardens</w:t>
      </w:r>
      <w:r>
        <w:rPr>
          <w:rFonts w:ascii="Arial"/>
          <w:i/>
          <w:spacing w:val="29"/>
          <w:sz w:val="20"/>
        </w:rPr>
        <w:t> </w:t>
      </w:r>
      <w:r>
        <w:rPr>
          <w:rFonts w:ascii="Arial"/>
          <w:i/>
          <w:sz w:val="20"/>
        </w:rPr>
        <w:t>case</w:t>
      </w:r>
      <w:r>
        <w:rPr>
          <w:rFonts w:ascii="Arial"/>
          <w:i/>
          <w:spacing w:val="29"/>
          <w:sz w:val="20"/>
        </w:rPr>
        <w:t> </w:t>
      </w:r>
      <w:r>
        <w:rPr>
          <w:rFonts w:ascii="Arial"/>
          <w:i/>
          <w:sz w:val="20"/>
        </w:rPr>
        <w:t>[1994]</w:t>
      </w:r>
      <w:r>
        <w:rPr>
          <w:rFonts w:ascii="Arial"/>
          <w:i/>
          <w:spacing w:val="29"/>
          <w:sz w:val="20"/>
        </w:rPr>
        <w:t> </w:t>
      </w:r>
      <w:r>
        <w:rPr>
          <w:rFonts w:ascii="Arial"/>
          <w:i/>
          <w:sz w:val="20"/>
        </w:rPr>
        <w:t>1</w:t>
      </w:r>
      <w:r>
        <w:rPr>
          <w:rFonts w:ascii="Arial"/>
          <w:i/>
          <w:spacing w:val="29"/>
          <w:sz w:val="20"/>
        </w:rPr>
        <w:t> </w:t>
      </w:r>
      <w:r>
        <w:rPr>
          <w:rFonts w:ascii="Arial"/>
          <w:i/>
          <w:sz w:val="20"/>
        </w:rPr>
        <w:t>A.C.</w:t>
      </w:r>
      <w:r>
        <w:rPr>
          <w:rFonts w:ascii="Arial"/>
          <w:i/>
          <w:spacing w:val="29"/>
          <w:sz w:val="20"/>
        </w:rPr>
        <w:t> </w:t>
      </w:r>
      <w:r>
        <w:rPr>
          <w:rFonts w:ascii="Arial"/>
          <w:i/>
          <w:sz w:val="20"/>
        </w:rPr>
        <w:t>85</w:t>
      </w:r>
      <w:r>
        <w:rPr>
          <w:rFonts w:ascii="Arial"/>
          <w:i/>
          <w:spacing w:val="28"/>
          <w:sz w:val="20"/>
        </w:rPr>
        <w:t> </w:t>
      </w:r>
      <w:r>
        <w:rPr>
          <w:sz w:val="20"/>
        </w:rPr>
        <w:t>(above,</w:t>
      </w:r>
      <w:r>
        <w:rPr>
          <w:spacing w:val="29"/>
          <w:sz w:val="20"/>
        </w:rPr>
        <w:t> </w:t>
      </w:r>
      <w:r>
        <w:rPr>
          <w:sz w:val="20"/>
        </w:rPr>
        <w:t>para.18-055):</w:t>
      </w:r>
      <w:r>
        <w:rPr>
          <w:spacing w:val="29"/>
          <w:sz w:val="20"/>
        </w:rPr>
        <w:t> </w:t>
      </w:r>
      <w:r>
        <w:rPr>
          <w:sz w:val="20"/>
        </w:rPr>
        <w:t>see</w:t>
      </w:r>
      <w:r>
        <w:rPr>
          <w:spacing w:val="29"/>
          <w:sz w:val="20"/>
        </w:rPr>
        <w:t> </w:t>
      </w:r>
      <w:r>
        <w:rPr>
          <w:sz w:val="20"/>
        </w:rPr>
        <w:t>below, </w:t>
      </w:r>
      <w:r>
        <w:rPr>
          <w:spacing w:val="-2"/>
          <w:sz w:val="20"/>
        </w:rPr>
        <w:t>para.18-096.</w:t>
      </w:r>
    </w:p>
    <w:p>
      <w:pPr>
        <w:pStyle w:val="BodyText"/>
        <w:spacing w:before="9"/>
      </w:pPr>
    </w:p>
    <w:p>
      <w:pPr>
        <w:pStyle w:val="BodyText"/>
        <w:spacing w:line="235" w:lineRule="auto" w:before="1"/>
        <w:ind w:left="705" w:right="167" w:hanging="541"/>
        <w:jc w:val="both"/>
      </w:pPr>
      <w:bookmarkStart w:name="_bookmark923" w:id="925"/>
      <w:bookmarkEnd w:id="925"/>
      <w:r>
        <w:rPr/>
      </w:r>
      <w:hyperlink w:history="true" w:anchor="_bookmark725">
        <w:r>
          <w:rPr>
            <w:color w:val="005DA1"/>
            <w:position w:val="5"/>
            <w:sz w:val="14"/>
            <w:u w:val="single" w:color="005DA1"/>
          </w:rPr>
          <w:t>475</w:t>
        </w:r>
      </w:hyperlink>
      <w:r>
        <w:rPr>
          <w:position w:val="5"/>
          <w:sz w:val="14"/>
        </w:rPr>
        <w:t>.</w:t>
      </w:r>
      <w:r>
        <w:rPr>
          <w:spacing w:val="80"/>
          <w:position w:val="5"/>
          <w:sz w:val="14"/>
        </w:rPr>
        <w:t>  </w:t>
      </w:r>
      <w:r>
        <w:rPr/>
        <w:t>Below, paras 18-090 et seq. Section 1(1)(a) and (3) will make it possible to draw up contracts</w:t>
      </w:r>
      <w:r>
        <w:rPr>
          <w:spacing w:val="40"/>
        </w:rPr>
        <w:t> </w:t>
      </w:r>
      <w:r>
        <w:rPr/>
        <w:t>on facts similar to those of the </w:t>
      </w:r>
      <w:r>
        <w:rPr>
          <w:rFonts w:ascii="Arial"/>
          <w:i/>
        </w:rPr>
        <w:t>Linden Gardens </w:t>
      </w:r>
      <w:r>
        <w:rPr/>
        <w:t>case, above, so as to confer a right </w:t>
      </w:r>
      <w:r>
        <w:rPr/>
        <w:t>of enforcement directly on the third party: see below, paras 18-091, 18-097, 18-098.</w:t>
      </w:r>
    </w:p>
    <w:p>
      <w:pPr>
        <w:pStyle w:val="BodyText"/>
        <w:spacing w:before="4"/>
      </w:pPr>
    </w:p>
    <w:p>
      <w:pPr>
        <w:tabs>
          <w:tab w:pos="705" w:val="left" w:leader="none"/>
        </w:tabs>
        <w:spacing w:before="1"/>
        <w:ind w:left="165" w:right="0" w:firstLine="0"/>
        <w:jc w:val="left"/>
        <w:rPr>
          <w:rFonts w:ascii="Arial"/>
          <w:i/>
          <w:sz w:val="20"/>
        </w:rPr>
      </w:pPr>
      <w:bookmarkStart w:name="_bookmark924" w:id="926"/>
      <w:bookmarkEnd w:id="926"/>
      <w:r>
        <w:rPr/>
      </w:r>
      <w:hyperlink w:history="true" w:anchor="_bookmark726">
        <w:r>
          <w:rPr>
            <w:color w:val="005DA1"/>
            <w:spacing w:val="-4"/>
            <w:position w:val="5"/>
            <w:sz w:val="14"/>
            <w:u w:val="single" w:color="005DA1"/>
          </w:rPr>
          <w:t>476</w:t>
        </w:r>
      </w:hyperlink>
      <w:r>
        <w:rPr>
          <w:spacing w:val="-4"/>
          <w:position w:val="5"/>
          <w:sz w:val="14"/>
        </w:rPr>
        <w:t>.</w:t>
      </w:r>
      <w:r>
        <w:rPr>
          <w:position w:val="5"/>
          <w:sz w:val="14"/>
        </w:rPr>
        <w:tab/>
      </w:r>
      <w:r>
        <w:rPr>
          <w:sz w:val="20"/>
        </w:rPr>
        <w:t>On</w:t>
      </w:r>
      <w:r>
        <w:rPr>
          <w:spacing w:val="14"/>
          <w:sz w:val="20"/>
        </w:rPr>
        <w:t> </w:t>
      </w:r>
      <w:r>
        <w:rPr>
          <w:sz w:val="20"/>
        </w:rPr>
        <w:t>the</w:t>
      </w:r>
      <w:r>
        <w:rPr>
          <w:spacing w:val="15"/>
          <w:sz w:val="20"/>
        </w:rPr>
        <w:t> </w:t>
      </w:r>
      <w:r>
        <w:rPr>
          <w:sz w:val="20"/>
        </w:rPr>
        <w:t>reasoning</w:t>
      </w:r>
      <w:r>
        <w:rPr>
          <w:spacing w:val="15"/>
          <w:sz w:val="20"/>
        </w:rPr>
        <w:t> </w:t>
      </w:r>
      <w:r>
        <w:rPr>
          <w:sz w:val="20"/>
        </w:rPr>
        <w:t>of</w:t>
      </w:r>
      <w:r>
        <w:rPr>
          <w:spacing w:val="15"/>
          <w:sz w:val="20"/>
        </w:rPr>
        <w:t> </w:t>
      </w:r>
      <w:r>
        <w:rPr>
          <w:rFonts w:ascii="Arial"/>
          <w:i/>
          <w:sz w:val="20"/>
        </w:rPr>
        <w:t>The</w:t>
      </w:r>
      <w:r>
        <w:rPr>
          <w:rFonts w:ascii="Arial"/>
          <w:i/>
          <w:spacing w:val="15"/>
          <w:sz w:val="20"/>
        </w:rPr>
        <w:t> </w:t>
      </w:r>
      <w:r>
        <w:rPr>
          <w:rFonts w:ascii="Arial"/>
          <w:i/>
          <w:sz w:val="20"/>
        </w:rPr>
        <w:t>Albazero</w:t>
      </w:r>
      <w:r>
        <w:rPr>
          <w:rFonts w:ascii="Arial"/>
          <w:i/>
          <w:spacing w:val="15"/>
          <w:sz w:val="20"/>
        </w:rPr>
        <w:t> </w:t>
      </w:r>
      <w:r>
        <w:rPr>
          <w:rFonts w:ascii="Arial"/>
          <w:i/>
          <w:sz w:val="20"/>
        </w:rPr>
        <w:t>[1977]</w:t>
      </w:r>
      <w:r>
        <w:rPr>
          <w:rFonts w:ascii="Arial"/>
          <w:i/>
          <w:spacing w:val="15"/>
          <w:sz w:val="20"/>
        </w:rPr>
        <w:t> </w:t>
      </w:r>
      <w:r>
        <w:rPr>
          <w:rFonts w:ascii="Arial"/>
          <w:i/>
          <w:sz w:val="20"/>
        </w:rPr>
        <w:t>A.C.</w:t>
      </w:r>
      <w:r>
        <w:rPr>
          <w:rFonts w:ascii="Arial"/>
          <w:i/>
          <w:spacing w:val="15"/>
          <w:sz w:val="20"/>
        </w:rPr>
        <w:t> </w:t>
      </w:r>
      <w:r>
        <w:rPr>
          <w:rFonts w:ascii="Arial"/>
          <w:i/>
          <w:sz w:val="20"/>
        </w:rPr>
        <w:t>774</w:t>
      </w:r>
      <w:r>
        <w:rPr>
          <w:sz w:val="20"/>
        </w:rPr>
        <w:t>,</w:t>
      </w:r>
      <w:r>
        <w:rPr>
          <w:spacing w:val="15"/>
          <w:sz w:val="20"/>
        </w:rPr>
        <w:t> </w:t>
      </w:r>
      <w:r>
        <w:rPr>
          <w:sz w:val="20"/>
        </w:rPr>
        <w:t>and</w:t>
      </w:r>
      <w:r>
        <w:rPr>
          <w:spacing w:val="15"/>
          <w:sz w:val="20"/>
        </w:rPr>
        <w:t> </w:t>
      </w:r>
      <w:r>
        <w:rPr>
          <w:sz w:val="20"/>
        </w:rPr>
        <w:t>of</w:t>
      </w:r>
      <w:r>
        <w:rPr>
          <w:spacing w:val="15"/>
          <w:sz w:val="20"/>
        </w:rPr>
        <w:t> </w:t>
      </w:r>
      <w:r>
        <w:rPr>
          <w:rFonts w:ascii="Arial"/>
          <w:i/>
          <w:sz w:val="20"/>
        </w:rPr>
        <w:t>Alfred</w:t>
      </w:r>
      <w:r>
        <w:rPr>
          <w:rFonts w:ascii="Arial"/>
          <w:i/>
          <w:spacing w:val="15"/>
          <w:sz w:val="20"/>
        </w:rPr>
        <w:t> </w:t>
      </w:r>
      <w:r>
        <w:rPr>
          <w:rFonts w:ascii="Arial"/>
          <w:i/>
          <w:sz w:val="20"/>
        </w:rPr>
        <w:t>McAlpine</w:t>
      </w:r>
      <w:r>
        <w:rPr>
          <w:rFonts w:ascii="Arial"/>
          <w:i/>
          <w:spacing w:val="15"/>
          <w:sz w:val="20"/>
        </w:rPr>
        <w:t> </w:t>
      </w:r>
      <w:r>
        <w:rPr>
          <w:rFonts w:ascii="Arial"/>
          <w:i/>
          <w:sz w:val="20"/>
        </w:rPr>
        <w:t>Construction</w:t>
      </w:r>
      <w:r>
        <w:rPr>
          <w:rFonts w:ascii="Arial"/>
          <w:i/>
          <w:spacing w:val="15"/>
          <w:sz w:val="20"/>
        </w:rPr>
        <w:t> </w:t>
      </w:r>
      <w:r>
        <w:rPr>
          <w:rFonts w:ascii="Arial"/>
          <w:i/>
          <w:sz w:val="20"/>
        </w:rPr>
        <w:t>Ltd</w:t>
      </w:r>
      <w:r>
        <w:rPr>
          <w:rFonts w:ascii="Arial"/>
          <w:i/>
          <w:spacing w:val="15"/>
          <w:sz w:val="20"/>
        </w:rPr>
        <w:t> </w:t>
      </w:r>
      <w:r>
        <w:rPr>
          <w:rFonts w:ascii="Arial"/>
          <w:i/>
          <w:spacing w:val="-10"/>
          <w:sz w:val="20"/>
        </w:rPr>
        <w:t>v</w:t>
      </w:r>
    </w:p>
    <w:p>
      <w:pPr>
        <w:spacing w:after="0"/>
        <w:jc w:val="left"/>
        <w:rPr>
          <w:rFonts w:ascii="Arial"/>
          <w:i/>
          <w:sz w:val="20"/>
        </w:rPr>
        <w:sectPr>
          <w:pgSz w:w="11900" w:h="16840"/>
          <w:pgMar w:header="971" w:footer="0" w:top="1160" w:bottom="280" w:left="1275" w:right="1275"/>
        </w:sectPr>
      </w:pPr>
    </w:p>
    <w:p>
      <w:pPr>
        <w:pStyle w:val="BodyText"/>
        <w:spacing w:before="24"/>
        <w:rPr>
          <w:rFonts w:ascii="Arial"/>
          <w:i/>
        </w:rPr>
      </w:pPr>
    </w:p>
    <w:p>
      <w:pPr>
        <w:spacing w:line="235" w:lineRule="auto" w:before="1"/>
        <w:ind w:left="705" w:right="167" w:firstLine="0"/>
        <w:jc w:val="both"/>
        <w:rPr>
          <w:sz w:val="20"/>
        </w:rPr>
      </w:pPr>
      <w:r>
        <w:rPr>
          <w:rFonts w:ascii="Arial"/>
          <w:i/>
          <w:sz w:val="20"/>
        </w:rPr>
        <w:t>Panatown Ltd [2001] 1 A.C. 518</w:t>
      </w:r>
      <w:r>
        <w:rPr>
          <w:sz w:val="20"/>
        </w:rPr>
        <w:t>, above, paras 18-054, 18-060, 18-061. Cf. </w:t>
      </w:r>
      <w:r>
        <w:rPr>
          <w:rFonts w:ascii="Arial"/>
          <w:i/>
          <w:sz w:val="20"/>
        </w:rPr>
        <w:t>Marquess of Aberdeen and Temair v Turcan Connell [2008] CSOH 183, [2009] P.N.L.R. 18</w:t>
      </w:r>
      <w:r>
        <w:rPr>
          <w:sz w:val="20"/>
        </w:rPr>
        <w:t>, where the </w:t>
      </w:r>
      <w:r>
        <w:rPr>
          <w:sz w:val="20"/>
        </w:rPr>
        <w:t>fact that the third party had </w:t>
      </w:r>
      <w:r>
        <w:rPr>
          <w:rFonts w:ascii="Arial"/>
          <w:i/>
          <w:sz w:val="20"/>
        </w:rPr>
        <w:t>no </w:t>
      </w:r>
      <w:r>
        <w:rPr>
          <w:sz w:val="20"/>
        </w:rPr>
        <w:t>claim, either under the Scots Law principle of ius quaesitum tertio (above, para.18-038) or in tort under </w:t>
      </w:r>
      <w:r>
        <w:rPr>
          <w:rFonts w:ascii="Arial"/>
          <w:i/>
          <w:sz w:val="20"/>
        </w:rPr>
        <w:t>White v Jones [1995] 2 A.C. 207 </w:t>
      </w:r>
      <w:r>
        <w:rPr>
          <w:sz w:val="20"/>
        </w:rPr>
        <w:t>(above, para.18-039)</w:t>
      </w:r>
      <w:r>
        <w:rPr>
          <w:spacing w:val="40"/>
          <w:sz w:val="20"/>
        </w:rPr>
        <w:t> </w:t>
      </w:r>
      <w:r>
        <w:rPr>
          <w:sz w:val="20"/>
        </w:rPr>
        <w:t>was</w:t>
      </w:r>
      <w:r>
        <w:rPr>
          <w:spacing w:val="-2"/>
          <w:sz w:val="20"/>
        </w:rPr>
        <w:t> </w:t>
      </w:r>
      <w:r>
        <w:rPr>
          <w:sz w:val="20"/>
        </w:rPr>
        <w:t>part</w:t>
      </w:r>
      <w:r>
        <w:rPr>
          <w:spacing w:val="-2"/>
          <w:sz w:val="20"/>
        </w:rPr>
        <w:t> </w:t>
      </w:r>
      <w:r>
        <w:rPr>
          <w:sz w:val="20"/>
        </w:rPr>
        <w:t>of</w:t>
      </w:r>
      <w:r>
        <w:rPr>
          <w:spacing w:val="-2"/>
          <w:sz w:val="20"/>
        </w:rPr>
        <w:t> </w:t>
      </w:r>
      <w:r>
        <w:rPr>
          <w:sz w:val="20"/>
        </w:rPr>
        <w:t>the</w:t>
      </w:r>
      <w:r>
        <w:rPr>
          <w:spacing w:val="-2"/>
          <w:sz w:val="20"/>
        </w:rPr>
        <w:t> </w:t>
      </w:r>
      <w:r>
        <w:rPr>
          <w:sz w:val="20"/>
        </w:rPr>
        <w:t>reasoning</w:t>
      </w:r>
      <w:r>
        <w:rPr>
          <w:spacing w:val="-2"/>
          <w:sz w:val="20"/>
        </w:rPr>
        <w:t> </w:t>
      </w:r>
      <w:r>
        <w:rPr>
          <w:sz w:val="20"/>
        </w:rPr>
        <w:t>which</w:t>
      </w:r>
      <w:r>
        <w:rPr>
          <w:spacing w:val="-2"/>
          <w:sz w:val="20"/>
        </w:rPr>
        <w:t> </w:t>
      </w:r>
      <w:r>
        <w:rPr>
          <w:sz w:val="20"/>
        </w:rPr>
        <w:t>led</w:t>
      </w:r>
      <w:r>
        <w:rPr>
          <w:spacing w:val="-2"/>
          <w:sz w:val="20"/>
        </w:rPr>
        <w:t> </w:t>
      </w:r>
      <w:r>
        <w:rPr>
          <w:sz w:val="20"/>
        </w:rPr>
        <w:t>to</w:t>
      </w:r>
      <w:r>
        <w:rPr>
          <w:spacing w:val="-2"/>
          <w:sz w:val="20"/>
        </w:rPr>
        <w:t> </w:t>
      </w:r>
      <w:r>
        <w:rPr>
          <w:sz w:val="20"/>
        </w:rPr>
        <w:t>the</w:t>
      </w:r>
      <w:r>
        <w:rPr>
          <w:spacing w:val="-2"/>
          <w:sz w:val="20"/>
        </w:rPr>
        <w:t> </w:t>
      </w:r>
      <w:r>
        <w:rPr>
          <w:sz w:val="20"/>
        </w:rPr>
        <w:t>conclusion</w:t>
      </w:r>
      <w:r>
        <w:rPr>
          <w:spacing w:val="-2"/>
          <w:sz w:val="20"/>
        </w:rPr>
        <w:t> </w:t>
      </w:r>
      <w:r>
        <w:rPr>
          <w:sz w:val="20"/>
        </w:rPr>
        <w:t>that</w:t>
      </w:r>
      <w:r>
        <w:rPr>
          <w:spacing w:val="-2"/>
          <w:sz w:val="20"/>
        </w:rPr>
        <w:t> </w:t>
      </w:r>
      <w:r>
        <w:rPr>
          <w:sz w:val="20"/>
        </w:rPr>
        <w:t>the</w:t>
      </w:r>
      <w:r>
        <w:rPr>
          <w:spacing w:val="-2"/>
          <w:sz w:val="20"/>
        </w:rPr>
        <w:t> </w:t>
      </w:r>
      <w:r>
        <w:rPr>
          <w:sz w:val="20"/>
        </w:rPr>
        <w:t>pursuer</w:t>
      </w:r>
      <w:r>
        <w:rPr>
          <w:spacing w:val="-2"/>
          <w:sz w:val="20"/>
        </w:rPr>
        <w:t> </w:t>
      </w:r>
      <w:r>
        <w:rPr>
          <w:sz w:val="20"/>
        </w:rPr>
        <w:t>had</w:t>
      </w:r>
      <w:r>
        <w:rPr>
          <w:spacing w:val="-2"/>
          <w:sz w:val="20"/>
        </w:rPr>
        <w:t> </w:t>
      </w:r>
      <w:r>
        <w:rPr>
          <w:sz w:val="20"/>
        </w:rPr>
        <w:t>an</w:t>
      </w:r>
      <w:r>
        <w:rPr>
          <w:spacing w:val="-2"/>
          <w:sz w:val="20"/>
        </w:rPr>
        <w:t> </w:t>
      </w:r>
      <w:r>
        <w:rPr>
          <w:sz w:val="20"/>
        </w:rPr>
        <w:t>arguable</w:t>
      </w:r>
      <w:r>
        <w:rPr>
          <w:spacing w:val="-2"/>
          <w:sz w:val="20"/>
        </w:rPr>
        <w:t> </w:t>
      </w:r>
      <w:r>
        <w:rPr>
          <w:sz w:val="20"/>
        </w:rPr>
        <w:t>claim</w:t>
      </w:r>
      <w:r>
        <w:rPr>
          <w:spacing w:val="-2"/>
          <w:sz w:val="20"/>
        </w:rPr>
        <w:t> </w:t>
      </w:r>
      <w:r>
        <w:rPr>
          <w:sz w:val="20"/>
        </w:rPr>
        <w:t>for damages against the solicitor whose breach of duty (in administering the trust in respect of which he had been employed by the pursuer) had caused loss partly incurred by the third party (a beneficiary under that trust); for the destination of such damages, see below, para.18-078.</w:t>
      </w:r>
    </w:p>
    <w:p>
      <w:pPr>
        <w:pStyle w:val="BodyText"/>
        <w:spacing w:before="6"/>
      </w:pPr>
    </w:p>
    <w:p>
      <w:pPr>
        <w:tabs>
          <w:tab w:pos="705" w:val="left" w:leader="none"/>
        </w:tabs>
        <w:spacing w:line="235" w:lineRule="auto" w:before="1"/>
        <w:ind w:left="705" w:right="168" w:hanging="541"/>
        <w:jc w:val="left"/>
        <w:rPr>
          <w:sz w:val="20"/>
        </w:rPr>
      </w:pPr>
      <w:bookmarkStart w:name="_bookmark925" w:id="927"/>
      <w:bookmarkEnd w:id="927"/>
      <w:r>
        <w:rPr/>
      </w:r>
      <w:hyperlink w:history="true" w:anchor="_bookmark726">
        <w:r>
          <w:rPr>
            <w:color w:val="005DA1"/>
            <w:spacing w:val="-4"/>
            <w:position w:val="5"/>
            <w:sz w:val="14"/>
            <w:u w:val="single" w:color="005DA1"/>
          </w:rPr>
          <w:t>477</w:t>
        </w:r>
      </w:hyperlink>
      <w:r>
        <w:rPr>
          <w:spacing w:val="-4"/>
          <w:position w:val="5"/>
          <w:sz w:val="14"/>
        </w:rPr>
        <w:t>.</w:t>
      </w:r>
      <w:r>
        <w:rPr>
          <w:position w:val="5"/>
          <w:sz w:val="14"/>
        </w:rPr>
        <w:tab/>
      </w:r>
      <w:r>
        <w:rPr>
          <w:sz w:val="20"/>
        </w:rPr>
        <w:t>The</w:t>
      </w:r>
      <w:r>
        <w:rPr>
          <w:spacing w:val="38"/>
          <w:sz w:val="20"/>
        </w:rPr>
        <w:t> </w:t>
      </w:r>
      <w:r>
        <w:rPr>
          <w:sz w:val="20"/>
        </w:rPr>
        <w:t>“legal</w:t>
      </w:r>
      <w:r>
        <w:rPr>
          <w:spacing w:val="38"/>
          <w:sz w:val="20"/>
        </w:rPr>
        <w:t> </w:t>
      </w:r>
      <w:r>
        <w:rPr>
          <w:sz w:val="20"/>
        </w:rPr>
        <w:t>black</w:t>
      </w:r>
      <w:r>
        <w:rPr>
          <w:spacing w:val="38"/>
          <w:sz w:val="20"/>
        </w:rPr>
        <w:t> </w:t>
      </w:r>
      <w:r>
        <w:rPr>
          <w:sz w:val="20"/>
        </w:rPr>
        <w:t>hole”</w:t>
      </w:r>
      <w:r>
        <w:rPr>
          <w:spacing w:val="38"/>
          <w:sz w:val="20"/>
        </w:rPr>
        <w:t> </w:t>
      </w:r>
      <w:r>
        <w:rPr>
          <w:sz w:val="20"/>
        </w:rPr>
        <w:t>referred</w:t>
      </w:r>
      <w:r>
        <w:rPr>
          <w:spacing w:val="38"/>
          <w:sz w:val="20"/>
        </w:rPr>
        <w:t> </w:t>
      </w:r>
      <w:r>
        <w:rPr>
          <w:sz w:val="20"/>
        </w:rPr>
        <w:t>to</w:t>
      </w:r>
      <w:r>
        <w:rPr>
          <w:spacing w:val="38"/>
          <w:sz w:val="20"/>
        </w:rPr>
        <w:t> </w:t>
      </w:r>
      <w:r>
        <w:rPr>
          <w:sz w:val="20"/>
        </w:rPr>
        <w:t>in</w:t>
      </w:r>
      <w:r>
        <w:rPr>
          <w:spacing w:val="38"/>
          <w:sz w:val="20"/>
        </w:rPr>
        <w:t> </w:t>
      </w:r>
      <w:r>
        <w:rPr>
          <w:sz w:val="20"/>
        </w:rPr>
        <w:t>the</w:t>
      </w:r>
      <w:r>
        <w:rPr>
          <w:spacing w:val="38"/>
          <w:sz w:val="20"/>
        </w:rPr>
        <w:t> </w:t>
      </w:r>
      <w:r>
        <w:rPr>
          <w:rFonts w:ascii="Arial" w:hAnsi="Arial"/>
          <w:i/>
          <w:sz w:val="20"/>
        </w:rPr>
        <w:t>Darlington</w:t>
      </w:r>
      <w:r>
        <w:rPr>
          <w:rFonts w:ascii="Arial" w:hAnsi="Arial"/>
          <w:i/>
          <w:spacing w:val="38"/>
          <w:sz w:val="20"/>
        </w:rPr>
        <w:t> </w:t>
      </w:r>
      <w:r>
        <w:rPr>
          <w:rFonts w:ascii="Arial" w:hAnsi="Arial"/>
          <w:i/>
          <w:sz w:val="20"/>
        </w:rPr>
        <w:t>case</w:t>
      </w:r>
      <w:r>
        <w:rPr>
          <w:rFonts w:ascii="Arial" w:hAnsi="Arial"/>
          <w:i/>
          <w:spacing w:val="38"/>
          <w:sz w:val="20"/>
        </w:rPr>
        <w:t> </w:t>
      </w:r>
      <w:r>
        <w:rPr>
          <w:rFonts w:ascii="Arial" w:hAnsi="Arial"/>
          <w:i/>
          <w:sz w:val="20"/>
        </w:rPr>
        <w:t>[1995]</w:t>
      </w:r>
      <w:r>
        <w:rPr>
          <w:rFonts w:ascii="Arial" w:hAnsi="Arial"/>
          <w:i/>
          <w:spacing w:val="38"/>
          <w:sz w:val="20"/>
        </w:rPr>
        <w:t> </w:t>
      </w:r>
      <w:r>
        <w:rPr>
          <w:rFonts w:ascii="Arial" w:hAnsi="Arial"/>
          <w:i/>
          <w:sz w:val="20"/>
        </w:rPr>
        <w:t>1</w:t>
      </w:r>
      <w:r>
        <w:rPr>
          <w:rFonts w:ascii="Arial" w:hAnsi="Arial"/>
          <w:i/>
          <w:spacing w:val="38"/>
          <w:sz w:val="20"/>
        </w:rPr>
        <w:t> </w:t>
      </w:r>
      <w:r>
        <w:rPr>
          <w:rFonts w:ascii="Arial" w:hAnsi="Arial"/>
          <w:i/>
          <w:sz w:val="20"/>
        </w:rPr>
        <w:t>W.L.R.</w:t>
      </w:r>
      <w:r>
        <w:rPr>
          <w:rFonts w:ascii="Arial" w:hAnsi="Arial"/>
          <w:i/>
          <w:spacing w:val="38"/>
          <w:sz w:val="20"/>
        </w:rPr>
        <w:t> </w:t>
      </w:r>
      <w:r>
        <w:rPr>
          <w:rFonts w:ascii="Arial" w:hAnsi="Arial"/>
          <w:i/>
          <w:sz w:val="20"/>
        </w:rPr>
        <w:t>68</w:t>
      </w:r>
      <w:r>
        <w:rPr>
          <w:rFonts w:ascii="Arial" w:hAnsi="Arial"/>
          <w:i/>
          <w:spacing w:val="38"/>
          <w:sz w:val="20"/>
        </w:rPr>
        <w:t> </w:t>
      </w:r>
      <w:r>
        <w:rPr>
          <w:sz w:val="20"/>
        </w:rPr>
        <w:t>at</w:t>
      </w:r>
      <w:r>
        <w:rPr>
          <w:spacing w:val="38"/>
          <w:sz w:val="20"/>
        </w:rPr>
        <w:t> </w:t>
      </w:r>
      <w:r>
        <w:rPr>
          <w:sz w:val="20"/>
        </w:rPr>
        <w:t>79,</w:t>
      </w:r>
      <w:r>
        <w:rPr>
          <w:spacing w:val="38"/>
          <w:sz w:val="20"/>
        </w:rPr>
        <w:t> </w:t>
      </w:r>
      <w:r>
        <w:rPr>
          <w:sz w:val="20"/>
        </w:rPr>
        <w:t>above, para.18-053, would be much reduced in significance.</w:t>
      </w:r>
    </w:p>
    <w:p>
      <w:pPr>
        <w:pStyle w:val="BodyText"/>
        <w:spacing w:before="5"/>
      </w:pPr>
    </w:p>
    <w:p>
      <w:pPr>
        <w:pStyle w:val="BodyText"/>
        <w:tabs>
          <w:tab w:pos="705" w:val="left" w:leader="none"/>
        </w:tabs>
        <w:ind w:left="165"/>
      </w:pPr>
      <w:bookmarkStart w:name="_bookmark926" w:id="928"/>
      <w:bookmarkEnd w:id="928"/>
      <w:r>
        <w:rPr/>
      </w:r>
      <w:hyperlink w:history="true" w:anchor="_bookmark727">
        <w:r>
          <w:rPr>
            <w:color w:val="005DA1"/>
            <w:spacing w:val="-4"/>
            <w:position w:val="5"/>
            <w:sz w:val="14"/>
            <w:u w:val="single" w:color="005DA1"/>
          </w:rPr>
          <w:t>478</w:t>
        </w:r>
      </w:hyperlink>
      <w:r>
        <w:rPr>
          <w:spacing w:val="-4"/>
          <w:position w:val="5"/>
          <w:sz w:val="14"/>
        </w:rPr>
        <w:t>.</w:t>
      </w:r>
      <w:r>
        <w:rPr>
          <w:position w:val="5"/>
          <w:sz w:val="14"/>
        </w:rPr>
        <w:tab/>
      </w:r>
      <w:r>
        <w:rPr/>
        <w:t>See</w:t>
      </w:r>
      <w:r>
        <w:rPr>
          <w:spacing w:val="-2"/>
        </w:rPr>
        <w:t> </w:t>
      </w:r>
      <w:r>
        <w:rPr/>
        <w:t>below, para.18-</w:t>
      </w:r>
      <w:r>
        <w:rPr>
          <w:spacing w:val="-4"/>
        </w:rPr>
        <w:t>124.</w:t>
      </w:r>
    </w:p>
    <w:p>
      <w:pPr>
        <w:pStyle w:val="BodyText"/>
        <w:spacing w:before="5"/>
      </w:pPr>
    </w:p>
    <w:p>
      <w:pPr>
        <w:pStyle w:val="BodyText"/>
        <w:tabs>
          <w:tab w:pos="705" w:val="left" w:leader="none"/>
        </w:tabs>
        <w:ind w:left="165"/>
      </w:pPr>
      <w:bookmarkStart w:name="_bookmark927" w:id="929"/>
      <w:bookmarkEnd w:id="929"/>
      <w:r>
        <w:rPr/>
      </w:r>
      <w:hyperlink w:history="true" w:anchor="_bookmark728">
        <w:r>
          <w:rPr>
            <w:color w:val="005DA1"/>
            <w:spacing w:val="-4"/>
            <w:position w:val="5"/>
            <w:sz w:val="14"/>
            <w:u w:val="single" w:color="005DA1"/>
          </w:rPr>
          <w:t>479</w:t>
        </w:r>
      </w:hyperlink>
      <w:r>
        <w:rPr>
          <w:spacing w:val="-4"/>
          <w:position w:val="5"/>
          <w:sz w:val="14"/>
        </w:rPr>
        <w:t>.</w:t>
      </w:r>
      <w:r>
        <w:rPr>
          <w:position w:val="5"/>
          <w:sz w:val="14"/>
        </w:rPr>
        <w:tab/>
      </w:r>
      <w:r>
        <w:rPr/>
        <w:t>1999 Act, s.3(4), below, para.18-</w:t>
      </w:r>
      <w:r>
        <w:rPr>
          <w:spacing w:val="-4"/>
        </w:rPr>
        <w:t>114.</w:t>
      </w:r>
    </w:p>
    <w:p>
      <w:pPr>
        <w:pStyle w:val="BodyText"/>
        <w:spacing w:before="9"/>
      </w:pPr>
    </w:p>
    <w:p>
      <w:pPr>
        <w:pStyle w:val="BodyText"/>
        <w:tabs>
          <w:tab w:pos="705" w:val="left" w:leader="none"/>
        </w:tabs>
        <w:spacing w:line="235" w:lineRule="auto"/>
        <w:ind w:left="705" w:right="168" w:hanging="541"/>
      </w:pPr>
      <w:bookmarkStart w:name="_bookmark928" w:id="930"/>
      <w:bookmarkEnd w:id="930"/>
      <w:r>
        <w:rPr/>
      </w:r>
      <w:hyperlink w:history="true" w:anchor="_bookmark729">
        <w:r>
          <w:rPr>
            <w:color w:val="005DA1"/>
            <w:spacing w:val="-4"/>
            <w:position w:val="5"/>
            <w:sz w:val="14"/>
            <w:u w:val="single" w:color="005DA1"/>
          </w:rPr>
          <w:t>480</w:t>
        </w:r>
      </w:hyperlink>
      <w:r>
        <w:rPr>
          <w:spacing w:val="-4"/>
          <w:position w:val="5"/>
          <w:sz w:val="14"/>
        </w:rPr>
        <w:t>.</w:t>
      </w:r>
      <w:r>
        <w:rPr>
          <w:position w:val="5"/>
          <w:sz w:val="14"/>
        </w:rPr>
        <w:tab/>
      </w:r>
      <w:r>
        <w:rPr/>
        <w:t>See Senior Courts Act 1981 (formerly Supreme Court Act, 1981), s.49(2), replacing Supreme</w:t>
      </w:r>
      <w:r>
        <w:rPr>
          <w:spacing w:val="40"/>
        </w:rPr>
        <w:t> </w:t>
      </w:r>
      <w:r>
        <w:rPr/>
        <w:t>Court of Judicature (Consolidation) Act 1925, s.41.</w:t>
      </w:r>
    </w:p>
    <w:p>
      <w:pPr>
        <w:pStyle w:val="BodyText"/>
        <w:spacing w:before="5"/>
      </w:pPr>
    </w:p>
    <w:p>
      <w:pPr>
        <w:pStyle w:val="BodyText"/>
        <w:tabs>
          <w:tab w:pos="705" w:val="left" w:leader="none"/>
        </w:tabs>
        <w:spacing w:before="1"/>
        <w:ind w:left="165"/>
      </w:pPr>
      <w:bookmarkStart w:name="_bookmark929" w:id="931"/>
      <w:bookmarkEnd w:id="931"/>
      <w:r>
        <w:rPr/>
      </w:r>
      <w:hyperlink w:history="true" w:anchor="_bookmark730">
        <w:r>
          <w:rPr>
            <w:color w:val="005DA1"/>
            <w:spacing w:val="-4"/>
            <w:position w:val="5"/>
            <w:sz w:val="14"/>
            <w:u w:val="single" w:color="005DA1"/>
          </w:rPr>
          <w:t>481</w:t>
        </w:r>
      </w:hyperlink>
      <w:r>
        <w:rPr>
          <w:spacing w:val="-4"/>
          <w:position w:val="5"/>
          <w:sz w:val="14"/>
        </w:rPr>
        <w:t>.</w:t>
      </w:r>
      <w:r>
        <w:rPr>
          <w:position w:val="5"/>
          <w:sz w:val="14"/>
        </w:rPr>
        <w:tab/>
      </w:r>
      <w:r>
        <w:rPr/>
        <w:t>Under Senior Courts Act 1981 (see above, n.454), </w:t>
      </w:r>
      <w:r>
        <w:rPr>
          <w:spacing w:val="-2"/>
        </w:rPr>
        <w:t>s.49(3).</w:t>
      </w:r>
    </w:p>
    <w:p>
      <w:pPr>
        <w:pStyle w:val="BodyText"/>
        <w:spacing w:before="4"/>
      </w:pPr>
    </w:p>
    <w:p>
      <w:pPr>
        <w:tabs>
          <w:tab w:pos="705" w:val="left" w:leader="none"/>
        </w:tabs>
        <w:spacing w:line="227" w:lineRule="exact" w:before="1"/>
        <w:ind w:left="165" w:right="0" w:firstLine="0"/>
        <w:jc w:val="left"/>
        <w:rPr>
          <w:sz w:val="20"/>
        </w:rPr>
      </w:pPr>
      <w:bookmarkStart w:name="_bookmark930" w:id="932"/>
      <w:bookmarkEnd w:id="932"/>
      <w:r>
        <w:rPr/>
      </w:r>
      <w:hyperlink w:history="true" w:anchor="_bookmark730">
        <w:r>
          <w:rPr>
            <w:color w:val="005DA1"/>
            <w:spacing w:val="-4"/>
            <w:position w:val="5"/>
            <w:sz w:val="14"/>
            <w:u w:val="single" w:color="005DA1"/>
          </w:rPr>
          <w:t>482</w:t>
        </w:r>
      </w:hyperlink>
      <w:r>
        <w:rPr>
          <w:spacing w:val="-4"/>
          <w:position w:val="5"/>
          <w:sz w:val="14"/>
        </w:rPr>
        <w:t>.</w:t>
      </w:r>
      <w:r>
        <w:rPr>
          <w:position w:val="5"/>
          <w:sz w:val="14"/>
        </w:rPr>
        <w:tab/>
      </w:r>
      <w:r>
        <w:rPr>
          <w:rFonts w:ascii="Arial" w:hAnsi="Arial"/>
          <w:i/>
          <w:sz w:val="20"/>
        </w:rPr>
        <w:t>[1967]</w:t>
      </w:r>
      <w:r>
        <w:rPr>
          <w:rFonts w:ascii="Arial" w:hAnsi="Arial"/>
          <w:i/>
          <w:spacing w:val="35"/>
          <w:sz w:val="20"/>
        </w:rPr>
        <w:t> </w:t>
      </w:r>
      <w:r>
        <w:rPr>
          <w:rFonts w:ascii="Arial" w:hAnsi="Arial"/>
          <w:i/>
          <w:sz w:val="20"/>
        </w:rPr>
        <w:t>2</w:t>
      </w:r>
      <w:r>
        <w:rPr>
          <w:rFonts w:ascii="Arial" w:hAnsi="Arial"/>
          <w:i/>
          <w:spacing w:val="36"/>
          <w:sz w:val="20"/>
        </w:rPr>
        <w:t> </w:t>
      </w:r>
      <w:r>
        <w:rPr>
          <w:rFonts w:ascii="Arial" w:hAnsi="Arial"/>
          <w:i/>
          <w:sz w:val="20"/>
        </w:rPr>
        <w:t>Q.B.</w:t>
      </w:r>
      <w:r>
        <w:rPr>
          <w:rFonts w:ascii="Arial" w:hAnsi="Arial"/>
          <w:i/>
          <w:spacing w:val="36"/>
          <w:sz w:val="20"/>
        </w:rPr>
        <w:t> </w:t>
      </w:r>
      <w:r>
        <w:rPr>
          <w:rFonts w:ascii="Arial" w:hAnsi="Arial"/>
          <w:i/>
          <w:sz w:val="20"/>
        </w:rPr>
        <w:t>31</w:t>
      </w:r>
      <w:r>
        <w:rPr>
          <w:sz w:val="20"/>
        </w:rPr>
        <w:t>;</w:t>
      </w:r>
      <w:r>
        <w:rPr>
          <w:spacing w:val="36"/>
          <w:sz w:val="20"/>
        </w:rPr>
        <w:t> </w:t>
      </w:r>
      <w:r>
        <w:rPr>
          <w:sz w:val="20"/>
        </w:rPr>
        <w:t>Davies</w:t>
      </w:r>
      <w:r>
        <w:rPr>
          <w:spacing w:val="36"/>
          <w:sz w:val="20"/>
        </w:rPr>
        <w:t> </w:t>
      </w:r>
      <w:r>
        <w:rPr>
          <w:sz w:val="20"/>
        </w:rPr>
        <w:t>(1980)</w:t>
      </w:r>
      <w:r>
        <w:rPr>
          <w:spacing w:val="36"/>
          <w:sz w:val="20"/>
        </w:rPr>
        <w:t> </w:t>
      </w:r>
      <w:r>
        <w:rPr>
          <w:sz w:val="20"/>
        </w:rPr>
        <w:t>1</w:t>
      </w:r>
      <w:r>
        <w:rPr>
          <w:spacing w:val="36"/>
          <w:sz w:val="20"/>
        </w:rPr>
        <w:t> </w:t>
      </w:r>
      <w:r>
        <w:rPr>
          <w:sz w:val="20"/>
        </w:rPr>
        <w:t>L.S.</w:t>
      </w:r>
      <w:r>
        <w:rPr>
          <w:spacing w:val="36"/>
          <w:sz w:val="20"/>
        </w:rPr>
        <w:t> </w:t>
      </w:r>
      <w:r>
        <w:rPr>
          <w:sz w:val="20"/>
        </w:rPr>
        <w:t>287;</w:t>
      </w:r>
      <w:r>
        <w:rPr>
          <w:spacing w:val="36"/>
          <w:sz w:val="20"/>
        </w:rPr>
        <w:t> </w:t>
      </w:r>
      <w:r>
        <w:rPr>
          <w:sz w:val="20"/>
        </w:rPr>
        <w:t>cf.</w:t>
      </w:r>
      <w:r>
        <w:rPr>
          <w:spacing w:val="36"/>
          <w:sz w:val="20"/>
        </w:rPr>
        <w:t> </w:t>
      </w:r>
      <w:r>
        <w:rPr>
          <w:rFonts w:ascii="Arial" w:hAnsi="Arial"/>
          <w:i/>
          <w:sz w:val="20"/>
        </w:rPr>
        <w:t>The</w:t>
      </w:r>
      <w:r>
        <w:rPr>
          <w:rFonts w:ascii="Arial" w:hAnsi="Arial"/>
          <w:i/>
          <w:spacing w:val="36"/>
          <w:sz w:val="20"/>
        </w:rPr>
        <w:t> </w:t>
      </w:r>
      <w:r>
        <w:rPr>
          <w:rFonts w:ascii="Arial" w:hAnsi="Arial"/>
          <w:i/>
          <w:sz w:val="20"/>
        </w:rPr>
        <w:t>Elbe</w:t>
      </w:r>
      <w:r>
        <w:rPr>
          <w:rFonts w:ascii="Arial" w:hAnsi="Arial"/>
          <w:i/>
          <w:spacing w:val="36"/>
          <w:sz w:val="20"/>
        </w:rPr>
        <w:t> </w:t>
      </w:r>
      <w:r>
        <w:rPr>
          <w:rFonts w:ascii="Arial" w:hAnsi="Arial"/>
          <w:i/>
          <w:sz w:val="20"/>
        </w:rPr>
        <w:t>Maru</w:t>
      </w:r>
      <w:r>
        <w:rPr>
          <w:rFonts w:ascii="Arial" w:hAnsi="Arial"/>
          <w:i/>
          <w:spacing w:val="36"/>
          <w:sz w:val="20"/>
        </w:rPr>
        <w:t> </w:t>
      </w:r>
      <w:r>
        <w:rPr>
          <w:rFonts w:ascii="Arial" w:hAnsi="Arial"/>
          <w:i/>
          <w:sz w:val="20"/>
        </w:rPr>
        <w:t>[1978]</w:t>
      </w:r>
      <w:r>
        <w:rPr>
          <w:rFonts w:ascii="Arial" w:hAnsi="Arial"/>
          <w:i/>
          <w:spacing w:val="36"/>
          <w:sz w:val="20"/>
        </w:rPr>
        <w:t> </w:t>
      </w:r>
      <w:r>
        <w:rPr>
          <w:rFonts w:ascii="Arial" w:hAnsi="Arial"/>
          <w:i/>
          <w:sz w:val="20"/>
        </w:rPr>
        <w:t>1</w:t>
      </w:r>
      <w:r>
        <w:rPr>
          <w:rFonts w:ascii="Arial" w:hAnsi="Arial"/>
          <w:i/>
          <w:spacing w:val="36"/>
          <w:sz w:val="20"/>
        </w:rPr>
        <w:t> </w:t>
      </w:r>
      <w:r>
        <w:rPr>
          <w:rFonts w:ascii="Arial" w:hAnsi="Arial"/>
          <w:i/>
          <w:sz w:val="20"/>
        </w:rPr>
        <w:t>Lloyd’s</w:t>
      </w:r>
      <w:r>
        <w:rPr>
          <w:rFonts w:ascii="Arial" w:hAnsi="Arial"/>
          <w:i/>
          <w:spacing w:val="36"/>
          <w:sz w:val="20"/>
        </w:rPr>
        <w:t> </w:t>
      </w:r>
      <w:r>
        <w:rPr>
          <w:rFonts w:ascii="Arial" w:hAnsi="Arial"/>
          <w:i/>
          <w:sz w:val="20"/>
        </w:rPr>
        <w:t>Rep.</w:t>
      </w:r>
      <w:r>
        <w:rPr>
          <w:rFonts w:ascii="Arial" w:hAnsi="Arial"/>
          <w:i/>
          <w:spacing w:val="36"/>
          <w:sz w:val="20"/>
        </w:rPr>
        <w:t> </w:t>
      </w:r>
      <w:r>
        <w:rPr>
          <w:rFonts w:ascii="Arial" w:hAnsi="Arial"/>
          <w:i/>
          <w:spacing w:val="-4"/>
          <w:sz w:val="20"/>
        </w:rPr>
        <w:t>206</w:t>
      </w:r>
      <w:r>
        <w:rPr>
          <w:spacing w:val="-4"/>
          <w:sz w:val="20"/>
        </w:rPr>
        <w:t>;</w:t>
      </w:r>
    </w:p>
    <w:p>
      <w:pPr>
        <w:spacing w:line="235" w:lineRule="auto" w:before="1"/>
        <w:ind w:left="705" w:right="0" w:firstLine="0"/>
        <w:jc w:val="left"/>
        <w:rPr>
          <w:sz w:val="20"/>
        </w:rPr>
      </w:pPr>
      <w:r>
        <w:rPr>
          <w:rFonts w:ascii="Arial" w:hAnsi="Arial"/>
          <w:i/>
          <w:sz w:val="20"/>
        </w:rPr>
        <w:t>European</w:t>
      </w:r>
      <w:r>
        <w:rPr>
          <w:rFonts w:ascii="Arial" w:hAnsi="Arial"/>
          <w:i/>
          <w:spacing w:val="25"/>
          <w:sz w:val="20"/>
        </w:rPr>
        <w:t> </w:t>
      </w:r>
      <w:r>
        <w:rPr>
          <w:rFonts w:ascii="Arial" w:hAnsi="Arial"/>
          <w:i/>
          <w:sz w:val="20"/>
        </w:rPr>
        <w:t>Asian</w:t>
      </w:r>
      <w:r>
        <w:rPr>
          <w:rFonts w:ascii="Arial" w:hAnsi="Arial"/>
          <w:i/>
          <w:spacing w:val="25"/>
          <w:sz w:val="20"/>
        </w:rPr>
        <w:t> </w:t>
      </w:r>
      <w:r>
        <w:rPr>
          <w:rFonts w:ascii="Arial" w:hAnsi="Arial"/>
          <w:i/>
          <w:sz w:val="20"/>
        </w:rPr>
        <w:t>Bank</w:t>
      </w:r>
      <w:r>
        <w:rPr>
          <w:rFonts w:ascii="Arial" w:hAnsi="Arial"/>
          <w:i/>
          <w:spacing w:val="25"/>
          <w:sz w:val="20"/>
        </w:rPr>
        <w:t> </w:t>
      </w:r>
      <w:r>
        <w:rPr>
          <w:rFonts w:ascii="Arial" w:hAnsi="Arial"/>
          <w:i/>
          <w:sz w:val="20"/>
        </w:rPr>
        <w:t>AG</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Punjab</w:t>
      </w:r>
      <w:r>
        <w:rPr>
          <w:rFonts w:ascii="Arial" w:hAnsi="Arial"/>
          <w:i/>
          <w:spacing w:val="25"/>
          <w:sz w:val="20"/>
        </w:rPr>
        <w:t> </w:t>
      </w:r>
      <w:r>
        <w:rPr>
          <w:rFonts w:ascii="Arial" w:hAnsi="Arial"/>
          <w:i/>
          <w:sz w:val="20"/>
        </w:rPr>
        <w:t>&amp;</w:t>
      </w:r>
      <w:r>
        <w:rPr>
          <w:rFonts w:ascii="Arial" w:hAnsi="Arial"/>
          <w:i/>
          <w:spacing w:val="25"/>
          <w:sz w:val="20"/>
        </w:rPr>
        <w:t> </w:t>
      </w:r>
      <w:r>
        <w:rPr>
          <w:rFonts w:ascii="Arial" w:hAnsi="Arial"/>
          <w:i/>
          <w:sz w:val="20"/>
        </w:rPr>
        <w:t>Sind</w:t>
      </w:r>
      <w:r>
        <w:rPr>
          <w:rFonts w:ascii="Arial" w:hAnsi="Arial"/>
          <w:i/>
          <w:spacing w:val="25"/>
          <w:sz w:val="20"/>
        </w:rPr>
        <w:t> </w:t>
      </w:r>
      <w:r>
        <w:rPr>
          <w:rFonts w:ascii="Arial" w:hAnsi="Arial"/>
          <w:i/>
          <w:sz w:val="20"/>
        </w:rPr>
        <w:t>Bank</w:t>
      </w:r>
      <w:r>
        <w:rPr>
          <w:rFonts w:ascii="Arial" w:hAnsi="Arial"/>
          <w:i/>
          <w:spacing w:val="25"/>
          <w:sz w:val="20"/>
        </w:rPr>
        <w:t> </w:t>
      </w:r>
      <w:r>
        <w:rPr>
          <w:rFonts w:ascii="Arial" w:hAnsi="Arial"/>
          <w:i/>
          <w:sz w:val="20"/>
        </w:rPr>
        <w:t>[1982]</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356</w:t>
      </w:r>
      <w:r>
        <w:rPr>
          <w:sz w:val="20"/>
        </w:rPr>
        <w:t>;</w:t>
      </w:r>
      <w:r>
        <w:rPr>
          <w:spacing w:val="25"/>
          <w:sz w:val="20"/>
        </w:rPr>
        <w:t> </w:t>
      </w:r>
      <w:r>
        <w:rPr>
          <w:rFonts w:ascii="Arial" w:hAnsi="Arial"/>
          <w:i/>
          <w:sz w:val="20"/>
        </w:rPr>
        <w:t>Neptune</w:t>
      </w:r>
      <w:r>
        <w:rPr>
          <w:rFonts w:ascii="Arial" w:hAnsi="Arial"/>
          <w:i/>
          <w:spacing w:val="25"/>
          <w:sz w:val="20"/>
        </w:rPr>
        <w:t> </w:t>
      </w:r>
      <w:r>
        <w:rPr>
          <w:rFonts w:ascii="Arial" w:hAnsi="Arial"/>
          <w:i/>
          <w:sz w:val="20"/>
        </w:rPr>
        <w:t>Orient Lines Ltd v J.V.C. (UK) Ltd (The Chevalier Roze) [1983] 2 Lloyd’s Rep. 438</w:t>
      </w:r>
      <w:r>
        <w:rPr>
          <w:sz w:val="20"/>
        </w:rPr>
        <w:t>.</w:t>
      </w:r>
    </w:p>
    <w:p>
      <w:pPr>
        <w:pStyle w:val="BodyText"/>
        <w:spacing w:before="9"/>
      </w:pPr>
    </w:p>
    <w:p>
      <w:pPr>
        <w:spacing w:line="235" w:lineRule="auto" w:before="0"/>
        <w:ind w:left="705" w:right="167" w:hanging="541"/>
        <w:jc w:val="both"/>
        <w:rPr>
          <w:sz w:val="20"/>
        </w:rPr>
      </w:pPr>
      <w:bookmarkStart w:name="_bookmark931" w:id="933"/>
      <w:bookmarkEnd w:id="933"/>
      <w:r>
        <w:rPr/>
      </w:r>
      <w:hyperlink w:history="true" w:anchor="_bookmark731">
        <w:r>
          <w:rPr>
            <w:color w:val="005DA1"/>
            <w:position w:val="5"/>
            <w:sz w:val="14"/>
            <w:u w:val="single" w:color="005DA1"/>
          </w:rPr>
          <w:t>483</w:t>
        </w:r>
      </w:hyperlink>
      <w:r>
        <w:rPr>
          <w:position w:val="5"/>
          <w:sz w:val="14"/>
        </w:rPr>
        <w:t>.</w:t>
      </w:r>
      <w:r>
        <w:rPr>
          <w:spacing w:val="80"/>
          <w:position w:val="5"/>
          <w:sz w:val="14"/>
        </w:rPr>
        <w:t>  </w:t>
      </w:r>
      <w:r>
        <w:rPr>
          <w:sz w:val="20"/>
        </w:rPr>
        <w:t>e.g. </w:t>
      </w:r>
      <w:r>
        <w:rPr>
          <w:rFonts w:ascii="Arial" w:hAnsi="Arial"/>
          <w:i/>
          <w:sz w:val="20"/>
        </w:rPr>
        <w:t>Deepak Fertilisers &amp; Chemical Corp. v ICI Chemicals &amp; Polymers Ltd [1999] 1 Lloyd’s </w:t>
      </w:r>
      <w:r>
        <w:rPr>
          <w:rFonts w:ascii="Arial" w:hAnsi="Arial"/>
          <w:i/>
          <w:sz w:val="20"/>
        </w:rPr>
        <w:t>Rep. 387 </w:t>
      </w:r>
      <w:r>
        <w:rPr>
          <w:sz w:val="20"/>
        </w:rPr>
        <w:t>at 401; </w:t>
      </w:r>
      <w:r>
        <w:rPr>
          <w:rFonts w:ascii="Arial" w:hAnsi="Arial"/>
          <w:i/>
          <w:sz w:val="20"/>
        </w:rPr>
        <w:t>Whitesea Shipping and Trading Corp. v El Paso Rio Clara Ltda (The Marielle Bolten) [2009] EWHC 2552 (Comm), [2010] 1 Lloyd’s Rep. 648 </w:t>
      </w:r>
      <w:r>
        <w:rPr>
          <w:sz w:val="20"/>
        </w:rPr>
        <w:t>at [56]–[60].</w:t>
      </w:r>
    </w:p>
    <w:p>
      <w:pPr>
        <w:pStyle w:val="BodyText"/>
        <w:spacing w:before="5"/>
      </w:pPr>
    </w:p>
    <w:p>
      <w:pPr>
        <w:tabs>
          <w:tab w:pos="705" w:val="left" w:leader="none"/>
        </w:tabs>
        <w:spacing w:before="0"/>
        <w:ind w:left="165" w:right="0" w:firstLine="0"/>
        <w:jc w:val="left"/>
        <w:rPr>
          <w:sz w:val="20"/>
        </w:rPr>
      </w:pPr>
      <w:bookmarkStart w:name="_bookmark932" w:id="934"/>
      <w:bookmarkEnd w:id="934"/>
      <w:r>
        <w:rPr/>
      </w:r>
      <w:hyperlink w:history="true" w:anchor="_bookmark732">
        <w:r>
          <w:rPr>
            <w:color w:val="005DA1"/>
            <w:spacing w:val="-4"/>
            <w:position w:val="5"/>
            <w:sz w:val="14"/>
            <w:u w:val="single" w:color="005DA1"/>
          </w:rPr>
          <w:t>484</w:t>
        </w:r>
      </w:hyperlink>
      <w:r>
        <w:rPr>
          <w:spacing w:val="-4"/>
          <w:position w:val="5"/>
          <w:sz w:val="14"/>
        </w:rPr>
        <w:t>.</w:t>
      </w:r>
      <w:r>
        <w:rPr>
          <w:position w:val="5"/>
          <w:sz w:val="14"/>
        </w:rPr>
        <w:tab/>
      </w:r>
      <w:r>
        <w:rPr>
          <w:rFonts w:ascii="Arial"/>
          <w:i/>
          <w:sz w:val="20"/>
        </w:rPr>
        <w:t>[1973]</w:t>
      </w:r>
      <w:r>
        <w:rPr>
          <w:rFonts w:ascii="Arial"/>
          <w:i/>
          <w:spacing w:val="-1"/>
          <w:sz w:val="20"/>
        </w:rPr>
        <w:t> </w:t>
      </w:r>
      <w:r>
        <w:rPr>
          <w:rFonts w:ascii="Arial"/>
          <w:i/>
          <w:sz w:val="20"/>
        </w:rPr>
        <w:t>1 Q.B. 87</w:t>
      </w:r>
      <w:r>
        <w:rPr>
          <w:sz w:val="20"/>
        </w:rPr>
        <w:t>; Wilkie (1973) 36 M.L.R. </w:t>
      </w:r>
      <w:r>
        <w:rPr>
          <w:spacing w:val="-4"/>
          <w:sz w:val="20"/>
        </w:rPr>
        <w:t>214.</w:t>
      </w:r>
    </w:p>
    <w:p>
      <w:pPr>
        <w:pStyle w:val="BodyText"/>
        <w:spacing w:before="5"/>
      </w:pPr>
    </w:p>
    <w:p>
      <w:pPr>
        <w:tabs>
          <w:tab w:pos="705" w:val="left" w:leader="none"/>
        </w:tabs>
        <w:spacing w:before="0"/>
        <w:ind w:left="165" w:right="0" w:firstLine="0"/>
        <w:jc w:val="left"/>
        <w:rPr>
          <w:sz w:val="20"/>
        </w:rPr>
      </w:pPr>
      <w:bookmarkStart w:name="_bookmark933" w:id="935"/>
      <w:bookmarkEnd w:id="935"/>
      <w:r>
        <w:rPr/>
      </w:r>
      <w:hyperlink w:history="true" w:anchor="_bookmark733">
        <w:r>
          <w:rPr>
            <w:color w:val="005DA1"/>
            <w:spacing w:val="-4"/>
            <w:position w:val="5"/>
            <w:sz w:val="14"/>
            <w:u w:val="single" w:color="005DA1"/>
          </w:rPr>
          <w:t>485</w:t>
        </w:r>
      </w:hyperlink>
      <w:r>
        <w:rPr>
          <w:spacing w:val="-4"/>
          <w:position w:val="5"/>
          <w:sz w:val="14"/>
        </w:rPr>
        <w:t>.</w:t>
      </w:r>
      <w:r>
        <w:rPr>
          <w:position w:val="5"/>
          <w:sz w:val="14"/>
        </w:rPr>
        <w:tab/>
      </w:r>
      <w:r>
        <w:rPr>
          <w:rFonts w:ascii="Arial"/>
          <w:i/>
          <w:sz w:val="20"/>
        </w:rPr>
        <w:t>[1973] 1 Q.B. at </w:t>
      </w:r>
      <w:r>
        <w:rPr>
          <w:rFonts w:ascii="Arial"/>
          <w:i/>
          <w:spacing w:val="-5"/>
          <w:sz w:val="20"/>
        </w:rPr>
        <w:t>95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934" w:id="936"/>
      <w:bookmarkEnd w:id="936"/>
      <w:r>
        <w:rPr/>
      </w:r>
      <w:hyperlink w:history="true" w:anchor="_bookmark734">
        <w:r>
          <w:rPr>
            <w:color w:val="005DA1"/>
            <w:spacing w:val="-4"/>
            <w:position w:val="5"/>
            <w:sz w:val="14"/>
            <w:u w:val="single" w:color="005DA1"/>
          </w:rPr>
          <w:t>486</w:t>
        </w:r>
      </w:hyperlink>
      <w:r>
        <w:rPr>
          <w:spacing w:val="-4"/>
          <w:position w:val="5"/>
          <w:sz w:val="14"/>
        </w:rPr>
        <w:t>.</w:t>
      </w:r>
      <w:r>
        <w:rPr>
          <w:position w:val="5"/>
          <w:sz w:val="14"/>
        </w:rPr>
        <w:tab/>
      </w:r>
      <w:r>
        <w:rPr>
          <w:sz w:val="20"/>
        </w:rPr>
        <w:t>ibid., at </w:t>
      </w:r>
      <w:r>
        <w:rPr>
          <w:spacing w:val="-5"/>
          <w:sz w:val="20"/>
        </w:rPr>
        <w:t>96.</w:t>
      </w:r>
    </w:p>
    <w:p>
      <w:pPr>
        <w:pStyle w:val="BodyText"/>
        <w:spacing w:before="5"/>
      </w:pPr>
    </w:p>
    <w:p>
      <w:pPr>
        <w:tabs>
          <w:tab w:pos="705" w:val="left" w:leader="none"/>
        </w:tabs>
        <w:spacing w:before="0"/>
        <w:ind w:left="165" w:right="0" w:firstLine="0"/>
        <w:jc w:val="left"/>
        <w:rPr>
          <w:sz w:val="20"/>
        </w:rPr>
      </w:pPr>
      <w:bookmarkStart w:name="_bookmark935" w:id="937"/>
      <w:bookmarkEnd w:id="937"/>
      <w:r>
        <w:rPr/>
      </w:r>
      <w:hyperlink w:history="true" w:anchor="_bookmark735">
        <w:r>
          <w:rPr>
            <w:color w:val="005DA1"/>
            <w:spacing w:val="-4"/>
            <w:position w:val="5"/>
            <w:sz w:val="14"/>
            <w:u w:val="single" w:color="005DA1"/>
          </w:rPr>
          <w:t>487</w:t>
        </w:r>
      </w:hyperlink>
      <w:r>
        <w:rPr>
          <w:spacing w:val="-4"/>
          <w:position w:val="5"/>
          <w:sz w:val="14"/>
        </w:rPr>
        <w:t>.</w:t>
      </w:r>
      <w:r>
        <w:rPr>
          <w:position w:val="5"/>
          <w:sz w:val="14"/>
        </w:rPr>
        <w:tab/>
      </w:r>
      <w:r>
        <w:rPr>
          <w:rFonts w:ascii="Arial"/>
          <w:i/>
          <w:sz w:val="20"/>
        </w:rPr>
        <w:t>[1967]</w:t>
      </w:r>
      <w:r>
        <w:rPr>
          <w:rFonts w:ascii="Arial"/>
          <w:i/>
          <w:spacing w:val="-1"/>
          <w:sz w:val="20"/>
        </w:rPr>
        <w:t> </w:t>
      </w:r>
      <w:r>
        <w:rPr>
          <w:rFonts w:ascii="Arial"/>
          <w:i/>
          <w:sz w:val="20"/>
        </w:rPr>
        <w:t>2 Q.B. 31</w:t>
      </w:r>
      <w:r>
        <w:rPr>
          <w:sz w:val="20"/>
        </w:rPr>
        <w:t>, above, para.18-</w:t>
      </w:r>
      <w:r>
        <w:rPr>
          <w:spacing w:val="-4"/>
          <w:sz w:val="20"/>
        </w:rPr>
        <w:t>072.</w:t>
      </w:r>
    </w:p>
    <w:p>
      <w:pPr>
        <w:pStyle w:val="BodyText"/>
        <w:spacing w:before="5"/>
      </w:pPr>
    </w:p>
    <w:p>
      <w:pPr>
        <w:tabs>
          <w:tab w:pos="705" w:val="left" w:leader="none"/>
        </w:tabs>
        <w:spacing w:before="0"/>
        <w:ind w:left="165" w:right="0" w:firstLine="0"/>
        <w:jc w:val="left"/>
        <w:rPr>
          <w:sz w:val="20"/>
        </w:rPr>
      </w:pPr>
      <w:bookmarkStart w:name="_bookmark936" w:id="938"/>
      <w:bookmarkEnd w:id="938"/>
      <w:r>
        <w:rPr/>
      </w:r>
      <w:hyperlink w:history="true" w:anchor="_bookmark736">
        <w:r>
          <w:rPr>
            <w:color w:val="005DA1"/>
            <w:spacing w:val="-4"/>
            <w:position w:val="5"/>
            <w:sz w:val="14"/>
            <w:u w:val="single" w:color="005DA1"/>
          </w:rPr>
          <w:t>488</w:t>
        </w:r>
      </w:hyperlink>
      <w:r>
        <w:rPr>
          <w:spacing w:val="-4"/>
          <w:position w:val="5"/>
          <w:sz w:val="14"/>
        </w:rPr>
        <w:t>.</w:t>
      </w:r>
      <w:r>
        <w:rPr>
          <w:position w:val="5"/>
          <w:sz w:val="14"/>
        </w:rPr>
        <w:tab/>
      </w:r>
      <w:r>
        <w:rPr>
          <w:rFonts w:ascii="Arial"/>
          <w:i/>
          <w:sz w:val="20"/>
        </w:rPr>
        <w:t>[1968]</w:t>
      </w:r>
      <w:r>
        <w:rPr>
          <w:rFonts w:ascii="Arial"/>
          <w:i/>
          <w:spacing w:val="-1"/>
          <w:sz w:val="20"/>
        </w:rPr>
        <w:t> </w:t>
      </w:r>
      <w:r>
        <w:rPr>
          <w:rFonts w:ascii="Arial"/>
          <w:i/>
          <w:sz w:val="20"/>
        </w:rPr>
        <w:t>A.C. 58</w:t>
      </w:r>
      <w:r>
        <w:rPr>
          <w:sz w:val="20"/>
        </w:rPr>
        <w:t>; above para.18-</w:t>
      </w:r>
      <w:r>
        <w:rPr>
          <w:spacing w:val="-4"/>
          <w:sz w:val="20"/>
        </w:rPr>
        <w:t>022.</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37" w:id="939"/>
      <w:bookmarkEnd w:id="939"/>
      <w:r>
        <w:rPr/>
      </w:r>
      <w:hyperlink w:history="true" w:anchor="_bookmark737">
        <w:r>
          <w:rPr>
            <w:color w:val="005DA1"/>
            <w:spacing w:val="-4"/>
            <w:position w:val="5"/>
            <w:sz w:val="14"/>
            <w:u w:val="single" w:color="005DA1"/>
          </w:rPr>
          <w:t>489</w:t>
        </w:r>
      </w:hyperlink>
      <w:r>
        <w:rPr>
          <w:spacing w:val="-4"/>
          <w:position w:val="5"/>
          <w:sz w:val="14"/>
        </w:rPr>
        <w:t>.</w:t>
      </w:r>
      <w:r>
        <w:rPr>
          <w:position w:val="5"/>
          <w:sz w:val="14"/>
        </w:rPr>
        <w:tab/>
      </w:r>
      <w:r>
        <w:rPr>
          <w:sz w:val="20"/>
        </w:rPr>
        <w:t>cf. </w:t>
      </w:r>
      <w:r>
        <w:rPr>
          <w:rFonts w:ascii="Arial"/>
          <w:i/>
          <w:sz w:val="20"/>
        </w:rPr>
        <w:t>Heaton v Axa Equity and Law Life Assurance Society Ltd [2002] UKHL 15; [2002] 2 A.C. </w:t>
      </w:r>
      <w:r>
        <w:rPr>
          <w:rFonts w:ascii="Arial"/>
          <w:i/>
          <w:spacing w:val="-5"/>
          <w:sz w:val="20"/>
        </w:rPr>
        <w:t>329</w:t>
      </w:r>
    </w:p>
    <w:p>
      <w:pPr>
        <w:pStyle w:val="BodyText"/>
        <w:spacing w:line="227" w:lineRule="exact"/>
        <w:ind w:left="705"/>
      </w:pPr>
      <w:r>
        <w:rPr/>
        <w:t>, at [9] (“is enforceable by B”, i.e. the promisee). No such promise had been made in that </w:t>
      </w:r>
      <w:r>
        <w:rPr>
          <w:spacing w:val="-2"/>
        </w:rPr>
        <w:t>case.</w:t>
      </w:r>
    </w:p>
    <w:p>
      <w:pPr>
        <w:pStyle w:val="BodyText"/>
        <w:spacing w:before="192"/>
      </w:pPr>
    </w:p>
    <w:p>
      <w:pPr>
        <w:spacing w:before="1"/>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76544">
                <wp:simplePos x="0" y="0"/>
                <wp:positionH relativeFrom="page">
                  <wp:posOffset>4703826</wp:posOffset>
                </wp:positionH>
                <wp:positionV relativeFrom="paragraph">
                  <wp:posOffset>377436</wp:posOffset>
                </wp:positionV>
                <wp:extent cx="4254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39936"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4. - Contracts for the Benefit of Third </w:t>
      </w:r>
      <w:r>
        <w:rPr>
          <w:rFonts w:ascii="Arial"/>
          <w:b/>
          <w:spacing w:val="-2"/>
          <w:sz w:val="24"/>
        </w:rPr>
        <w:t>Parties</w:t>
      </w:r>
    </w:p>
    <w:p>
      <w:pPr>
        <w:spacing w:before="194"/>
        <w:ind w:left="1485" w:right="0" w:firstLine="0"/>
        <w:jc w:val="left"/>
        <w:rPr>
          <w:rFonts w:ascii="Arial"/>
          <w:b/>
          <w:sz w:val="24"/>
        </w:rPr>
      </w:pPr>
      <w:r>
        <w:rPr>
          <w:rFonts w:ascii="Arial"/>
          <w:b/>
          <w:sz w:val="24"/>
        </w:rPr>
        <w:t>(a) - Effects of a Contract for the Benefit of a Third </w:t>
      </w:r>
      <w:r>
        <w:rPr>
          <w:rFonts w:ascii="Arial"/>
          <w:b/>
          <w:spacing w:val="-2"/>
          <w:sz w:val="24"/>
        </w:rPr>
        <w:t>Party</w:t>
      </w:r>
    </w:p>
    <w:p>
      <w:pPr>
        <w:spacing w:before="194"/>
        <w:ind w:left="1944" w:right="0" w:firstLine="0"/>
        <w:jc w:val="left"/>
        <w:rPr>
          <w:rFonts w:ascii="Arial"/>
          <w:b/>
          <w:sz w:val="24"/>
        </w:rPr>
      </w:pPr>
      <w:r>
        <w:rPr>
          <w:rFonts w:ascii="Arial"/>
          <w:b/>
          <w:sz w:val="24"/>
        </w:rPr>
        <w:t>(ii) - Position between Promisee and Third </w:t>
      </w:r>
      <w:r>
        <w:rPr>
          <w:rFonts w:ascii="Arial"/>
          <w:b/>
          <w:spacing w:val="-2"/>
          <w:sz w:val="24"/>
        </w:rPr>
        <w:t>Party</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Introduction</w:t>
      </w:r>
    </w:p>
    <w:p>
      <w:pPr>
        <w:pStyle w:val="BodyText"/>
        <w:spacing w:before="41"/>
        <w:rPr>
          <w:rFonts w:ascii="Arial"/>
          <w:b/>
          <w:sz w:val="18"/>
        </w:rPr>
      </w:pPr>
    </w:p>
    <w:p>
      <w:pPr>
        <w:pStyle w:val="Heading2"/>
        <w:ind w:left="164"/>
      </w:pPr>
      <w:r>
        <w:rPr/>
        <w:t>18-</w:t>
      </w:r>
      <w:r>
        <w:rPr>
          <w:spacing w:val="-5"/>
        </w:rPr>
        <w:t>074</w:t>
      </w:r>
    </w:p>
    <w:p>
      <w:pPr>
        <w:pStyle w:val="BodyText"/>
        <w:spacing w:line="235" w:lineRule="auto" w:before="203"/>
        <w:ind w:left="164" w:right="167"/>
        <w:jc w:val="both"/>
      </w:pPr>
      <w:r>
        <w:rPr/>
        <w:t>The promisor may be willing to perform, or may actually perform, in favour of the third party, e.g. by paying him the agreed sum. These possibilities give rise to further problems between the third party and the promisee. In discussing these problems we shall in paras 18-075 to 18-078 assume that </w:t>
      </w:r>
      <w:r>
        <w:rPr/>
        <w:t>the </w:t>
      </w:r>
      <w:bookmarkStart w:name="_bookmark938" w:id="940"/>
      <w:bookmarkEnd w:id="940"/>
      <w:r>
        <w:rPr/>
        <w:t>case</w:t>
      </w:r>
      <w:r>
        <w:rPr/>
        <w:t> does not fall within any of the exceptions to the doctrine of privity which will be considered later in this Chapter. </w:t>
      </w:r>
      <w:r>
        <w:rPr>
          <w:color w:val="005DA1"/>
          <w:u w:val="single" w:color="005DA1"/>
          <w:vertAlign w:val="superscript"/>
        </w:rPr>
        <w:t>490</w:t>
      </w:r>
    </w:p>
    <w:p>
      <w:pPr>
        <w:pStyle w:val="BodyText"/>
      </w:pPr>
    </w:p>
    <w:p>
      <w:pPr>
        <w:pStyle w:val="BodyText"/>
        <w:spacing w:before="36"/>
      </w:pPr>
    </w:p>
    <w:p>
      <w:pPr>
        <w:spacing w:before="1"/>
        <w:ind w:left="165" w:right="0" w:firstLine="0"/>
        <w:jc w:val="left"/>
        <w:rPr>
          <w:rFonts w:ascii="Arial"/>
          <w:b/>
          <w:sz w:val="18"/>
        </w:rPr>
      </w:pPr>
      <w:r>
        <w:rPr>
          <w:rFonts w:ascii="Arial"/>
          <w:b/>
          <w:sz w:val="18"/>
        </w:rPr>
        <w:t>Promisor pays or is willing to </w:t>
      </w:r>
      <w:r>
        <w:rPr>
          <w:rFonts w:ascii="Arial"/>
          <w:b/>
          <w:spacing w:val="-5"/>
          <w:sz w:val="18"/>
        </w:rPr>
        <w:t>pay</w:t>
      </w:r>
    </w:p>
    <w:p>
      <w:pPr>
        <w:pStyle w:val="BodyText"/>
        <w:spacing w:before="41"/>
        <w:rPr>
          <w:rFonts w:ascii="Arial"/>
          <w:b/>
          <w:sz w:val="18"/>
        </w:rPr>
      </w:pPr>
    </w:p>
    <w:p>
      <w:pPr>
        <w:pStyle w:val="Heading2"/>
      </w:pPr>
      <w:r>
        <w:rPr/>
        <w:t>18-</w:t>
      </w:r>
      <w:r>
        <w:rPr>
          <w:spacing w:val="-5"/>
        </w:rPr>
        <w:t>075</w:t>
      </w:r>
    </w:p>
    <w:p>
      <w:pPr>
        <w:pStyle w:val="BodyText"/>
        <w:spacing w:line="235" w:lineRule="auto" w:before="202"/>
        <w:ind w:left="164" w:right="167"/>
        <w:jc w:val="both"/>
      </w:pPr>
      <w:r>
        <w:rPr/>
        <w:t>The promisor may actually pay or be willing to pay the third party in accordance with the contract, and the promisee may then claim that the third party is not entitled to keep the money for his own </w:t>
      </w:r>
      <w:r>
        <w:rPr/>
        <w:t>benefit but that he must hold it on behalf of the promisee. Such a claim is not likely to be made by the promisee himself, as he generally wants to benefit the third party. But it might be made by the promisee’s trustee in bankruptcy, or by his personal representative on death. In </w:t>
      </w:r>
      <w:r>
        <w:rPr>
          <w:rFonts w:ascii="Arial" w:hAnsi="Arial"/>
          <w:i/>
        </w:rPr>
        <w:t>Beswick v Beswick </w:t>
      </w:r>
      <w:r>
        <w:rPr/>
        <w:t>the House of Lords held that the third party was entitled to keep the money which the promisor was </w:t>
      </w:r>
      <w:bookmarkStart w:name="_bookmark939" w:id="941"/>
      <w:bookmarkEnd w:id="941"/>
      <w:r>
        <w:rPr/>
        <w:t>ordered</w:t>
      </w:r>
      <w:r>
        <w:rPr>
          <w:spacing w:val="-1"/>
        </w:rPr>
        <w:t> </w:t>
      </w:r>
      <w:r>
        <w:rPr/>
        <w:t>to</w:t>
      </w:r>
      <w:r>
        <w:rPr>
          <w:spacing w:val="-1"/>
        </w:rPr>
        <w:t> </w:t>
      </w:r>
      <w:r>
        <w:rPr/>
        <w:t>pay</w:t>
      </w:r>
      <w:r>
        <w:rPr>
          <w:spacing w:val="-1"/>
        </w:rPr>
        <w:t> </w:t>
      </w:r>
      <w:r>
        <w:rPr/>
        <w:t>her,</w:t>
      </w:r>
      <w:r>
        <w:rPr>
          <w:spacing w:val="-1"/>
        </w:rPr>
        <w:t> </w:t>
      </w:r>
      <w:r>
        <w:rPr/>
        <w:t>simply</w:t>
      </w:r>
      <w:r>
        <w:rPr>
          <w:spacing w:val="-1"/>
        </w:rPr>
        <w:t> </w:t>
      </w:r>
      <w:r>
        <w:rPr/>
        <w:t>because</w:t>
      </w:r>
      <w:r>
        <w:rPr>
          <w:spacing w:val="-1"/>
        </w:rPr>
        <w:t> </w:t>
      </w:r>
      <w:r>
        <w:rPr/>
        <w:t>it</w:t>
      </w:r>
      <w:r>
        <w:rPr>
          <w:spacing w:val="-1"/>
        </w:rPr>
        <w:t> </w:t>
      </w:r>
      <w:r>
        <w:rPr/>
        <w:t>appeared</w:t>
      </w:r>
      <w:r>
        <w:rPr>
          <w:spacing w:val="-1"/>
        </w:rPr>
        <w:t> </w:t>
      </w:r>
      <w:r>
        <w:rPr/>
        <w:t>from</w:t>
      </w:r>
      <w:r>
        <w:rPr>
          <w:spacing w:val="-1"/>
        </w:rPr>
        <w:t> </w:t>
      </w:r>
      <w:r>
        <w:rPr/>
        <w:t>the</w:t>
      </w:r>
      <w:r>
        <w:rPr>
          <w:spacing w:val="-1"/>
        </w:rPr>
        <w:t> </w:t>
      </w:r>
      <w:r>
        <w:rPr/>
        <w:t>true</w:t>
      </w:r>
      <w:r>
        <w:rPr>
          <w:spacing w:val="-1"/>
        </w:rPr>
        <w:t> </w:t>
      </w:r>
      <w:r>
        <w:rPr/>
        <w:t>construction</w:t>
      </w:r>
      <w:r>
        <w:rPr>
          <w:spacing w:val="-1"/>
        </w:rPr>
        <w:t> </w:t>
      </w:r>
      <w:r>
        <w:rPr/>
        <w:t>of</w:t>
      </w:r>
      <w:r>
        <w:rPr>
          <w:spacing w:val="-1"/>
        </w:rPr>
        <w:t> </w:t>
      </w:r>
      <w:r>
        <w:rPr/>
        <w:t>the</w:t>
      </w:r>
      <w:r>
        <w:rPr>
          <w:spacing w:val="-1"/>
        </w:rPr>
        <w:t> </w:t>
      </w:r>
      <w:r>
        <w:rPr/>
        <w:t>contract</w:t>
      </w:r>
      <w:r>
        <w:rPr>
          <w:spacing w:val="-1"/>
        </w:rPr>
        <w:t> </w:t>
      </w:r>
      <w:r>
        <w:rPr/>
        <w:t>that</w:t>
      </w:r>
      <w:r>
        <w:rPr>
          <w:spacing w:val="-1"/>
        </w:rPr>
        <w:t> </w:t>
      </w:r>
      <w:r>
        <w:rPr/>
        <w:t>this</w:t>
      </w:r>
      <w:r>
        <w:rPr>
          <w:spacing w:val="-1"/>
        </w:rPr>
        <w:t> </w:t>
      </w:r>
      <w:r>
        <w:rPr/>
        <w:t>was </w:t>
      </w:r>
      <w:bookmarkStart w:name="_bookmark940" w:id="942"/>
      <w:bookmarkEnd w:id="942"/>
      <w:r>
        <w:rPr/>
        <w:t>the</w:t>
      </w:r>
      <w:r>
        <w:rPr/>
        <w:t> intention of the contracting parties. </w:t>
      </w:r>
      <w:r>
        <w:rPr>
          <w:color w:val="005DA1"/>
          <w:u w:val="single" w:color="005DA1"/>
          <w:vertAlign w:val="superscript"/>
        </w:rPr>
        <w:t>491</w:t>
      </w:r>
      <w:r>
        <w:rPr>
          <w:color w:val="005DA1"/>
          <w:vertAlign w:val="baseline"/>
        </w:rPr>
        <w:t> </w:t>
      </w:r>
      <w:r>
        <w:rPr>
          <w:vertAlign w:val="baseline"/>
        </w:rPr>
        <w:t>It seems that this rule would apply equally to payments made</w:t>
      </w:r>
      <w:r>
        <w:rPr>
          <w:spacing w:val="-2"/>
          <w:vertAlign w:val="baseline"/>
        </w:rPr>
        <w:t> </w:t>
      </w:r>
      <w:r>
        <w:rPr>
          <w:vertAlign w:val="baseline"/>
        </w:rPr>
        <w:t>willingly,</w:t>
      </w:r>
      <w:r>
        <w:rPr>
          <w:spacing w:val="-2"/>
          <w:vertAlign w:val="baseline"/>
        </w:rPr>
        <w:t> </w:t>
      </w:r>
      <w:r>
        <w:rPr>
          <w:vertAlign w:val="baseline"/>
        </w:rPr>
        <w:t>i.e.</w:t>
      </w:r>
      <w:r>
        <w:rPr>
          <w:spacing w:val="-2"/>
          <w:vertAlign w:val="baseline"/>
        </w:rPr>
        <w:t> </w:t>
      </w:r>
      <w:r>
        <w:rPr>
          <w:vertAlign w:val="baseline"/>
        </w:rPr>
        <w:t>without</w:t>
      </w:r>
      <w:r>
        <w:rPr>
          <w:spacing w:val="-2"/>
          <w:vertAlign w:val="baseline"/>
        </w:rPr>
        <w:t> </w:t>
      </w:r>
      <w:r>
        <w:rPr>
          <w:vertAlign w:val="baseline"/>
        </w:rPr>
        <w:t>any</w:t>
      </w:r>
      <w:r>
        <w:rPr>
          <w:spacing w:val="-2"/>
          <w:vertAlign w:val="baseline"/>
        </w:rPr>
        <w:t> </w:t>
      </w:r>
      <w:r>
        <w:rPr>
          <w:vertAlign w:val="baseline"/>
        </w:rPr>
        <w:t>order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court.</w:t>
      </w:r>
      <w:r>
        <w:rPr>
          <w:spacing w:val="-3"/>
          <w:vertAlign w:val="baseline"/>
        </w:rPr>
        <w:t> </w:t>
      </w:r>
      <w:r>
        <w:rPr>
          <w:color w:val="005DA1"/>
          <w:u w:val="single" w:color="005DA1"/>
          <w:vertAlign w:val="superscript"/>
        </w:rPr>
        <w:t>492</w:t>
      </w:r>
      <w:r>
        <w:rPr>
          <w:color w:val="005DA1"/>
          <w:spacing w:val="-2"/>
          <w:vertAlign w:val="baseline"/>
        </w:rPr>
        <w:t> </w:t>
      </w:r>
      <w:r>
        <w:rPr>
          <w:vertAlign w:val="baseline"/>
        </w:rPr>
        <w:t>Payments</w:t>
      </w:r>
      <w:r>
        <w:rPr>
          <w:spacing w:val="-2"/>
          <w:vertAlign w:val="baseline"/>
        </w:rPr>
        <w:t> </w:t>
      </w:r>
      <w:r>
        <w:rPr>
          <w:vertAlign w:val="baseline"/>
        </w:rPr>
        <w:t>actually</w:t>
      </w:r>
      <w:r>
        <w:rPr>
          <w:spacing w:val="-2"/>
          <w:vertAlign w:val="baseline"/>
        </w:rPr>
        <w:t> </w:t>
      </w:r>
      <w:r>
        <w:rPr>
          <w:vertAlign w:val="baseline"/>
        </w:rPr>
        <w:t>received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can be claimed by the promisee only if, on the true construction of the contract, they were made to the </w:t>
      </w:r>
      <w:bookmarkStart w:name="_bookmark941" w:id="943"/>
      <w:bookmarkEnd w:id="943"/>
      <w:r>
        <w:rPr>
          <w:vertAlign w:val="baseline"/>
        </w:rPr>
        <w:t>third</w:t>
      </w:r>
      <w:r>
        <w:rPr>
          <w:vertAlign w:val="baseline"/>
        </w:rPr>
        <w:t> party as nominee for the promisee. Where the money has not yet been paid, the promisor and the promisee can agree to rescind or vary the contract </w:t>
      </w:r>
      <w:r>
        <w:rPr>
          <w:color w:val="005DA1"/>
          <w:u w:val="single" w:color="005DA1"/>
          <w:vertAlign w:val="superscript"/>
        </w:rPr>
        <w:t>493</w:t>
      </w:r>
      <w:r>
        <w:rPr>
          <w:vertAlign w:val="baseline"/>
        </w:rPr>
        <w:t>; and if they vary it so as to provide for payment to the promisee, the third party has no claim under the contract. But the question whether</w:t>
      </w:r>
      <w:r>
        <w:rPr>
          <w:spacing w:val="40"/>
          <w:vertAlign w:val="baseline"/>
        </w:rPr>
        <w:t> </w:t>
      </w:r>
      <w:r>
        <w:rPr>
          <w:vertAlign w:val="baseline"/>
        </w:rPr>
        <w:t>the promisee can unilaterally (i.e. without the consent of the promisor) demand that payment should be made to himself depends once again on the construction of the contract. If the contract can be </w:t>
      </w:r>
      <w:bookmarkStart w:name="_bookmark942" w:id="944"/>
      <w:bookmarkEnd w:id="944"/>
      <w:r>
        <w:rPr>
          <w:vertAlign w:val="baseline"/>
        </w:rPr>
        <w:t>construed</w:t>
      </w:r>
      <w:r>
        <w:rPr>
          <w:vertAlign w:val="baseline"/>
        </w:rPr>
        <w:t> as one to pay the third party “or as the promisee shall direct” then the promisee is entitled</w:t>
      </w:r>
      <w:r>
        <w:rPr>
          <w:spacing w:val="40"/>
          <w:vertAlign w:val="baseline"/>
        </w:rPr>
        <w:t> </w:t>
      </w:r>
      <w:r>
        <w:rPr>
          <w:vertAlign w:val="baseline"/>
        </w:rPr>
        <w:t>to demand payment to himself. </w:t>
      </w:r>
      <w:r>
        <w:rPr>
          <w:color w:val="005DA1"/>
          <w:u w:val="single" w:color="005DA1"/>
          <w:vertAlign w:val="superscript"/>
        </w:rPr>
        <w:t>494</w:t>
      </w:r>
      <w:r>
        <w:rPr>
          <w:color w:val="005DA1"/>
          <w:vertAlign w:val="baseline"/>
        </w:rPr>
        <w:t> </w:t>
      </w:r>
      <w:r>
        <w:rPr>
          <w:vertAlign w:val="baseline"/>
        </w:rPr>
        <w:t>But the contract is not likely to be construed in this way where it is</w:t>
      </w:r>
      <w:r>
        <w:rPr>
          <w:spacing w:val="40"/>
          <w:vertAlign w:val="baseline"/>
        </w:rPr>
        <w:t> </w:t>
      </w:r>
      <w:r>
        <w:rPr>
          <w:vertAlign w:val="baseline"/>
        </w:rPr>
        <w:t>a matter of concern to the promisor that payment should be made to the third party, e.g. because the </w:t>
      </w:r>
      <w:bookmarkStart w:name="_bookmark943" w:id="945"/>
      <w:bookmarkEnd w:id="945"/>
      <w:r>
        <w:rPr>
          <w:vertAlign w:val="baseline"/>
        </w:rPr>
        <w:t>third</w:t>
      </w:r>
      <w:r>
        <w:rPr>
          <w:vertAlign w:val="baseline"/>
        </w:rPr>
        <w:t> party is a near relative of the promisor and it matters to the promisor that the third party should</w:t>
      </w:r>
      <w:r>
        <w:rPr>
          <w:spacing w:val="40"/>
          <w:vertAlign w:val="baseline"/>
        </w:rPr>
        <w:t> </w:t>
      </w:r>
      <w:r>
        <w:rPr>
          <w:vertAlign w:val="baseline"/>
        </w:rPr>
        <w:t>be provided for. </w:t>
      </w:r>
      <w:r>
        <w:rPr>
          <w:color w:val="005DA1"/>
          <w:u w:val="single" w:color="005DA1"/>
          <w:vertAlign w:val="superscript"/>
        </w:rPr>
        <w:t>495</w:t>
      </w:r>
    </w:p>
    <w:p>
      <w:pPr>
        <w:pStyle w:val="BodyText"/>
      </w:pPr>
    </w:p>
    <w:p>
      <w:pPr>
        <w:pStyle w:val="BodyText"/>
        <w:spacing w:before="31"/>
      </w:pPr>
    </w:p>
    <w:p>
      <w:pPr>
        <w:spacing w:before="1"/>
        <w:ind w:left="164" w:right="0" w:firstLine="0"/>
        <w:jc w:val="left"/>
        <w:rPr>
          <w:rFonts w:ascii="Arial"/>
          <w:b/>
          <w:sz w:val="18"/>
        </w:rPr>
      </w:pPr>
      <w:r>
        <w:rPr>
          <w:rFonts w:ascii="Arial"/>
          <w:b/>
          <w:sz w:val="18"/>
        </w:rPr>
        <w:t>Revocable </w:t>
      </w:r>
      <w:r>
        <w:rPr>
          <w:rFonts w:ascii="Arial"/>
          <w:b/>
          <w:spacing w:val="-2"/>
          <w:sz w:val="18"/>
        </w:rPr>
        <w:t>mandate</w:t>
      </w:r>
    </w:p>
    <w:p>
      <w:pPr>
        <w:pStyle w:val="BodyText"/>
        <w:spacing w:before="41"/>
        <w:rPr>
          <w:rFonts w:ascii="Arial"/>
          <w:b/>
          <w:sz w:val="18"/>
        </w:rPr>
      </w:pPr>
    </w:p>
    <w:p>
      <w:pPr>
        <w:pStyle w:val="Heading2"/>
        <w:ind w:left="164"/>
      </w:pPr>
      <w:r>
        <w:rPr/>
        <w:t>18-</w:t>
      </w:r>
      <w:r>
        <w:rPr>
          <w:spacing w:val="-5"/>
        </w:rPr>
        <w:t>076</w:t>
      </w:r>
    </w:p>
    <w:p>
      <w:pPr>
        <w:pStyle w:val="Heading2"/>
        <w:spacing w:after="0"/>
        <w:sectPr>
          <w:headerReference w:type="default" r:id="rId17"/>
          <w:pgSz w:w="11900" w:h="16840"/>
          <w:pgMar w:header="971" w:footer="0" w:top="1160" w:bottom="280" w:left="1275" w:right="1275"/>
          <w:pgNumType w:start="1"/>
        </w:sectPr>
      </w:pPr>
    </w:p>
    <w:p>
      <w:pPr>
        <w:pStyle w:val="BodyText"/>
        <w:spacing w:before="124"/>
        <w:rPr>
          <w:rFonts w:ascii="Arial"/>
          <w:b/>
        </w:rPr>
      </w:pPr>
    </w:p>
    <w:p>
      <w:pPr>
        <w:pStyle w:val="BodyText"/>
        <w:spacing w:line="235" w:lineRule="auto" w:before="1"/>
        <w:ind w:left="165" w:right="167"/>
        <w:jc w:val="both"/>
      </w:pPr>
      <w:bookmarkStart w:name="_bookmark944" w:id="946"/>
      <w:bookmarkEnd w:id="946"/>
      <w:r>
        <w:rPr/>
      </w:r>
      <w:r>
        <w:rPr/>
        <w:t>The rules stated in para.18-075 above apply only if there is indeed a promise to pay the third party. In </w:t>
      </w:r>
      <w:r>
        <w:rPr>
          <w:rFonts w:ascii="Arial" w:hAnsi="Arial"/>
          <w:i/>
        </w:rPr>
        <w:t>Coulls v Bagot’s Executor and Trustee Co Ltd </w:t>
      </w:r>
      <w:r>
        <w:rPr>
          <w:color w:val="005DA1"/>
          <w:u w:val="single" w:color="005DA1"/>
          <w:vertAlign w:val="superscript"/>
        </w:rPr>
        <w:t>496</w:t>
      </w:r>
      <w:r>
        <w:rPr>
          <w:color w:val="005DA1"/>
          <w:vertAlign w:val="baseline"/>
        </w:rPr>
        <w:t> </w:t>
      </w:r>
      <w:r>
        <w:rPr>
          <w:vertAlign w:val="baseline"/>
        </w:rPr>
        <w:t>an agreement between A and B provided </w:t>
      </w:r>
      <w:r>
        <w:rPr>
          <w:vertAlign w:val="baseline"/>
        </w:rPr>
        <w:t>for payment of royalties by B to A and concluded: “I [A] authorise … [B] to pay all money connected with this agreement to my wife … and myself … as joint tenants.” The document was signed by A, B and A’s wife. A majority of the High Court of Australia held that there was no </w:t>
      </w:r>
      <w:r>
        <w:rPr>
          <w:rFonts w:ascii="Arial" w:hAnsi="Arial"/>
          <w:i/>
          <w:vertAlign w:val="baseline"/>
        </w:rPr>
        <w:t>promise </w:t>
      </w:r>
      <w:r>
        <w:rPr>
          <w:vertAlign w:val="baseline"/>
        </w:rPr>
        <w:t>by B to A to pay A’s </w:t>
      </w:r>
      <w:bookmarkStart w:name="_bookmark945" w:id="947"/>
      <w:bookmarkEnd w:id="947"/>
      <w:r>
        <w:rPr>
          <w:vertAlign w:val="baseline"/>
        </w:rPr>
        <w:t>wife</w:t>
      </w:r>
      <w:r>
        <w:rPr>
          <w:vertAlign w:val="baseline"/>
        </w:rPr>
        <w:t> but only a </w:t>
      </w:r>
      <w:r>
        <w:rPr>
          <w:rFonts w:ascii="Arial" w:hAnsi="Arial"/>
          <w:i/>
          <w:vertAlign w:val="baseline"/>
        </w:rPr>
        <w:t>mandate </w:t>
      </w:r>
      <w:r>
        <w:rPr>
          <w:vertAlign w:val="baseline"/>
        </w:rPr>
        <w:t>by A authorising B to pay A’s wife (so that such payment would discharge B). This mandate was revocable </w:t>
      </w:r>
      <w:r>
        <w:rPr>
          <w:color w:val="005DA1"/>
          <w:u w:val="single" w:color="005DA1"/>
          <w:vertAlign w:val="superscript"/>
        </w:rPr>
        <w:t>497</w:t>
      </w:r>
      <w:r>
        <w:rPr>
          <w:color w:val="005DA1"/>
          <w:vertAlign w:val="baseline"/>
        </w:rPr>
        <w:t> </w:t>
      </w:r>
      <w:r>
        <w:rPr>
          <w:vertAlign w:val="baseline"/>
        </w:rPr>
        <w:t>and had been revoked by A’s death. Consequently, the money</w:t>
      </w:r>
      <w:r>
        <w:rPr>
          <w:spacing w:val="40"/>
          <w:vertAlign w:val="baseline"/>
        </w:rPr>
        <w:t> </w:t>
      </w:r>
      <w:r>
        <w:rPr>
          <w:vertAlign w:val="baseline"/>
        </w:rPr>
        <w:t>(which B was willing to pay) belonged to A’s estate and not to his wife. The third party would, a</w:t>
      </w:r>
      <w:r>
        <w:rPr>
          <w:spacing w:val="80"/>
          <w:vertAlign w:val="baseline"/>
        </w:rPr>
        <w:t> </w:t>
      </w:r>
      <w:r>
        <w:rPr>
          <w:vertAlign w:val="baseline"/>
        </w:rPr>
        <w:t>fortiori,</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money</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were</w:t>
      </w:r>
      <w:r>
        <w:rPr>
          <w:spacing w:val="-1"/>
          <w:vertAlign w:val="baseline"/>
        </w:rPr>
        <w:t> </w:t>
      </w:r>
      <w:r>
        <w:rPr>
          <w:vertAlign w:val="baseline"/>
        </w:rPr>
        <w:t>mentioned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mere</w:t>
      </w:r>
      <w:r>
        <w:rPr>
          <w:spacing w:val="-1"/>
          <w:vertAlign w:val="baseline"/>
        </w:rPr>
        <w:t> </w:t>
      </w:r>
      <w:r>
        <w:rPr>
          <w:vertAlign w:val="baseline"/>
        </w:rPr>
        <w:t>nominee</w:t>
      </w:r>
      <w:r>
        <w:rPr>
          <w:spacing w:val="-1"/>
          <w:vertAlign w:val="baseline"/>
        </w:rPr>
        <w:t> </w:t>
      </w:r>
      <w:r>
        <w:rPr>
          <w:vertAlign w:val="baseline"/>
        </w:rPr>
        <w:t>in</w:t>
      </w:r>
      <w:r>
        <w:rPr>
          <w:spacing w:val="-1"/>
          <w:vertAlign w:val="baseline"/>
        </w:rPr>
        <w:t> </w:t>
      </w:r>
      <w:r>
        <w:rPr>
          <w:vertAlign w:val="baseline"/>
        </w:rPr>
        <w:t>such</w:t>
      </w:r>
      <w:r>
        <w:rPr>
          <w:spacing w:val="-1"/>
          <w:vertAlign w:val="baseline"/>
        </w:rPr>
        <w:t> </w:t>
      </w:r>
      <w:r>
        <w:rPr>
          <w:vertAlign w:val="baseline"/>
        </w:rPr>
        <w:t>a </w:t>
      </w:r>
      <w:bookmarkStart w:name="_bookmark946" w:id="948"/>
      <w:bookmarkEnd w:id="948"/>
      <w:r>
        <w:rPr>
          <w:vertAlign w:val="baseline"/>
        </w:rPr>
        <w:t>way</w:t>
      </w:r>
      <w:r>
        <w:rPr>
          <w:vertAlign w:val="baseline"/>
        </w:rPr>
        <w:t> as to indicate that no beneficial interest was intended to pass to him and that payment to him without the request of the promisee should not discharge the promisor. </w:t>
      </w:r>
      <w:r>
        <w:rPr>
          <w:color w:val="005DA1"/>
          <w:u w:val="single" w:color="005DA1"/>
          <w:vertAlign w:val="superscript"/>
        </w:rPr>
        <w:t>498</w:t>
      </w:r>
    </w:p>
    <w:p>
      <w:pPr>
        <w:pStyle w:val="BodyText"/>
      </w:pPr>
    </w:p>
    <w:p>
      <w:pPr>
        <w:pStyle w:val="BodyText"/>
        <w:spacing w:before="34"/>
      </w:pPr>
    </w:p>
    <w:p>
      <w:pPr>
        <w:spacing w:before="0"/>
        <w:ind w:left="165" w:right="0" w:firstLine="0"/>
        <w:jc w:val="both"/>
        <w:rPr>
          <w:rFonts w:ascii="Arial"/>
          <w:b/>
          <w:sz w:val="18"/>
        </w:rPr>
      </w:pPr>
      <w:r>
        <w:rPr>
          <w:rFonts w:ascii="Arial"/>
          <w:b/>
          <w:sz w:val="18"/>
        </w:rPr>
        <w:t>Promisee refuses to </w:t>
      </w:r>
      <w:r>
        <w:rPr>
          <w:rFonts w:ascii="Arial"/>
          <w:b/>
          <w:spacing w:val="-5"/>
          <w:sz w:val="18"/>
        </w:rPr>
        <w:t>sue</w:t>
      </w:r>
    </w:p>
    <w:p>
      <w:pPr>
        <w:pStyle w:val="BodyText"/>
        <w:spacing w:before="41"/>
        <w:rPr>
          <w:rFonts w:ascii="Arial"/>
          <w:b/>
          <w:sz w:val="18"/>
        </w:rPr>
      </w:pPr>
    </w:p>
    <w:p>
      <w:pPr>
        <w:pStyle w:val="Heading2"/>
        <w:spacing w:before="1"/>
      </w:pPr>
      <w:r>
        <w:rPr/>
        <w:t>18-</w:t>
      </w:r>
      <w:r>
        <w:rPr>
          <w:spacing w:val="-5"/>
        </w:rPr>
        <w:t>077</w:t>
      </w:r>
    </w:p>
    <w:p>
      <w:pPr>
        <w:pStyle w:val="BodyText"/>
        <w:spacing w:line="235" w:lineRule="auto" w:before="202"/>
        <w:ind w:left="165" w:right="167"/>
        <w:jc w:val="both"/>
      </w:pPr>
      <w:r>
        <w:rPr/>
        <w:t>A further problem arises where the promisee fails or refuses to take any action to enforce </w:t>
      </w:r>
      <w:r>
        <w:rPr/>
        <w:t>the</w:t>
      </w:r>
      <w:r>
        <w:rPr>
          <w:spacing w:val="40"/>
        </w:rPr>
        <w:t> </w:t>
      </w:r>
      <w:bookmarkStart w:name="_bookmark947" w:id="949"/>
      <w:bookmarkEnd w:id="949"/>
      <w:r>
        <w:rPr/>
        <w:t>promise.</w:t>
      </w:r>
      <w:r>
        <w:rPr/>
        <w:t> Lord Denning has suggested that, even at common law, the third party could in such a case circumvent the doctrine of privity by suing the promisor and joining the promisee as co-defendant. </w:t>
      </w:r>
      <w:r>
        <w:rPr>
          <w:color w:val="005DA1"/>
          <w:u w:val="single" w:color="005DA1"/>
          <w:vertAlign w:val="superscript"/>
        </w:rPr>
        <w:t>499</w:t>
      </w:r>
      <w:r>
        <w:rPr>
          <w:color w:val="005DA1"/>
          <w:vertAlign w:val="baseline"/>
        </w:rPr>
        <w:t> </w:t>
      </w:r>
      <w:bookmarkStart w:name="_bookmark948" w:id="950"/>
      <w:bookmarkEnd w:id="950"/>
      <w:r>
        <w:rPr>
          <w:color w:val="005DA1"/>
          <w:w w:val="92"/>
          <w:vertAlign w:val="baseline"/>
        </w:rPr>
      </w:r>
      <w:r>
        <w:rPr>
          <w:vertAlign w:val="baseline"/>
        </w:rPr>
        <w:t>But Diplock and Salmon L.JJ. have said that the action can (in cases not falling within any of the exceptions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doctrine</w:t>
      </w:r>
      <w:r>
        <w:rPr>
          <w:spacing w:val="-2"/>
          <w:vertAlign w:val="baseline"/>
        </w:rPr>
        <w:t> </w:t>
      </w:r>
      <w:r>
        <w:rPr>
          <w:vertAlign w:val="baseline"/>
        </w:rPr>
        <w:t>of</w:t>
      </w:r>
      <w:r>
        <w:rPr>
          <w:spacing w:val="-2"/>
          <w:vertAlign w:val="baseline"/>
        </w:rPr>
        <w:t> </w:t>
      </w:r>
      <w:r>
        <w:rPr>
          <w:vertAlign w:val="baseline"/>
        </w:rPr>
        <w:t>privity)</w:t>
      </w:r>
      <w:r>
        <w:rPr>
          <w:spacing w:val="-2"/>
          <w:vertAlign w:val="baseline"/>
        </w:rPr>
        <w:t> </w:t>
      </w:r>
      <w:r>
        <w:rPr>
          <w:vertAlign w:val="baseline"/>
        </w:rPr>
        <w:t>be</w:t>
      </w:r>
      <w:r>
        <w:rPr>
          <w:spacing w:val="-2"/>
          <w:vertAlign w:val="baseline"/>
        </w:rPr>
        <w:t> </w:t>
      </w:r>
      <w:r>
        <w:rPr>
          <w:vertAlign w:val="baseline"/>
        </w:rPr>
        <w:t>brought</w:t>
      </w:r>
      <w:r>
        <w:rPr>
          <w:spacing w:val="-2"/>
          <w:vertAlign w:val="baseline"/>
        </w:rPr>
        <w:t> </w:t>
      </w:r>
      <w:r>
        <w:rPr>
          <w:vertAlign w:val="baseline"/>
        </w:rPr>
        <w:t>only</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promisee</w:t>
      </w:r>
      <w:r>
        <w:rPr>
          <w:spacing w:val="-3"/>
          <w:vertAlign w:val="baseline"/>
        </w:rPr>
        <w:t> </w:t>
      </w:r>
      <w:r>
        <w:rPr>
          <w:color w:val="005DA1"/>
          <w:u w:val="single" w:color="005DA1"/>
          <w:vertAlign w:val="superscript"/>
        </w:rPr>
        <w:t>500</w:t>
      </w:r>
      <w:r>
        <w:rPr>
          <w:vertAlign w:val="baseline"/>
        </w:rPr>
        <w:t>;</w:t>
      </w:r>
      <w:r>
        <w:rPr>
          <w:spacing w:val="-2"/>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submitted</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is </w:t>
      </w:r>
      <w:bookmarkStart w:name="_bookmark949" w:id="951"/>
      <w:bookmarkEnd w:id="951"/>
      <w:r>
        <w:rPr>
          <w:vertAlign w:val="baseline"/>
        </w:rPr>
        <w:t>the</w:t>
      </w:r>
      <w:r>
        <w:rPr>
          <w:vertAlign w:val="baseline"/>
        </w:rPr>
        <w:t> correct view. Lord Denning’s view is fundamentally inconsistent with the common law doctrine of </w:t>
      </w:r>
      <w:bookmarkStart w:name="_bookmark950" w:id="952"/>
      <w:bookmarkEnd w:id="952"/>
      <w:r>
        <w:rPr>
          <w:vertAlign w:val="baseline"/>
        </w:rPr>
        <w:t>privity,</w:t>
      </w:r>
      <w:r>
        <w:rPr>
          <w:vertAlign w:val="baseline"/>
        </w:rPr>
        <w:t> which was recognised in </w:t>
      </w:r>
      <w:r>
        <w:rPr>
          <w:rFonts w:ascii="Arial" w:hAnsi="Arial"/>
          <w:i/>
          <w:vertAlign w:val="baseline"/>
        </w:rPr>
        <w:t>Beswick v Beswick </w:t>
      </w:r>
      <w:r>
        <w:rPr>
          <w:vertAlign w:val="baseline"/>
        </w:rPr>
        <w:t>and in many later cases. </w:t>
      </w:r>
      <w:r>
        <w:rPr>
          <w:color w:val="005DA1"/>
          <w:u w:val="single" w:color="005DA1"/>
          <w:vertAlign w:val="superscript"/>
        </w:rPr>
        <w:t>501</w:t>
      </w:r>
      <w:r>
        <w:rPr>
          <w:color w:val="005DA1"/>
          <w:vertAlign w:val="baseline"/>
        </w:rPr>
        <w:t> </w:t>
      </w:r>
      <w:r>
        <w:rPr>
          <w:vertAlign w:val="baseline"/>
        </w:rPr>
        <w:t>It is also inconsistent with the reasoning of the cases on trusts of promises, to be discussed later in this Chapter </w:t>
      </w:r>
      <w:r>
        <w:rPr>
          <w:color w:val="005DA1"/>
          <w:u w:val="single" w:color="005DA1"/>
          <w:vertAlign w:val="superscript"/>
        </w:rPr>
        <w:t>502</w:t>
      </w:r>
      <w:r>
        <w:rPr>
          <w:vertAlign w:val="baseline"/>
        </w:rPr>
        <w:t>; for if the third party could always enforce the promise against the promisor by joining the promisee to the action, it would be pointless to insist that he must in addition show the existence of a trust.</w:t>
      </w:r>
    </w:p>
    <w:p>
      <w:pPr>
        <w:pStyle w:val="BodyText"/>
      </w:pPr>
    </w:p>
    <w:p>
      <w:pPr>
        <w:pStyle w:val="BodyText"/>
        <w:spacing w:before="35"/>
      </w:pPr>
    </w:p>
    <w:p>
      <w:pPr>
        <w:spacing w:before="0"/>
        <w:ind w:left="165" w:right="0" w:firstLine="0"/>
        <w:jc w:val="left"/>
        <w:rPr>
          <w:rFonts w:ascii="Arial"/>
          <w:b/>
          <w:sz w:val="18"/>
        </w:rPr>
      </w:pPr>
      <w:r>
        <w:rPr>
          <w:rFonts w:ascii="Arial"/>
          <w:b/>
          <w:sz w:val="18"/>
        </w:rPr>
        <w:t>Promisee sues for damages or </w:t>
      </w:r>
      <w:r>
        <w:rPr>
          <w:rFonts w:ascii="Arial"/>
          <w:b/>
          <w:spacing w:val="-2"/>
          <w:sz w:val="18"/>
        </w:rPr>
        <w:t>restitution</w:t>
      </w:r>
    </w:p>
    <w:p>
      <w:pPr>
        <w:pStyle w:val="BodyText"/>
        <w:spacing w:before="41"/>
        <w:rPr>
          <w:rFonts w:ascii="Arial"/>
          <w:b/>
          <w:sz w:val="18"/>
        </w:rPr>
      </w:pPr>
    </w:p>
    <w:p>
      <w:pPr>
        <w:pStyle w:val="Heading2"/>
      </w:pPr>
      <w:r>
        <w:rPr/>
        <w:t>18-</w:t>
      </w:r>
      <w:r>
        <w:rPr>
          <w:spacing w:val="-5"/>
        </w:rPr>
        <w:t>078</w:t>
      </w:r>
    </w:p>
    <w:p>
      <w:pPr>
        <w:pStyle w:val="BodyText"/>
        <w:spacing w:line="235" w:lineRule="auto" w:before="203"/>
        <w:ind w:left="165" w:right="167"/>
        <w:jc w:val="both"/>
      </w:pPr>
      <w:r>
        <w:rPr/>
        <w:t>A final problem arises where the promisee sues but claims some form of relief other than specific performance in favour of the third party: e.g. where he claims damages, or recovery of </w:t>
      </w:r>
      <w:r>
        <w:rPr/>
        <w:t>the consideration provided by him. If such a claim succeeded, it would seem to lead to a judgment for payment to the promisee and not to the third party; and the question would arise whether the promisee could keep the payment for his own benefit or whether he would be bound to hold it for the third party. In tort, a person can sometimes recover damages for a loss suffered, not by himself, but</w:t>
      </w:r>
      <w:r>
        <w:rPr>
          <w:spacing w:val="40"/>
        </w:rPr>
        <w:t> </w:t>
      </w:r>
      <w:r>
        <w:rPr/>
        <w:t>by another; e.g. a husband may get damages for loss of earnings suffered by his wife in giving up her </w:t>
      </w:r>
      <w:bookmarkStart w:name="_bookmark951" w:id="953"/>
      <w:bookmarkEnd w:id="953"/>
      <w:r>
        <w:rPr/>
        <w:t>job</w:t>
      </w:r>
      <w:r>
        <w:rPr/>
        <w:t> so as to nurse him after an accident; and such damages must then be held on trust for the other person. </w:t>
      </w:r>
      <w:r>
        <w:rPr>
          <w:color w:val="005DA1"/>
          <w:u w:val="single" w:color="005DA1"/>
          <w:vertAlign w:val="superscript"/>
        </w:rPr>
        <w:t>503</w:t>
      </w:r>
      <w:r>
        <w:rPr>
          <w:color w:val="005DA1"/>
          <w:vertAlign w:val="baseline"/>
        </w:rPr>
        <w:t> </w:t>
      </w:r>
      <w:r>
        <w:rPr>
          <w:vertAlign w:val="baseline"/>
        </w:rPr>
        <w:t>Similarly, where one person can recover damages for breach of contract in respect of loss </w:t>
      </w:r>
      <w:bookmarkStart w:name="_bookmark952" w:id="954"/>
      <w:bookmarkEnd w:id="954"/>
      <w:r>
        <w:rPr>
          <w:vertAlign w:val="baseline"/>
        </w:rPr>
        <w:t>suffered</w:t>
      </w:r>
      <w:r>
        <w:rPr>
          <w:vertAlign w:val="baseline"/>
        </w:rPr>
        <w:t> by another person in the exceptional cases mentioned in paras 18-054 to 18-058 above, </w:t>
      </w:r>
      <w:bookmarkStart w:name="_bookmark953" w:id="955"/>
      <w:bookmarkEnd w:id="955"/>
      <w:r>
        <w:rPr>
          <w:vertAlign w:val="baseline"/>
        </w:rPr>
        <w:t>those</w:t>
      </w:r>
      <w:r>
        <w:rPr>
          <w:vertAlign w:val="baseline"/>
        </w:rPr>
        <w:t> damages must be held for that other person. </w:t>
      </w:r>
      <w:r>
        <w:rPr>
          <w:color w:val="005DA1"/>
          <w:u w:val="single" w:color="005DA1"/>
          <w:vertAlign w:val="superscript"/>
        </w:rPr>
        <w:t>504</w:t>
      </w:r>
      <w:r>
        <w:rPr>
          <w:color w:val="005DA1"/>
          <w:vertAlign w:val="baseline"/>
        </w:rPr>
        <w:t> </w:t>
      </w:r>
      <w:r>
        <w:rPr>
          <w:vertAlign w:val="baseline"/>
        </w:rPr>
        <w:t>This may also be the position in the cases “calling for special treatment,” </w:t>
      </w:r>
      <w:r>
        <w:rPr>
          <w:color w:val="005DA1"/>
          <w:u w:val="single" w:color="005DA1"/>
          <w:vertAlign w:val="superscript"/>
        </w:rPr>
        <w:t>505</w:t>
      </w:r>
      <w:r>
        <w:rPr>
          <w:color w:val="005DA1"/>
          <w:vertAlign w:val="baseline"/>
        </w:rPr>
        <w:t> </w:t>
      </w:r>
      <w:r>
        <w:rPr>
          <w:vertAlign w:val="baseline"/>
        </w:rPr>
        <w:t>such as the booking of family holidays or ordering of meals in restaurants. If, in such special cases, the promisee can recover damages in respect of the third</w:t>
      </w:r>
      <w:r>
        <w:rPr>
          <w:spacing w:val="40"/>
          <w:vertAlign w:val="baseline"/>
        </w:rPr>
        <w:t> </w:t>
      </w:r>
      <w:r>
        <w:rPr>
          <w:vertAlign w:val="baseline"/>
        </w:rPr>
        <w:t>party’s loss, it may be that those damages, when recovered, would (as in the exceptional situations </w:t>
      </w:r>
      <w:bookmarkStart w:name="_bookmark954" w:id="956"/>
      <w:bookmarkEnd w:id="956"/>
      <w:r>
        <w:rPr>
          <w:vertAlign w:val="baseline"/>
        </w:rPr>
        <w:t>discussed</w:t>
      </w:r>
      <w:r>
        <w:rPr>
          <w:vertAlign w:val="baseline"/>
        </w:rPr>
        <w:t> in para.18-054 to 18-058 above) be held by the promisee as money had and received for the use of the third party. </w:t>
      </w:r>
      <w:r>
        <w:rPr>
          <w:color w:val="005DA1"/>
          <w:u w:val="single" w:color="005DA1"/>
          <w:vertAlign w:val="superscript"/>
        </w:rPr>
        <w:t>506</w:t>
      </w:r>
      <w:r>
        <w:rPr>
          <w:color w:val="005DA1"/>
          <w:vertAlign w:val="baseline"/>
        </w:rPr>
        <w:t> </w:t>
      </w:r>
      <w:r>
        <w:rPr>
          <w:vertAlign w:val="baseline"/>
        </w:rPr>
        <w:t>But these exceptions apart, there does not appear (at least as a general rule) to be any similar possibility where the promisee claims damages for breach of a contract merely </w:t>
      </w:r>
      <w:bookmarkStart w:name="_bookmark955" w:id="957"/>
      <w:bookmarkEnd w:id="957"/>
      <w:r>
        <w:rPr>
          <w:vertAlign w:val="baseline"/>
        </w:rPr>
        <w:t>because</w:t>
      </w:r>
      <w:r>
        <w:rPr>
          <w:vertAlign w:val="baseline"/>
        </w:rPr>
        <w:t> the contract was made for the benefit of a third party. The general rule in such a case is that damages will be awarded only to compensate the promisee for his </w:t>
      </w:r>
      <w:r>
        <w:rPr>
          <w:rFonts w:ascii="Arial" w:hAnsi="Arial"/>
          <w:i/>
          <w:vertAlign w:val="baseline"/>
        </w:rPr>
        <w:t>own </w:t>
      </w:r>
      <w:r>
        <w:rPr>
          <w:vertAlign w:val="baseline"/>
        </w:rPr>
        <w:t>loss, </w:t>
      </w:r>
      <w:r>
        <w:rPr>
          <w:color w:val="005DA1"/>
          <w:u w:val="single" w:color="005DA1"/>
          <w:vertAlign w:val="superscript"/>
        </w:rPr>
        <w:t>507</w:t>
      </w:r>
      <w:r>
        <w:rPr>
          <w:color w:val="005DA1"/>
          <w:vertAlign w:val="baseline"/>
        </w:rPr>
        <w:t> </w:t>
      </w:r>
      <w:r>
        <w:rPr>
          <w:vertAlign w:val="baseline"/>
        </w:rPr>
        <w:t>and where the </w:t>
      </w:r>
      <w:bookmarkStart w:name="_bookmark956" w:id="958"/>
      <w:bookmarkEnd w:id="958"/>
      <w:r>
        <w:rPr>
          <w:vertAlign w:val="baseline"/>
        </w:rPr>
        <w:t>damages</w:t>
      </w:r>
      <w:r>
        <w:rPr>
          <w:vertAlign w:val="baseline"/>
        </w:rPr>
        <w:t> are awarded for such loss, it does not seem that the promisee can be under any obligation to pay over those damages (or any part of them) to the third party. </w:t>
      </w:r>
      <w:r>
        <w:rPr>
          <w:color w:val="005DA1"/>
          <w:u w:val="single" w:color="005DA1"/>
          <w:vertAlign w:val="superscript"/>
        </w:rPr>
        <w:t>508</w:t>
      </w:r>
    </w:p>
    <w:p>
      <w:pPr>
        <w:pStyle w:val="BodyText"/>
      </w:pPr>
    </w:p>
    <w:p>
      <w:pPr>
        <w:pStyle w:val="BodyText"/>
        <w:spacing w:before="32"/>
      </w:pPr>
      <w:r>
        <w:rPr/>
        <mc:AlternateContent>
          <mc:Choice Requires="wps">
            <w:drawing>
              <wp:anchor distT="0" distB="0" distL="0" distR="0" allowOverlap="1" layoutInCell="1" locked="0" behindDoc="1" simplePos="0" relativeHeight="487632896">
                <wp:simplePos x="0" y="0"/>
                <wp:positionH relativeFrom="page">
                  <wp:posOffset>914400</wp:posOffset>
                </wp:positionH>
                <wp:positionV relativeFrom="paragraph">
                  <wp:posOffset>181643</wp:posOffset>
                </wp:positionV>
                <wp:extent cx="5724525" cy="127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02602pt;width:450.75pt;height:.1pt;mso-position-horizontal-relative:page;mso-position-vertical-relative:paragraph;z-index:-15683584;mso-wrap-distance-left:0;mso-wrap-distance-right:0" id="docshape27" coordorigin="1440,286" coordsize="9015,0" path="m1440,286l10454,286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77568">
                <wp:simplePos x="0" y="0"/>
                <wp:positionH relativeFrom="page">
                  <wp:posOffset>914400</wp:posOffset>
                </wp:positionH>
                <wp:positionV relativeFrom="paragraph">
                  <wp:posOffset>97116</wp:posOffset>
                </wp:positionV>
                <wp:extent cx="4953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38912"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7"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spacing w:after="0" w:line="227" w:lineRule="exact"/>
        <w:jc w:val="left"/>
        <w:rPr>
          <w:sz w:val="20"/>
        </w:rPr>
        <w:sectPr>
          <w:pgSz w:w="11900" w:h="16840"/>
          <w:pgMar w:header="971" w:footer="0" w:top="1160" w:bottom="280" w:left="1275" w:right="1275"/>
        </w:sectPr>
      </w:pPr>
    </w:p>
    <w:p>
      <w:pPr>
        <w:pStyle w:val="BodyText"/>
        <w:spacing w:before="81"/>
      </w:pPr>
    </w:p>
    <w:p>
      <w:pPr>
        <w:pStyle w:val="BodyText"/>
        <w:spacing w:line="227"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5"/>
      </w:pPr>
    </w:p>
    <w:p>
      <w:pPr>
        <w:pStyle w:val="BodyText"/>
        <w:tabs>
          <w:tab w:pos="705" w:val="left" w:leader="none"/>
        </w:tabs>
        <w:ind w:left="165"/>
      </w:pPr>
      <w:bookmarkStart w:name="_bookmark957" w:id="959"/>
      <w:bookmarkEnd w:id="959"/>
      <w:r>
        <w:rPr/>
      </w:r>
      <w:hyperlink w:history="true" w:anchor="_bookmark938">
        <w:r>
          <w:rPr>
            <w:color w:val="005DA1"/>
            <w:spacing w:val="-4"/>
            <w:position w:val="5"/>
            <w:sz w:val="14"/>
            <w:u w:val="single" w:color="005DA1"/>
          </w:rPr>
          <w:t>490</w:t>
        </w:r>
      </w:hyperlink>
      <w:r>
        <w:rPr>
          <w:spacing w:val="-4"/>
          <w:position w:val="5"/>
          <w:sz w:val="14"/>
        </w:rPr>
        <w:t>.</w:t>
      </w:r>
      <w:r>
        <w:rPr>
          <w:position w:val="5"/>
          <w:sz w:val="14"/>
        </w:rPr>
        <w:tab/>
      </w:r>
      <w:r>
        <w:rPr/>
        <w:t>Below, paras 18-079-18-</w:t>
      </w:r>
      <w:r>
        <w:rPr>
          <w:spacing w:val="-4"/>
        </w:rPr>
        <w:t>138.</w:t>
      </w:r>
    </w:p>
    <w:p>
      <w:pPr>
        <w:pStyle w:val="BodyText"/>
        <w:spacing w:before="5"/>
      </w:pPr>
    </w:p>
    <w:p>
      <w:pPr>
        <w:spacing w:line="227" w:lineRule="exact" w:before="0"/>
        <w:ind w:left="165" w:right="0" w:firstLine="0"/>
        <w:jc w:val="both"/>
        <w:rPr>
          <w:rFonts w:ascii="Arial" w:hAnsi="Arial"/>
          <w:i/>
          <w:sz w:val="20"/>
        </w:rPr>
      </w:pPr>
      <w:bookmarkStart w:name="_bookmark958" w:id="960"/>
      <w:bookmarkEnd w:id="960"/>
      <w:r>
        <w:rPr/>
      </w:r>
      <w:hyperlink w:history="true" w:anchor="_bookmark939">
        <w:r>
          <w:rPr>
            <w:color w:val="005DA1"/>
            <w:position w:val="5"/>
            <w:sz w:val="14"/>
            <w:u w:val="single" w:color="005DA1"/>
          </w:rPr>
          <w:t>491</w:t>
        </w:r>
      </w:hyperlink>
      <w:r>
        <w:rPr>
          <w:position w:val="5"/>
          <w:sz w:val="14"/>
        </w:rPr>
        <w:t>.</w:t>
      </w:r>
      <w:r>
        <w:rPr>
          <w:spacing w:val="75"/>
          <w:w w:val="150"/>
          <w:position w:val="5"/>
          <w:sz w:val="14"/>
        </w:rPr>
        <w:t>  </w:t>
      </w:r>
      <w:r>
        <w:rPr>
          <w:rFonts w:ascii="Arial" w:hAnsi="Arial"/>
          <w:i/>
          <w:sz w:val="20"/>
        </w:rPr>
        <w:t>Beswick</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Beswick</w:t>
      </w:r>
      <w:r>
        <w:rPr>
          <w:rFonts w:ascii="Arial" w:hAnsi="Arial"/>
          <w:i/>
          <w:spacing w:val="17"/>
          <w:sz w:val="20"/>
        </w:rPr>
        <w:t> </w:t>
      </w:r>
      <w:r>
        <w:rPr>
          <w:rFonts w:ascii="Arial" w:hAnsi="Arial"/>
          <w:i/>
          <w:sz w:val="20"/>
        </w:rPr>
        <w:t>[1968]</w:t>
      </w:r>
      <w:r>
        <w:rPr>
          <w:rFonts w:ascii="Arial" w:hAnsi="Arial"/>
          <w:i/>
          <w:spacing w:val="17"/>
          <w:sz w:val="20"/>
        </w:rPr>
        <w:t> </w:t>
      </w:r>
      <w:r>
        <w:rPr>
          <w:rFonts w:ascii="Arial" w:hAnsi="Arial"/>
          <w:i/>
          <w:sz w:val="20"/>
        </w:rPr>
        <w:t>A.C.</w:t>
      </w:r>
      <w:r>
        <w:rPr>
          <w:rFonts w:ascii="Arial" w:hAnsi="Arial"/>
          <w:i/>
          <w:spacing w:val="17"/>
          <w:sz w:val="20"/>
        </w:rPr>
        <w:t> </w:t>
      </w:r>
      <w:r>
        <w:rPr>
          <w:rFonts w:ascii="Arial" w:hAnsi="Arial"/>
          <w:i/>
          <w:sz w:val="20"/>
        </w:rPr>
        <w:t>58,</w:t>
      </w:r>
      <w:r>
        <w:rPr>
          <w:rFonts w:ascii="Arial" w:hAnsi="Arial"/>
          <w:i/>
          <w:spacing w:val="17"/>
          <w:sz w:val="20"/>
        </w:rPr>
        <w:t> </w:t>
      </w:r>
      <w:r>
        <w:rPr>
          <w:rFonts w:ascii="Arial" w:hAnsi="Arial"/>
          <w:i/>
          <w:sz w:val="20"/>
        </w:rPr>
        <w:t>71,</w:t>
      </w:r>
      <w:r>
        <w:rPr>
          <w:rFonts w:ascii="Arial" w:hAnsi="Arial"/>
          <w:i/>
          <w:spacing w:val="17"/>
          <w:sz w:val="20"/>
        </w:rPr>
        <w:t> </w:t>
      </w:r>
      <w:r>
        <w:rPr>
          <w:rFonts w:ascii="Arial" w:hAnsi="Arial"/>
          <w:i/>
          <w:sz w:val="20"/>
        </w:rPr>
        <w:t>94,</w:t>
      </w:r>
      <w:r>
        <w:rPr>
          <w:rFonts w:ascii="Arial" w:hAnsi="Arial"/>
          <w:i/>
          <w:spacing w:val="16"/>
          <w:sz w:val="20"/>
        </w:rPr>
        <w:t> </w:t>
      </w:r>
      <w:r>
        <w:rPr>
          <w:rFonts w:ascii="Arial" w:hAnsi="Arial"/>
          <w:i/>
          <w:sz w:val="20"/>
        </w:rPr>
        <w:t>96</w:t>
      </w:r>
      <w:r>
        <w:rPr>
          <w:sz w:val="20"/>
        </w:rPr>
        <w:t>,</w:t>
      </w:r>
      <w:r>
        <w:rPr>
          <w:spacing w:val="17"/>
          <w:sz w:val="20"/>
        </w:rPr>
        <w:t> </w:t>
      </w:r>
      <w:r>
        <w:rPr>
          <w:sz w:val="20"/>
        </w:rPr>
        <w:t>on</w:t>
      </w:r>
      <w:r>
        <w:rPr>
          <w:spacing w:val="17"/>
          <w:sz w:val="20"/>
        </w:rPr>
        <w:t> </w:t>
      </w:r>
      <w:r>
        <w:rPr>
          <w:sz w:val="20"/>
        </w:rPr>
        <w:t>this</w:t>
      </w:r>
      <w:r>
        <w:rPr>
          <w:spacing w:val="17"/>
          <w:sz w:val="20"/>
        </w:rPr>
        <w:t> </w:t>
      </w:r>
      <w:r>
        <w:rPr>
          <w:sz w:val="20"/>
        </w:rPr>
        <w:t>point</w:t>
      </w:r>
      <w:r>
        <w:rPr>
          <w:spacing w:val="17"/>
          <w:sz w:val="20"/>
        </w:rPr>
        <w:t> </w:t>
      </w:r>
      <w:r>
        <w:rPr>
          <w:sz w:val="20"/>
        </w:rPr>
        <w:t>overruling</w:t>
      </w:r>
      <w:r>
        <w:rPr>
          <w:spacing w:val="16"/>
          <w:sz w:val="20"/>
        </w:rPr>
        <w:t> </w:t>
      </w:r>
      <w:r>
        <w:rPr>
          <w:rFonts w:ascii="Arial" w:hAnsi="Arial"/>
          <w:i/>
          <w:sz w:val="20"/>
        </w:rPr>
        <w:t>Re</w:t>
      </w:r>
      <w:r>
        <w:rPr>
          <w:rFonts w:ascii="Arial" w:hAnsi="Arial"/>
          <w:i/>
          <w:spacing w:val="17"/>
          <w:sz w:val="20"/>
        </w:rPr>
        <w:t> </w:t>
      </w:r>
      <w:r>
        <w:rPr>
          <w:rFonts w:ascii="Arial" w:hAnsi="Arial"/>
          <w:i/>
          <w:sz w:val="20"/>
        </w:rPr>
        <w:t>Engelbach’s</w:t>
      </w:r>
      <w:r>
        <w:rPr>
          <w:rFonts w:ascii="Arial" w:hAnsi="Arial"/>
          <w:i/>
          <w:spacing w:val="17"/>
          <w:sz w:val="20"/>
        </w:rPr>
        <w:t> </w:t>
      </w:r>
      <w:r>
        <w:rPr>
          <w:rFonts w:ascii="Arial" w:hAnsi="Arial"/>
          <w:i/>
          <w:spacing w:val="-2"/>
          <w:sz w:val="20"/>
        </w:rPr>
        <w:t>Estate</w:t>
      </w:r>
    </w:p>
    <w:p>
      <w:pPr>
        <w:spacing w:line="235" w:lineRule="auto" w:before="1"/>
        <w:ind w:left="705" w:right="168" w:firstLine="0"/>
        <w:jc w:val="both"/>
        <w:rPr>
          <w:sz w:val="20"/>
        </w:rPr>
      </w:pPr>
      <w:r>
        <w:rPr>
          <w:rFonts w:ascii="Arial" w:hAnsi="Arial"/>
          <w:i/>
          <w:sz w:val="20"/>
        </w:rPr>
        <w:t>[1924]</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348</w:t>
      </w:r>
      <w:r>
        <w:rPr>
          <w:rFonts w:ascii="Arial" w:hAnsi="Arial"/>
          <w:i/>
          <w:spacing w:val="-1"/>
          <w:sz w:val="20"/>
        </w:rPr>
        <w:t> </w:t>
      </w:r>
      <w:r>
        <w:rPr>
          <w:sz w:val="20"/>
        </w:rPr>
        <w:t>and</w:t>
      </w:r>
      <w:r>
        <w:rPr>
          <w:spacing w:val="-1"/>
          <w:sz w:val="20"/>
        </w:rPr>
        <w:t> </w:t>
      </w:r>
      <w:r>
        <w:rPr>
          <w:sz w:val="20"/>
        </w:rPr>
        <w:t>doubting</w:t>
      </w:r>
      <w:r>
        <w:rPr>
          <w:spacing w:val="-1"/>
          <w:sz w:val="20"/>
        </w:rPr>
        <w:t> </w:t>
      </w:r>
      <w:r>
        <w:rPr>
          <w:rFonts w:ascii="Arial" w:hAnsi="Arial"/>
          <w:i/>
          <w:sz w:val="20"/>
        </w:rPr>
        <w:t>Re</w:t>
      </w:r>
      <w:r>
        <w:rPr>
          <w:rFonts w:ascii="Arial" w:hAnsi="Arial"/>
          <w:i/>
          <w:spacing w:val="-1"/>
          <w:sz w:val="20"/>
        </w:rPr>
        <w:t> </w:t>
      </w:r>
      <w:r>
        <w:rPr>
          <w:rFonts w:ascii="Arial" w:hAnsi="Arial"/>
          <w:i/>
          <w:sz w:val="20"/>
        </w:rPr>
        <w:t>Sinclair’s</w:t>
      </w:r>
      <w:r>
        <w:rPr>
          <w:rFonts w:ascii="Arial" w:hAnsi="Arial"/>
          <w:i/>
          <w:spacing w:val="-1"/>
          <w:sz w:val="20"/>
        </w:rPr>
        <w:t> </w:t>
      </w:r>
      <w:r>
        <w:rPr>
          <w:rFonts w:ascii="Arial" w:hAnsi="Arial"/>
          <w:i/>
          <w:sz w:val="20"/>
        </w:rPr>
        <w:t>Life</w:t>
      </w:r>
      <w:r>
        <w:rPr>
          <w:rFonts w:ascii="Arial" w:hAnsi="Arial"/>
          <w:i/>
          <w:spacing w:val="-1"/>
          <w:sz w:val="20"/>
        </w:rPr>
        <w:t> </w:t>
      </w:r>
      <w:r>
        <w:rPr>
          <w:rFonts w:ascii="Arial" w:hAnsi="Arial"/>
          <w:i/>
          <w:sz w:val="20"/>
        </w:rPr>
        <w:t>Policy</w:t>
      </w:r>
      <w:r>
        <w:rPr>
          <w:rFonts w:ascii="Arial" w:hAnsi="Arial"/>
          <w:i/>
          <w:spacing w:val="-1"/>
          <w:sz w:val="20"/>
        </w:rPr>
        <w:t> </w:t>
      </w:r>
      <w:r>
        <w:rPr>
          <w:rFonts w:ascii="Arial" w:hAnsi="Arial"/>
          <w:i/>
          <w:sz w:val="20"/>
        </w:rPr>
        <w:t>[1938]</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799</w:t>
      </w:r>
      <w:r>
        <w:rPr>
          <w:sz w:val="20"/>
        </w:rPr>
        <w:t>.</w:t>
      </w:r>
      <w:r>
        <w:rPr>
          <w:spacing w:val="-1"/>
          <w:sz w:val="20"/>
        </w:rPr>
        <w:t> </w:t>
      </w:r>
      <w:r>
        <w:rPr>
          <w:sz w:val="20"/>
        </w:rPr>
        <w:t>Earlier</w:t>
      </w:r>
      <w:r>
        <w:rPr>
          <w:spacing w:val="-1"/>
          <w:sz w:val="20"/>
        </w:rPr>
        <w:t> </w:t>
      </w:r>
      <w:r>
        <w:rPr>
          <w:sz w:val="20"/>
        </w:rPr>
        <w:t>cases</w:t>
      </w:r>
      <w:r>
        <w:rPr>
          <w:spacing w:val="-1"/>
          <w:sz w:val="20"/>
        </w:rPr>
        <w:t> </w:t>
      </w:r>
      <w:r>
        <w:rPr>
          <w:sz w:val="20"/>
        </w:rPr>
        <w:t>supporting the view stated in the text include </w:t>
      </w:r>
      <w:r>
        <w:rPr>
          <w:rFonts w:ascii="Arial" w:hAnsi="Arial"/>
          <w:i/>
          <w:sz w:val="20"/>
        </w:rPr>
        <w:t>Ashby v Costin (1888) 21 Q.B.D. 401</w:t>
      </w:r>
      <w:r>
        <w:rPr>
          <w:sz w:val="20"/>
        </w:rPr>
        <w:t>; </w:t>
      </w:r>
      <w:r>
        <w:rPr>
          <w:rFonts w:ascii="Arial" w:hAnsi="Arial"/>
          <w:i/>
          <w:sz w:val="20"/>
        </w:rPr>
        <w:t>Harris v </w:t>
      </w:r>
      <w:r>
        <w:rPr>
          <w:rFonts w:ascii="Arial" w:hAnsi="Arial"/>
          <w:i/>
          <w:sz w:val="20"/>
        </w:rPr>
        <w:t>United Kingdom, etc., Society (1889) 87 L.T.J. 272</w:t>
      </w:r>
      <w:r>
        <w:rPr>
          <w:sz w:val="20"/>
        </w:rPr>
        <w:t>; </w:t>
      </w:r>
      <w:r>
        <w:rPr>
          <w:rFonts w:ascii="Arial" w:hAnsi="Arial"/>
          <w:i/>
          <w:sz w:val="20"/>
        </w:rPr>
        <w:t>Re Davies [1892] 3 Ch. 63</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959" w:id="961"/>
      <w:bookmarkEnd w:id="961"/>
      <w:r>
        <w:rPr/>
      </w:r>
      <w:hyperlink w:history="true" w:anchor="_bookmark940">
        <w:r>
          <w:rPr>
            <w:color w:val="005DA1"/>
            <w:spacing w:val="-4"/>
            <w:position w:val="5"/>
            <w:sz w:val="14"/>
            <w:u w:val="single" w:color="005DA1"/>
          </w:rPr>
          <w:t>492</w:t>
        </w:r>
      </w:hyperlink>
      <w:r>
        <w:rPr>
          <w:spacing w:val="-4"/>
          <w:position w:val="5"/>
          <w:sz w:val="14"/>
        </w:rPr>
        <w:t>.</w:t>
      </w:r>
      <w:r>
        <w:rPr>
          <w:position w:val="5"/>
          <w:sz w:val="14"/>
        </w:rPr>
        <w:tab/>
      </w:r>
      <w:r>
        <w:rPr>
          <w:sz w:val="20"/>
        </w:rPr>
        <w:t>This appears from the treatment in </w:t>
      </w:r>
      <w:r>
        <w:rPr>
          <w:rFonts w:ascii="Arial" w:hAnsi="Arial"/>
          <w:i/>
          <w:sz w:val="20"/>
        </w:rPr>
        <w:t>Beswick v Beswick </w:t>
      </w:r>
      <w:r>
        <w:rPr>
          <w:sz w:val="20"/>
        </w:rPr>
        <w:t>of </w:t>
      </w:r>
      <w:r>
        <w:rPr>
          <w:rFonts w:ascii="Arial" w:hAnsi="Arial"/>
          <w:i/>
          <w:sz w:val="20"/>
        </w:rPr>
        <w:t>Re Engelbach’s Estate</w:t>
      </w:r>
      <w:r>
        <w:rPr>
          <w:sz w:val="20"/>
        </w:rPr>
        <w:t>, above, </w:t>
      </w:r>
      <w:r>
        <w:rPr>
          <w:sz w:val="20"/>
        </w:rPr>
        <w:t>n.465, where the money had in fact been paid to the third party: see 93 L.J.Ch. 616, 617.</w:t>
      </w:r>
    </w:p>
    <w:p>
      <w:pPr>
        <w:pStyle w:val="BodyText"/>
        <w:spacing w:before="9"/>
      </w:pPr>
    </w:p>
    <w:p>
      <w:pPr>
        <w:pStyle w:val="BodyText"/>
        <w:spacing w:line="235" w:lineRule="auto"/>
        <w:ind w:left="705" w:right="167" w:hanging="541"/>
        <w:jc w:val="both"/>
      </w:pPr>
      <w:bookmarkStart w:name="_bookmark960" w:id="962"/>
      <w:bookmarkEnd w:id="962"/>
      <w:r>
        <w:rPr/>
      </w:r>
      <w:hyperlink w:history="true" w:anchor="_bookmark941">
        <w:r>
          <w:rPr>
            <w:color w:val="005DA1"/>
            <w:position w:val="5"/>
            <w:sz w:val="14"/>
            <w:u w:val="single" w:color="005DA1"/>
          </w:rPr>
          <w:t>493</w:t>
        </w:r>
      </w:hyperlink>
      <w:r>
        <w:rPr>
          <w:position w:val="5"/>
          <w:sz w:val="14"/>
        </w:rPr>
        <w:t>.</w:t>
      </w:r>
      <w:r>
        <w:rPr>
          <w:spacing w:val="80"/>
          <w:position w:val="5"/>
          <w:sz w:val="14"/>
        </w:rPr>
        <w:t>  </w:t>
      </w:r>
      <w:r>
        <w:rPr/>
        <w:t>The present discussion is (as stated in para.18-074 above) based on the assumption that the case does </w:t>
      </w:r>
      <w:r>
        <w:rPr>
          <w:rFonts w:ascii="Arial"/>
          <w:i/>
        </w:rPr>
        <w:t>not </w:t>
      </w:r>
      <w:r>
        <w:rPr/>
        <w:t>fall within any of the exceptions (to be discussed in paras 18-079 et seq.) to the common law doctrine of privity of contract.</w:t>
      </w:r>
    </w:p>
    <w:p>
      <w:pPr>
        <w:pStyle w:val="BodyText"/>
        <w:spacing w:before="9"/>
      </w:pPr>
    </w:p>
    <w:p>
      <w:pPr>
        <w:spacing w:line="235" w:lineRule="auto" w:before="0"/>
        <w:ind w:left="705" w:right="167" w:hanging="541"/>
        <w:jc w:val="both"/>
        <w:rPr>
          <w:sz w:val="20"/>
        </w:rPr>
      </w:pPr>
      <w:bookmarkStart w:name="_bookmark961" w:id="963"/>
      <w:bookmarkEnd w:id="963"/>
      <w:r>
        <w:rPr/>
      </w:r>
      <w:hyperlink w:history="true" w:anchor="_bookmark942">
        <w:r>
          <w:rPr>
            <w:color w:val="005DA1"/>
            <w:position w:val="5"/>
            <w:sz w:val="14"/>
            <w:u w:val="single" w:color="005DA1"/>
          </w:rPr>
          <w:t>494</w:t>
        </w:r>
      </w:hyperlink>
      <w:r>
        <w:rPr>
          <w:position w:val="5"/>
          <w:sz w:val="14"/>
        </w:rPr>
        <w:t>.</w:t>
      </w:r>
      <w:r>
        <w:rPr>
          <w:spacing w:val="40"/>
          <w:position w:val="5"/>
          <w:sz w:val="14"/>
        </w:rPr>
        <w:t>  </w:t>
      </w:r>
      <w:r>
        <w:rPr>
          <w:sz w:val="20"/>
        </w:rPr>
        <w:t>For an illustration of what is “probably” a contract to pay the third party or as the promisee </w:t>
      </w:r>
      <w:r>
        <w:rPr>
          <w:sz w:val="20"/>
        </w:rPr>
        <w:t>shall direct, see </w:t>
      </w:r>
      <w:r>
        <w:rPr>
          <w:rFonts w:ascii="Arial" w:hAnsi="Arial"/>
          <w:i/>
          <w:sz w:val="20"/>
        </w:rPr>
        <w:t>Tradigrain SA v King Diamond Shipping SA (The Spiros C) [2002] 2 Lloyd’s Rep.</w:t>
      </w:r>
      <w:r>
        <w:rPr>
          <w:rFonts w:ascii="Arial" w:hAnsi="Arial"/>
          <w:i/>
          <w:spacing w:val="40"/>
          <w:sz w:val="20"/>
        </w:rPr>
        <w:t> </w:t>
      </w:r>
      <w:r>
        <w:rPr>
          <w:rFonts w:ascii="Arial" w:hAnsi="Arial"/>
          <w:i/>
          <w:sz w:val="20"/>
        </w:rPr>
        <w:t>319 </w:t>
      </w:r>
      <w:r>
        <w:rPr>
          <w:sz w:val="20"/>
        </w:rPr>
        <w:t>at [56], [57] (bill of lading making freight payable to a person other than contracting carrier; actual decision based on other grounds: ibid., at [58]). Para.18-073 of the 30th edition of this book (numbered 18-075 in the present edition) is cited with apparent approval in </w:t>
      </w:r>
      <w:r>
        <w:rPr>
          <w:rFonts w:ascii="Arial" w:hAnsi="Arial"/>
          <w:i/>
          <w:sz w:val="20"/>
        </w:rPr>
        <w:t>Dry Bulk Handy Holding Inc v Fayette International Holdings Ltd (The Bulk Chile) [2012] EWHC 2107 (Comm), [2012] 2 Lloyd’s Rep. 594 </w:t>
      </w:r>
      <w:r>
        <w:rPr>
          <w:sz w:val="20"/>
        </w:rPr>
        <w:t>at [35] in support of the proposition that “where a contract provides for payment to a third party, it is a matter of construction whether the promisee can unilaterally (i.e. without the consent of the promisor) demand that payment should be made to himself.” When this decision was affirmed (</w:t>
      </w:r>
      <w:r>
        <w:rPr>
          <w:rFonts w:ascii="Arial" w:hAnsi="Arial"/>
          <w:i/>
          <w:sz w:val="20"/>
        </w:rPr>
        <w:t>[2013] EWCA Civ 184, [2013] 2 Lloyd’s Rep 38</w:t>
      </w:r>
      <w:r>
        <w:rPr>
          <w:sz w:val="20"/>
        </w:rPr>
        <w:t>), the same point was discussed and the same conclusion was reached as in the Court below: see especially </w:t>
      </w:r>
      <w:r>
        <w:rPr>
          <w:rFonts w:ascii="Arial" w:hAnsi="Arial"/>
          <w:i/>
          <w:sz w:val="20"/>
        </w:rPr>
        <w:t>[2013] EWCA Civ 184 </w:t>
      </w:r>
      <w:r>
        <w:rPr>
          <w:sz w:val="20"/>
        </w:rPr>
        <w:t>at [23], quoting Rix L.J. in </w:t>
      </w:r>
      <w:r>
        <w:rPr>
          <w:rFonts w:ascii="Arial" w:hAnsi="Arial"/>
          <w:i/>
          <w:sz w:val="20"/>
        </w:rPr>
        <w:t>The Spiros C</w:t>
      </w:r>
      <w:r>
        <w:rPr>
          <w:sz w:val="20"/>
        </w:rPr>
        <w:t>, above, who in that case at [56] referred with apparent approval to “Chitty” paras 19-044 and 19-060. This</w:t>
      </w:r>
      <w:r>
        <w:rPr>
          <w:spacing w:val="40"/>
          <w:sz w:val="20"/>
        </w:rPr>
        <w:t> </w:t>
      </w:r>
      <w:r>
        <w:rPr>
          <w:sz w:val="20"/>
        </w:rPr>
        <w:t>reference is to the 28th edition of this book, that being the most recent edition at the time of the decision in </w:t>
      </w:r>
      <w:r>
        <w:rPr>
          <w:rFonts w:ascii="Arial" w:hAnsi="Arial"/>
          <w:i/>
          <w:sz w:val="20"/>
        </w:rPr>
        <w:t>The Spiros C</w:t>
      </w:r>
      <w:r>
        <w:rPr>
          <w:sz w:val="20"/>
        </w:rPr>
        <w:t>. The corresponding paragraphs in the present edition of this book are 18-048 and 18-075. Similar reasoning can apply where a contract provides for some performance other than a payment of money to be rendered to a third party: e.g. </w:t>
      </w:r>
      <w:r>
        <w:rPr>
          <w:rFonts w:ascii="Arial" w:hAnsi="Arial"/>
          <w:i/>
          <w:sz w:val="20"/>
        </w:rPr>
        <w:t>Mitchell v Ede (1840) 11 Ad. &amp; El. 888</w:t>
      </w:r>
      <w:r>
        <w:rPr>
          <w:sz w:val="20"/>
        </w:rPr>
        <w:t>; </w:t>
      </w:r>
      <w:r>
        <w:rPr>
          <w:rFonts w:ascii="Arial" w:hAnsi="Arial"/>
          <w:i/>
          <w:sz w:val="20"/>
        </w:rPr>
        <w:t>Elder Dempster Lines v Zaki Ishag (The Lycaon) [1983] 2 Lloyd’s Rep. </w:t>
      </w:r>
      <w:r>
        <w:rPr>
          <w:rFonts w:ascii="Arial" w:hAnsi="Arial"/>
          <w:i/>
          <w:spacing w:val="-4"/>
          <w:sz w:val="20"/>
        </w:rPr>
        <w:t>548</w:t>
      </w:r>
      <w:r>
        <w:rPr>
          <w:spacing w:val="-4"/>
          <w:sz w:val="20"/>
        </w:rPr>
        <w:t>.</w:t>
      </w:r>
    </w:p>
    <w:p>
      <w:pPr>
        <w:tabs>
          <w:tab w:pos="705" w:val="left" w:leader="none"/>
        </w:tabs>
        <w:spacing w:before="229"/>
        <w:ind w:left="165" w:right="0" w:firstLine="0"/>
        <w:jc w:val="left"/>
        <w:rPr>
          <w:sz w:val="20"/>
        </w:rPr>
      </w:pPr>
      <w:bookmarkStart w:name="_bookmark962" w:id="964"/>
      <w:bookmarkEnd w:id="964"/>
      <w:r>
        <w:rPr/>
      </w:r>
      <w:hyperlink w:history="true" w:anchor="_bookmark943">
        <w:r>
          <w:rPr>
            <w:color w:val="005DA1"/>
            <w:spacing w:val="-4"/>
            <w:position w:val="5"/>
            <w:sz w:val="14"/>
            <w:u w:val="single" w:color="005DA1"/>
          </w:rPr>
          <w:t>495</w:t>
        </w:r>
      </w:hyperlink>
      <w:r>
        <w:rPr>
          <w:spacing w:val="-4"/>
          <w:position w:val="5"/>
          <w:sz w:val="14"/>
        </w:rPr>
        <w:t>.</w:t>
      </w:r>
      <w:r>
        <w:rPr>
          <w:position w:val="5"/>
          <w:sz w:val="14"/>
        </w:rPr>
        <w:tab/>
      </w:r>
      <w:r>
        <w:rPr>
          <w:sz w:val="20"/>
        </w:rPr>
        <w:t>As in</w:t>
      </w:r>
      <w:r>
        <w:rPr>
          <w:spacing w:val="-1"/>
          <w:sz w:val="20"/>
        </w:rPr>
        <w:t> </w:t>
      </w:r>
      <w:r>
        <w:rPr>
          <w:rFonts w:ascii="Arial"/>
          <w:i/>
          <w:sz w:val="20"/>
        </w:rPr>
        <w:t>Re Stapleton-Bretherton [1941] Ch. </w:t>
      </w:r>
      <w:r>
        <w:rPr>
          <w:rFonts w:ascii="Arial"/>
          <w:i/>
          <w:spacing w:val="-4"/>
          <w:sz w:val="20"/>
        </w:rPr>
        <w:t>482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63" w:id="965"/>
      <w:bookmarkEnd w:id="965"/>
      <w:r>
        <w:rPr/>
      </w:r>
      <w:hyperlink w:history="true" w:anchor="_bookmark944">
        <w:r>
          <w:rPr>
            <w:color w:val="005DA1"/>
            <w:spacing w:val="-4"/>
            <w:position w:val="5"/>
            <w:sz w:val="14"/>
            <w:u w:val="single" w:color="005DA1"/>
          </w:rPr>
          <w:t>496</w:t>
        </w:r>
      </w:hyperlink>
      <w:r>
        <w:rPr>
          <w:spacing w:val="-4"/>
          <w:position w:val="5"/>
          <w:sz w:val="14"/>
        </w:rPr>
        <w:t>.</w:t>
      </w:r>
      <w:r>
        <w:rPr>
          <w:position w:val="5"/>
          <w:sz w:val="14"/>
        </w:rPr>
        <w:tab/>
      </w:r>
      <w:r>
        <w:rPr>
          <w:rFonts w:ascii="Arial"/>
          <w:i/>
          <w:sz w:val="20"/>
        </w:rPr>
        <w:t>[1967]</w:t>
      </w:r>
      <w:r>
        <w:rPr>
          <w:rFonts w:ascii="Arial"/>
          <w:i/>
          <w:spacing w:val="-2"/>
          <w:sz w:val="20"/>
        </w:rPr>
        <w:t> </w:t>
      </w:r>
      <w:r>
        <w:rPr>
          <w:rFonts w:ascii="Arial"/>
          <w:i/>
          <w:sz w:val="20"/>
        </w:rPr>
        <w:t>A.L.R. </w:t>
      </w:r>
      <w:r>
        <w:rPr>
          <w:rFonts w:ascii="Arial"/>
          <w:i/>
          <w:spacing w:val="-4"/>
          <w:sz w:val="20"/>
        </w:rPr>
        <w:t>385</w:t>
      </w:r>
      <w:r>
        <w:rPr>
          <w:spacing w:val="-4"/>
          <w:sz w:val="20"/>
        </w:rPr>
        <w:t>.</w:t>
      </w:r>
    </w:p>
    <w:p>
      <w:pPr>
        <w:pStyle w:val="BodyText"/>
        <w:spacing w:before="9"/>
      </w:pPr>
    </w:p>
    <w:p>
      <w:pPr>
        <w:pStyle w:val="BodyText"/>
        <w:spacing w:line="235" w:lineRule="auto"/>
        <w:ind w:left="705" w:right="167" w:hanging="541"/>
        <w:jc w:val="both"/>
      </w:pPr>
      <w:bookmarkStart w:name="_bookmark964" w:id="966"/>
      <w:bookmarkEnd w:id="966"/>
      <w:r>
        <w:rPr/>
      </w:r>
      <w:hyperlink w:history="true" w:anchor="_bookmark945">
        <w:r>
          <w:rPr>
            <w:color w:val="005DA1"/>
            <w:position w:val="5"/>
            <w:sz w:val="14"/>
            <w:u w:val="single" w:color="005DA1"/>
          </w:rPr>
          <w:t>497</w:t>
        </w:r>
      </w:hyperlink>
      <w:r>
        <w:rPr>
          <w:position w:val="5"/>
          <w:sz w:val="14"/>
        </w:rPr>
        <w:t>.</w:t>
      </w:r>
      <w:r>
        <w:rPr>
          <w:spacing w:val="80"/>
          <w:w w:val="150"/>
          <w:position w:val="5"/>
          <w:sz w:val="14"/>
        </w:rPr>
        <w:t> </w:t>
      </w:r>
      <w:r>
        <w:rPr/>
        <w:t>Similar reasoning forms the ground of the Court of Appeal’s decision in </w:t>
      </w:r>
      <w:r>
        <w:rPr>
          <w:rFonts w:ascii="Arial" w:hAnsi="Arial"/>
          <w:i/>
        </w:rPr>
        <w:t>The Bulk Chile [2013] EWCA Civ 184, [2013] 2 Lloyd’s Rep. 38 </w:t>
      </w:r>
      <w:r>
        <w:rPr/>
        <w:t>(above, n.468) at [25] where Tomlinson L.J. (with whom Toulson and Pill L.JJ. agreed) said that the third party was the promisee’s agent to receive</w:t>
      </w:r>
      <w:r>
        <w:rPr>
          <w:spacing w:val="-1"/>
        </w:rPr>
        <w:t> </w:t>
      </w:r>
      <w:r>
        <w:rPr/>
        <w:t>the</w:t>
      </w:r>
      <w:r>
        <w:rPr>
          <w:spacing w:val="-1"/>
        </w:rPr>
        <w:t> </w:t>
      </w:r>
      <w:r>
        <w:rPr/>
        <w:t>payment</w:t>
      </w:r>
      <w:r>
        <w:rPr>
          <w:spacing w:val="-1"/>
        </w:rPr>
        <w:t> </w:t>
      </w:r>
      <w:r>
        <w:rPr/>
        <w:t>and</w:t>
      </w:r>
      <w:r>
        <w:rPr>
          <w:spacing w:val="-1"/>
        </w:rPr>
        <w:t> </w:t>
      </w:r>
      <w:r>
        <w:rPr/>
        <w:t>that</w:t>
      </w:r>
      <w:r>
        <w:rPr>
          <w:spacing w:val="-1"/>
        </w:rPr>
        <w:t> </w:t>
      </w:r>
      <w:r>
        <w:rPr/>
        <w:t>there</w:t>
      </w:r>
      <w:r>
        <w:rPr>
          <w:spacing w:val="-1"/>
        </w:rPr>
        <w:t> </w:t>
      </w:r>
      <w:r>
        <w:rPr/>
        <w:t>was</w:t>
      </w:r>
      <w:r>
        <w:rPr>
          <w:spacing w:val="-1"/>
        </w:rPr>
        <w:t> </w:t>
      </w:r>
      <w:r>
        <w:rPr/>
        <w:t>nothing</w:t>
      </w:r>
      <w:r>
        <w:rPr>
          <w:spacing w:val="-1"/>
        </w:rPr>
        <w:t> </w:t>
      </w:r>
      <w:r>
        <w:rPr/>
        <w:t>in</w:t>
      </w:r>
      <w:r>
        <w:rPr>
          <w:spacing w:val="-1"/>
        </w:rPr>
        <w:t> </w:t>
      </w:r>
      <w:r>
        <w:rPr/>
        <w:t>the</w:t>
      </w:r>
      <w:r>
        <w:rPr>
          <w:spacing w:val="-1"/>
        </w:rPr>
        <w:t> </w:t>
      </w:r>
      <w:r>
        <w:rPr/>
        <w:t>contract</w:t>
      </w:r>
      <w:r>
        <w:rPr>
          <w:spacing w:val="-1"/>
        </w:rPr>
        <w:t> </w:t>
      </w:r>
      <w:r>
        <w:rPr/>
        <w:t>between</w:t>
      </w:r>
      <w:r>
        <w:rPr>
          <w:spacing w:val="-1"/>
        </w:rPr>
        <w:t> </w:t>
      </w:r>
      <w:r>
        <w:rPr/>
        <w:t>promisor</w:t>
      </w:r>
      <w:r>
        <w:rPr>
          <w:spacing w:val="-1"/>
        </w:rPr>
        <w:t> </w:t>
      </w:r>
      <w:r>
        <w:rPr/>
        <w:t>and</w:t>
      </w:r>
      <w:r>
        <w:rPr>
          <w:spacing w:val="-1"/>
        </w:rPr>
        <w:t> </w:t>
      </w:r>
      <w:r>
        <w:rPr/>
        <w:t>promisee “to</w:t>
      </w:r>
      <w:r>
        <w:rPr>
          <w:spacing w:val="-2"/>
        </w:rPr>
        <w:t> </w:t>
      </w:r>
      <w:r>
        <w:rPr/>
        <w:t>preclude</w:t>
      </w:r>
      <w:r>
        <w:rPr>
          <w:spacing w:val="-2"/>
        </w:rPr>
        <w:t> </w:t>
      </w:r>
      <w:r>
        <w:rPr/>
        <w:t>the</w:t>
      </w:r>
      <w:r>
        <w:rPr>
          <w:spacing w:val="-2"/>
        </w:rPr>
        <w:t> </w:t>
      </w:r>
      <w:r>
        <w:rPr/>
        <w:t>promisee</w:t>
      </w:r>
      <w:r>
        <w:rPr>
          <w:spacing w:val="-2"/>
        </w:rPr>
        <w:t> </w:t>
      </w:r>
      <w:r>
        <w:rPr/>
        <w:t>from</w:t>
      </w:r>
      <w:r>
        <w:rPr>
          <w:spacing w:val="-2"/>
        </w:rPr>
        <w:t> </w:t>
      </w:r>
      <w:r>
        <w:rPr/>
        <w:t>cancelling</w:t>
      </w:r>
      <w:r>
        <w:rPr>
          <w:spacing w:val="-2"/>
        </w:rPr>
        <w:t> </w:t>
      </w:r>
      <w:r>
        <w:rPr/>
        <w:t>the</w:t>
      </w:r>
      <w:r>
        <w:rPr>
          <w:spacing w:val="-2"/>
        </w:rPr>
        <w:t> </w:t>
      </w:r>
      <w:r>
        <w:rPr/>
        <w:t>nominated</w:t>
      </w:r>
      <w:r>
        <w:rPr>
          <w:spacing w:val="-2"/>
        </w:rPr>
        <w:t> </w:t>
      </w:r>
      <w:r>
        <w:rPr/>
        <w:t>agent’s</w:t>
      </w:r>
      <w:r>
        <w:rPr>
          <w:spacing w:val="-2"/>
        </w:rPr>
        <w:t> </w:t>
      </w:r>
      <w:r>
        <w:rPr/>
        <w:t>authority</w:t>
      </w:r>
      <w:r>
        <w:rPr>
          <w:spacing w:val="-2"/>
        </w:rPr>
        <w:t> </w:t>
      </w:r>
      <w:r>
        <w:rPr/>
        <w:t>to</w:t>
      </w:r>
      <w:r>
        <w:rPr>
          <w:spacing w:val="-2"/>
        </w:rPr>
        <w:t> </w:t>
      </w:r>
      <w:r>
        <w:rPr/>
        <w:t>act</w:t>
      </w:r>
      <w:r>
        <w:rPr>
          <w:spacing w:val="-2"/>
        </w:rPr>
        <w:t> </w:t>
      </w:r>
      <w:r>
        <w:rPr/>
        <w:t>on</w:t>
      </w:r>
      <w:r>
        <w:rPr>
          <w:spacing w:val="-2"/>
        </w:rPr>
        <w:t> </w:t>
      </w:r>
      <w:r>
        <w:rPr/>
        <w:t>his</w:t>
      </w:r>
      <w:r>
        <w:rPr>
          <w:spacing w:val="-2"/>
        </w:rPr>
        <w:t> </w:t>
      </w:r>
      <w:r>
        <w:rPr/>
        <w:t>behalf</w:t>
      </w:r>
      <w:r>
        <w:rPr>
          <w:spacing w:val="-2"/>
        </w:rPr>
        <w:t> </w:t>
      </w:r>
      <w:r>
        <w:rPr/>
        <w:t>in receiving the [payment] … and requiring it to be made to himself”.</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965" w:id="967"/>
      <w:bookmarkEnd w:id="967"/>
      <w:r>
        <w:rPr/>
      </w:r>
      <w:hyperlink w:history="true" w:anchor="_bookmark946">
        <w:r>
          <w:rPr>
            <w:color w:val="005DA1"/>
            <w:spacing w:val="-4"/>
            <w:position w:val="5"/>
            <w:sz w:val="14"/>
            <w:u w:val="single" w:color="005DA1"/>
          </w:rPr>
          <w:t>498</w:t>
        </w:r>
      </w:hyperlink>
      <w:r>
        <w:rPr>
          <w:spacing w:val="-4"/>
          <w:position w:val="5"/>
          <w:sz w:val="14"/>
        </w:rPr>
        <w:t>.</w:t>
      </w:r>
      <w:r>
        <w:rPr>
          <w:position w:val="5"/>
          <w:sz w:val="14"/>
        </w:rPr>
        <w:tab/>
      </w:r>
      <w:r>
        <w:rPr>
          <w:rFonts w:ascii="Arial" w:hAnsi="Arial"/>
          <w:i/>
          <w:sz w:val="20"/>
        </w:rPr>
        <w:t>Thavorn</w:t>
      </w:r>
      <w:r>
        <w:rPr>
          <w:rFonts w:ascii="Arial" w:hAnsi="Arial"/>
          <w:i/>
          <w:spacing w:val="25"/>
          <w:sz w:val="20"/>
        </w:rPr>
        <w:t> </w:t>
      </w:r>
      <w:r>
        <w:rPr>
          <w:rFonts w:ascii="Arial" w:hAnsi="Arial"/>
          <w:i/>
          <w:sz w:val="20"/>
        </w:rPr>
        <w:t>v</w:t>
      </w:r>
      <w:r>
        <w:rPr>
          <w:rFonts w:ascii="Arial" w:hAnsi="Arial"/>
          <w:i/>
          <w:spacing w:val="28"/>
          <w:sz w:val="20"/>
        </w:rPr>
        <w:t> </w:t>
      </w:r>
      <w:r>
        <w:rPr>
          <w:rFonts w:ascii="Arial" w:hAnsi="Arial"/>
          <w:i/>
          <w:sz w:val="20"/>
        </w:rPr>
        <w:t>Bank</w:t>
      </w:r>
      <w:r>
        <w:rPr>
          <w:rFonts w:ascii="Arial" w:hAnsi="Arial"/>
          <w:i/>
          <w:spacing w:val="28"/>
          <w:sz w:val="20"/>
        </w:rPr>
        <w:t> </w:t>
      </w:r>
      <w:r>
        <w:rPr>
          <w:rFonts w:ascii="Arial" w:hAnsi="Arial"/>
          <w:i/>
          <w:sz w:val="20"/>
        </w:rPr>
        <w:t>of</w:t>
      </w:r>
      <w:r>
        <w:rPr>
          <w:rFonts w:ascii="Arial" w:hAnsi="Arial"/>
          <w:i/>
          <w:spacing w:val="28"/>
          <w:sz w:val="20"/>
        </w:rPr>
        <w:t> </w:t>
      </w:r>
      <w:r>
        <w:rPr>
          <w:rFonts w:ascii="Arial" w:hAnsi="Arial"/>
          <w:i/>
          <w:sz w:val="20"/>
        </w:rPr>
        <w:t>Credit</w:t>
      </w:r>
      <w:r>
        <w:rPr>
          <w:rFonts w:ascii="Arial" w:hAnsi="Arial"/>
          <w:i/>
          <w:spacing w:val="28"/>
          <w:sz w:val="20"/>
        </w:rPr>
        <w:t> </w:t>
      </w:r>
      <w:r>
        <w:rPr>
          <w:rFonts w:ascii="Arial" w:hAnsi="Arial"/>
          <w:i/>
          <w:sz w:val="20"/>
        </w:rPr>
        <w:t>&amp;</w:t>
      </w:r>
      <w:r>
        <w:rPr>
          <w:rFonts w:ascii="Arial" w:hAnsi="Arial"/>
          <w:i/>
          <w:spacing w:val="28"/>
          <w:sz w:val="20"/>
        </w:rPr>
        <w:t> </w:t>
      </w:r>
      <w:r>
        <w:rPr>
          <w:rFonts w:ascii="Arial" w:hAnsi="Arial"/>
          <w:i/>
          <w:sz w:val="20"/>
        </w:rPr>
        <w:t>Commerce</w:t>
      </w:r>
      <w:r>
        <w:rPr>
          <w:rFonts w:ascii="Arial" w:hAnsi="Arial"/>
          <w:i/>
          <w:spacing w:val="28"/>
          <w:sz w:val="20"/>
        </w:rPr>
        <w:t> </w:t>
      </w:r>
      <w:r>
        <w:rPr>
          <w:rFonts w:ascii="Arial" w:hAnsi="Arial"/>
          <w:i/>
          <w:sz w:val="20"/>
        </w:rPr>
        <w:t>SA</w:t>
      </w:r>
      <w:r>
        <w:rPr>
          <w:rFonts w:ascii="Arial" w:hAnsi="Arial"/>
          <w:i/>
          <w:spacing w:val="28"/>
          <w:sz w:val="20"/>
        </w:rPr>
        <w:t> </w:t>
      </w:r>
      <w:r>
        <w:rPr>
          <w:rFonts w:ascii="Arial" w:hAnsi="Arial"/>
          <w:i/>
          <w:sz w:val="20"/>
        </w:rPr>
        <w:t>[1985]</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Lloyd’s</w:t>
      </w:r>
      <w:r>
        <w:rPr>
          <w:rFonts w:ascii="Arial" w:hAnsi="Arial"/>
          <w:i/>
          <w:spacing w:val="28"/>
          <w:sz w:val="20"/>
        </w:rPr>
        <w:t> </w:t>
      </w:r>
      <w:r>
        <w:rPr>
          <w:rFonts w:ascii="Arial" w:hAnsi="Arial"/>
          <w:i/>
          <w:sz w:val="20"/>
        </w:rPr>
        <w:t>Rep.</w:t>
      </w:r>
      <w:r>
        <w:rPr>
          <w:rFonts w:ascii="Arial" w:hAnsi="Arial"/>
          <w:i/>
          <w:spacing w:val="28"/>
          <w:sz w:val="20"/>
        </w:rPr>
        <w:t> </w:t>
      </w:r>
      <w:r>
        <w:rPr>
          <w:rFonts w:ascii="Arial" w:hAnsi="Arial"/>
          <w:i/>
          <w:sz w:val="20"/>
        </w:rPr>
        <w:t>259</w:t>
      </w:r>
      <w:r>
        <w:rPr>
          <w:sz w:val="20"/>
        </w:rPr>
        <w:t>;</w:t>
      </w:r>
      <w:r>
        <w:rPr>
          <w:spacing w:val="28"/>
          <w:sz w:val="20"/>
        </w:rPr>
        <w:t> </w:t>
      </w:r>
      <w:r>
        <w:rPr>
          <w:rFonts w:ascii="Arial" w:hAnsi="Arial"/>
          <w:i/>
          <w:sz w:val="20"/>
        </w:rPr>
        <w:t>The</w:t>
      </w:r>
      <w:r>
        <w:rPr>
          <w:rFonts w:ascii="Arial" w:hAnsi="Arial"/>
          <w:i/>
          <w:spacing w:val="28"/>
          <w:sz w:val="20"/>
        </w:rPr>
        <w:t> </w:t>
      </w:r>
      <w:r>
        <w:rPr>
          <w:rFonts w:ascii="Arial" w:hAnsi="Arial"/>
          <w:i/>
          <w:sz w:val="20"/>
        </w:rPr>
        <w:t>Turridu</w:t>
      </w:r>
      <w:r>
        <w:rPr>
          <w:rFonts w:ascii="Arial" w:hAnsi="Arial"/>
          <w:i/>
          <w:spacing w:val="28"/>
          <w:sz w:val="20"/>
        </w:rPr>
        <w:t> </w:t>
      </w:r>
      <w:r>
        <w:rPr>
          <w:rFonts w:ascii="Arial" w:hAnsi="Arial"/>
          <w:i/>
          <w:sz w:val="20"/>
        </w:rPr>
        <w:t>[1999]</w:t>
      </w:r>
      <w:r>
        <w:rPr>
          <w:rFonts w:ascii="Arial" w:hAnsi="Arial"/>
          <w:i/>
          <w:spacing w:val="28"/>
          <w:sz w:val="20"/>
        </w:rPr>
        <w:t> </w:t>
      </w:r>
      <w:r>
        <w:rPr>
          <w:rFonts w:ascii="Arial" w:hAnsi="Arial"/>
          <w:i/>
          <w:spacing w:val="-10"/>
          <w:sz w:val="20"/>
        </w:rPr>
        <w:t>2</w:t>
      </w:r>
    </w:p>
    <w:p>
      <w:pPr>
        <w:spacing w:line="227" w:lineRule="exact" w:before="0"/>
        <w:ind w:left="705"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401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66" w:id="968"/>
      <w:bookmarkEnd w:id="968"/>
      <w:r>
        <w:rPr/>
      </w:r>
      <w:hyperlink w:history="true" w:anchor="_bookmark947">
        <w:r>
          <w:rPr>
            <w:color w:val="005DA1"/>
            <w:spacing w:val="-4"/>
            <w:position w:val="5"/>
            <w:sz w:val="14"/>
            <w:u w:val="single" w:color="005DA1"/>
          </w:rPr>
          <w:t>499</w:t>
        </w:r>
      </w:hyperlink>
      <w:r>
        <w:rPr>
          <w:spacing w:val="-4"/>
          <w:position w:val="5"/>
          <w:sz w:val="14"/>
        </w:rPr>
        <w:t>.</w:t>
      </w:r>
      <w:r>
        <w:rPr>
          <w:position w:val="5"/>
          <w:sz w:val="14"/>
        </w:rPr>
        <w:tab/>
      </w:r>
      <w:r>
        <w:rPr>
          <w:rFonts w:ascii="Arial"/>
          <w:i/>
          <w:sz w:val="20"/>
        </w:rPr>
        <w:t>Beswick</w:t>
      </w:r>
      <w:r>
        <w:rPr>
          <w:rFonts w:ascii="Arial"/>
          <w:i/>
          <w:spacing w:val="-1"/>
          <w:sz w:val="20"/>
        </w:rPr>
        <w:t> </w:t>
      </w:r>
      <w:r>
        <w:rPr>
          <w:rFonts w:ascii="Arial"/>
          <w:i/>
          <w:sz w:val="20"/>
        </w:rPr>
        <w:t>v Beswick [1966] Ch. at 557</w:t>
      </w:r>
      <w:r>
        <w:rPr>
          <w:sz w:val="20"/>
        </w:rPr>
        <w:t>; </w:t>
      </w:r>
      <w:r>
        <w:rPr>
          <w:rFonts w:ascii="Arial"/>
          <w:i/>
          <w:sz w:val="20"/>
        </w:rPr>
        <w:t>Gurtner v Circuit [1968] 2 Q.B. 587, </w:t>
      </w:r>
      <w:r>
        <w:rPr>
          <w:rFonts w:ascii="Arial"/>
          <w:i/>
          <w:spacing w:val="-4"/>
          <w:sz w:val="20"/>
        </w:rPr>
        <w:t>596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67" w:id="969"/>
      <w:bookmarkEnd w:id="969"/>
      <w:r>
        <w:rPr/>
      </w:r>
      <w:hyperlink w:history="true" w:anchor="_bookmark948">
        <w:r>
          <w:rPr>
            <w:color w:val="005DA1"/>
            <w:spacing w:val="-4"/>
            <w:position w:val="5"/>
            <w:sz w:val="14"/>
            <w:u w:val="single" w:color="005DA1"/>
          </w:rPr>
          <w:t>500</w:t>
        </w:r>
      </w:hyperlink>
      <w:r>
        <w:rPr>
          <w:spacing w:val="-4"/>
          <w:position w:val="5"/>
          <w:sz w:val="14"/>
        </w:rPr>
        <w:t>.</w:t>
      </w:r>
      <w:r>
        <w:rPr>
          <w:position w:val="5"/>
          <w:sz w:val="14"/>
        </w:rPr>
        <w:tab/>
      </w:r>
      <w:r>
        <w:rPr>
          <w:rFonts w:ascii="Arial"/>
          <w:i/>
          <w:sz w:val="20"/>
        </w:rPr>
        <w:t>Gurtner v Circuit [1968] 2 Q.B. 587</w:t>
      </w:r>
      <w:r>
        <w:rPr>
          <w:rFonts w:ascii="Arial"/>
          <w:i/>
          <w:spacing w:val="-1"/>
          <w:sz w:val="20"/>
        </w:rPr>
        <w:t> </w:t>
      </w:r>
      <w:r>
        <w:rPr>
          <w:sz w:val="20"/>
        </w:rPr>
        <w:t>at 599, </w:t>
      </w:r>
      <w:r>
        <w:rPr>
          <w:spacing w:val="-4"/>
          <w:sz w:val="20"/>
        </w:rPr>
        <w:t>606.</w:t>
      </w:r>
    </w:p>
    <w:p>
      <w:pPr>
        <w:pStyle w:val="BodyText"/>
        <w:spacing w:before="5"/>
      </w:pPr>
    </w:p>
    <w:p>
      <w:pPr>
        <w:tabs>
          <w:tab w:pos="705" w:val="left" w:leader="none"/>
        </w:tabs>
        <w:spacing w:before="0"/>
        <w:ind w:left="165" w:right="0" w:firstLine="0"/>
        <w:jc w:val="left"/>
        <w:rPr>
          <w:sz w:val="20"/>
        </w:rPr>
      </w:pPr>
      <w:bookmarkStart w:name="_bookmark968" w:id="970"/>
      <w:bookmarkEnd w:id="970"/>
      <w:r>
        <w:rPr/>
      </w:r>
      <w:hyperlink w:history="true" w:anchor="_bookmark949">
        <w:r>
          <w:rPr>
            <w:color w:val="005DA1"/>
            <w:spacing w:val="-4"/>
            <w:position w:val="5"/>
            <w:sz w:val="14"/>
            <w:u w:val="single" w:color="005DA1"/>
          </w:rPr>
          <w:t>501</w:t>
        </w:r>
      </w:hyperlink>
      <w:r>
        <w:rPr>
          <w:spacing w:val="-4"/>
          <w:position w:val="5"/>
          <w:sz w:val="14"/>
        </w:rPr>
        <w:t>.</w:t>
      </w:r>
      <w:r>
        <w:rPr>
          <w:position w:val="5"/>
          <w:sz w:val="14"/>
        </w:rPr>
        <w:tab/>
      </w:r>
      <w:r>
        <w:rPr>
          <w:sz w:val="20"/>
        </w:rPr>
        <w:t>Above, para.18-</w:t>
      </w:r>
      <w:r>
        <w:rPr>
          <w:spacing w:val="-4"/>
          <w:sz w:val="20"/>
        </w:rPr>
        <w:t>022.</w:t>
      </w:r>
    </w:p>
    <w:p>
      <w:pPr>
        <w:pStyle w:val="BodyText"/>
        <w:spacing w:before="5"/>
      </w:pPr>
    </w:p>
    <w:p>
      <w:pPr>
        <w:pStyle w:val="BodyText"/>
        <w:tabs>
          <w:tab w:pos="705" w:val="left" w:leader="none"/>
        </w:tabs>
        <w:ind w:left="165"/>
      </w:pPr>
      <w:bookmarkStart w:name="_bookmark969" w:id="971"/>
      <w:bookmarkEnd w:id="971"/>
      <w:r>
        <w:rPr/>
      </w:r>
      <w:hyperlink w:history="true" w:anchor="_bookmark950">
        <w:r>
          <w:rPr>
            <w:color w:val="005DA1"/>
            <w:spacing w:val="-4"/>
            <w:position w:val="5"/>
            <w:sz w:val="14"/>
            <w:u w:val="single" w:color="005DA1"/>
          </w:rPr>
          <w:t>502</w:t>
        </w:r>
      </w:hyperlink>
      <w:r>
        <w:rPr>
          <w:spacing w:val="-4"/>
          <w:position w:val="5"/>
          <w:sz w:val="14"/>
        </w:rPr>
        <w:t>.</w:t>
      </w:r>
      <w:r>
        <w:rPr>
          <w:position w:val="5"/>
          <w:sz w:val="14"/>
        </w:rPr>
        <w:tab/>
      </w:r>
      <w:r>
        <w:rPr/>
        <w:t>Below, paras 18-080-18-</w:t>
      </w:r>
      <w:r>
        <w:rPr>
          <w:spacing w:val="-4"/>
        </w:rPr>
        <w:t>088.</w:t>
      </w:r>
    </w:p>
    <w:p>
      <w:pPr>
        <w:pStyle w:val="BodyText"/>
        <w:spacing w:before="5"/>
      </w:pPr>
    </w:p>
    <w:p>
      <w:pPr>
        <w:tabs>
          <w:tab w:pos="705" w:val="left" w:leader="none"/>
        </w:tabs>
        <w:spacing w:before="0"/>
        <w:ind w:left="165" w:right="0" w:firstLine="0"/>
        <w:jc w:val="left"/>
        <w:rPr>
          <w:rFonts w:ascii="Arial"/>
          <w:i/>
          <w:sz w:val="20"/>
        </w:rPr>
      </w:pPr>
      <w:bookmarkStart w:name="_bookmark970" w:id="972"/>
      <w:bookmarkEnd w:id="972"/>
      <w:r>
        <w:rPr/>
      </w:r>
      <w:hyperlink w:history="true" w:anchor="_bookmark951">
        <w:r>
          <w:rPr>
            <w:color w:val="005DA1"/>
            <w:spacing w:val="-4"/>
            <w:position w:val="5"/>
            <w:sz w:val="14"/>
            <w:u w:val="single" w:color="005DA1"/>
          </w:rPr>
          <w:t>503</w:t>
        </w:r>
      </w:hyperlink>
      <w:r>
        <w:rPr>
          <w:spacing w:val="-4"/>
          <w:position w:val="5"/>
          <w:sz w:val="14"/>
        </w:rPr>
        <w:t>.</w:t>
      </w:r>
      <w:r>
        <w:rPr>
          <w:position w:val="5"/>
          <w:sz w:val="14"/>
        </w:rPr>
        <w:tab/>
      </w:r>
      <w:r>
        <w:rPr>
          <w:rFonts w:ascii="Arial"/>
          <w:i/>
          <w:sz w:val="20"/>
        </w:rPr>
        <w:t>Hunt</w:t>
      </w:r>
      <w:r>
        <w:rPr>
          <w:rFonts w:ascii="Arial"/>
          <w:i/>
          <w:spacing w:val="17"/>
          <w:sz w:val="20"/>
        </w:rPr>
        <w:t> </w:t>
      </w:r>
      <w:r>
        <w:rPr>
          <w:rFonts w:ascii="Arial"/>
          <w:i/>
          <w:sz w:val="20"/>
        </w:rPr>
        <w:t>v</w:t>
      </w:r>
      <w:r>
        <w:rPr>
          <w:rFonts w:ascii="Arial"/>
          <w:i/>
          <w:spacing w:val="17"/>
          <w:sz w:val="20"/>
        </w:rPr>
        <w:t> </w:t>
      </w:r>
      <w:r>
        <w:rPr>
          <w:rFonts w:ascii="Arial"/>
          <w:i/>
          <w:sz w:val="20"/>
        </w:rPr>
        <w:t>Severs</w:t>
      </w:r>
      <w:r>
        <w:rPr>
          <w:rFonts w:ascii="Arial"/>
          <w:i/>
          <w:spacing w:val="17"/>
          <w:sz w:val="20"/>
        </w:rPr>
        <w:t> </w:t>
      </w:r>
      <w:r>
        <w:rPr>
          <w:rFonts w:ascii="Arial"/>
          <w:i/>
          <w:sz w:val="20"/>
        </w:rPr>
        <w:t>[1994]</w:t>
      </w:r>
      <w:r>
        <w:rPr>
          <w:rFonts w:ascii="Arial"/>
          <w:i/>
          <w:spacing w:val="17"/>
          <w:sz w:val="20"/>
        </w:rPr>
        <w:t> </w:t>
      </w:r>
      <w:r>
        <w:rPr>
          <w:rFonts w:ascii="Arial"/>
          <w:i/>
          <w:sz w:val="20"/>
        </w:rPr>
        <w:t>2</w:t>
      </w:r>
      <w:r>
        <w:rPr>
          <w:rFonts w:ascii="Arial"/>
          <w:i/>
          <w:spacing w:val="17"/>
          <w:sz w:val="20"/>
        </w:rPr>
        <w:t> </w:t>
      </w:r>
      <w:r>
        <w:rPr>
          <w:rFonts w:ascii="Arial"/>
          <w:i/>
          <w:sz w:val="20"/>
        </w:rPr>
        <w:t>A.C.</w:t>
      </w:r>
      <w:r>
        <w:rPr>
          <w:rFonts w:ascii="Arial"/>
          <w:i/>
          <w:spacing w:val="17"/>
          <w:sz w:val="20"/>
        </w:rPr>
        <w:t> </w:t>
      </w:r>
      <w:r>
        <w:rPr>
          <w:rFonts w:ascii="Arial"/>
          <w:i/>
          <w:sz w:val="20"/>
        </w:rPr>
        <w:t>350,</w:t>
      </w:r>
      <w:r>
        <w:rPr>
          <w:rFonts w:ascii="Arial"/>
          <w:i/>
          <w:spacing w:val="17"/>
          <w:sz w:val="20"/>
        </w:rPr>
        <w:t> </w:t>
      </w:r>
      <w:r>
        <w:rPr>
          <w:rFonts w:ascii="Arial"/>
          <w:i/>
          <w:sz w:val="20"/>
        </w:rPr>
        <w:t>363</w:t>
      </w:r>
      <w:r>
        <w:rPr>
          <w:rFonts w:ascii="Arial"/>
          <w:i/>
          <w:spacing w:val="17"/>
          <w:sz w:val="20"/>
        </w:rPr>
        <w:t> </w:t>
      </w:r>
      <w:r>
        <w:rPr>
          <w:sz w:val="20"/>
        </w:rPr>
        <w:t>following</w:t>
      </w:r>
      <w:r>
        <w:rPr>
          <w:spacing w:val="17"/>
          <w:sz w:val="20"/>
        </w:rPr>
        <w:t> </w:t>
      </w:r>
      <w:r>
        <w:rPr>
          <w:rFonts w:ascii="Arial"/>
          <w:i/>
          <w:sz w:val="20"/>
        </w:rPr>
        <w:t>Cunningham</w:t>
      </w:r>
      <w:r>
        <w:rPr>
          <w:rFonts w:ascii="Arial"/>
          <w:i/>
          <w:spacing w:val="17"/>
          <w:sz w:val="20"/>
        </w:rPr>
        <w:t> </w:t>
      </w:r>
      <w:r>
        <w:rPr>
          <w:rFonts w:ascii="Arial"/>
          <w:i/>
          <w:sz w:val="20"/>
        </w:rPr>
        <w:t>v</w:t>
      </w:r>
      <w:r>
        <w:rPr>
          <w:rFonts w:ascii="Arial"/>
          <w:i/>
          <w:spacing w:val="17"/>
          <w:sz w:val="20"/>
        </w:rPr>
        <w:t> </w:t>
      </w:r>
      <w:r>
        <w:rPr>
          <w:rFonts w:ascii="Arial"/>
          <w:i/>
          <w:sz w:val="20"/>
        </w:rPr>
        <w:t>Harrison</w:t>
      </w:r>
      <w:r>
        <w:rPr>
          <w:rFonts w:ascii="Arial"/>
          <w:i/>
          <w:spacing w:val="17"/>
          <w:sz w:val="20"/>
        </w:rPr>
        <w:t> </w:t>
      </w:r>
      <w:r>
        <w:rPr>
          <w:rFonts w:ascii="Arial"/>
          <w:i/>
          <w:sz w:val="20"/>
        </w:rPr>
        <w:t>[1973]</w:t>
      </w:r>
      <w:r>
        <w:rPr>
          <w:rFonts w:ascii="Arial"/>
          <w:i/>
          <w:spacing w:val="17"/>
          <w:sz w:val="20"/>
        </w:rPr>
        <w:t> </w:t>
      </w:r>
      <w:r>
        <w:rPr>
          <w:rFonts w:ascii="Arial"/>
          <w:i/>
          <w:sz w:val="20"/>
        </w:rPr>
        <w:t>Q.B.</w:t>
      </w:r>
      <w:r>
        <w:rPr>
          <w:rFonts w:ascii="Arial"/>
          <w:i/>
          <w:spacing w:val="17"/>
          <w:sz w:val="20"/>
        </w:rPr>
        <w:t> </w:t>
      </w:r>
      <w:r>
        <w:rPr>
          <w:rFonts w:ascii="Arial"/>
          <w:i/>
          <w:sz w:val="20"/>
        </w:rPr>
        <w:t>942,</w:t>
      </w:r>
      <w:r>
        <w:rPr>
          <w:rFonts w:ascii="Arial"/>
          <w:i/>
          <w:spacing w:val="17"/>
          <w:sz w:val="20"/>
        </w:rPr>
        <w:t> </w:t>
      </w:r>
      <w:r>
        <w:rPr>
          <w:rFonts w:ascii="Arial"/>
          <w:i/>
          <w:spacing w:val="-5"/>
          <w:sz w:val="20"/>
        </w:rPr>
        <w:t>952</w:t>
      </w:r>
    </w:p>
    <w:p>
      <w:pPr>
        <w:spacing w:after="0"/>
        <w:jc w:val="left"/>
        <w:rPr>
          <w:rFonts w:ascii="Arial"/>
          <w:i/>
          <w:sz w:val="20"/>
        </w:rPr>
        <w:sectPr>
          <w:pgSz w:w="11900" w:h="16840"/>
          <w:pgMar w:header="971" w:footer="0" w:top="1160" w:bottom="280" w:left="1275" w:right="1275"/>
        </w:sectPr>
      </w:pPr>
    </w:p>
    <w:p>
      <w:pPr>
        <w:pStyle w:val="BodyText"/>
        <w:spacing w:before="24"/>
        <w:rPr>
          <w:rFonts w:ascii="Arial"/>
          <w:i/>
        </w:rPr>
      </w:pPr>
    </w:p>
    <w:p>
      <w:pPr>
        <w:spacing w:line="235" w:lineRule="auto" w:before="1"/>
        <w:ind w:left="705" w:right="168" w:firstLine="0"/>
        <w:jc w:val="both"/>
        <w:rPr>
          <w:sz w:val="20"/>
        </w:rPr>
      </w:pPr>
      <w:r>
        <w:rPr>
          <w:sz w:val="20"/>
        </w:rPr>
        <w:t>and rejecting the contrary view in </w:t>
      </w:r>
      <w:r>
        <w:rPr>
          <w:rFonts w:ascii="Arial" w:hAnsi="Arial"/>
          <w:i/>
          <w:sz w:val="20"/>
        </w:rPr>
        <w:t>Donelly v Joyce [1974] Q.B. 454, 461–462</w:t>
      </w:r>
      <w:r>
        <w:rPr>
          <w:sz w:val="20"/>
        </w:rPr>
        <w:t>. cf. </w:t>
      </w:r>
      <w:r>
        <w:rPr>
          <w:rFonts w:ascii="Arial" w:hAnsi="Arial"/>
          <w:i/>
          <w:sz w:val="20"/>
        </w:rPr>
        <w:t>Allen v </w:t>
      </w:r>
      <w:r>
        <w:rPr>
          <w:rFonts w:ascii="Arial" w:hAnsi="Arial"/>
          <w:i/>
          <w:sz w:val="20"/>
        </w:rPr>
        <w:t>Waters [1935]</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K.B.</w:t>
      </w:r>
      <w:r>
        <w:rPr>
          <w:rFonts w:ascii="Arial" w:hAnsi="Arial"/>
          <w:i/>
          <w:spacing w:val="5"/>
          <w:sz w:val="20"/>
        </w:rPr>
        <w:t> </w:t>
      </w:r>
      <w:r>
        <w:rPr>
          <w:rFonts w:ascii="Arial" w:hAnsi="Arial"/>
          <w:i/>
          <w:sz w:val="20"/>
        </w:rPr>
        <w:t>200</w:t>
      </w:r>
      <w:r>
        <w:rPr>
          <w:rFonts w:ascii="Arial" w:hAnsi="Arial"/>
          <w:i/>
          <w:spacing w:val="5"/>
          <w:sz w:val="20"/>
        </w:rPr>
        <w:t> </w:t>
      </w:r>
      <w:r>
        <w:rPr>
          <w:sz w:val="20"/>
        </w:rPr>
        <w:t>and</w:t>
      </w:r>
      <w:r>
        <w:rPr>
          <w:spacing w:val="5"/>
          <w:sz w:val="20"/>
        </w:rPr>
        <w:t> </w:t>
      </w:r>
      <w:r>
        <w:rPr>
          <w:rFonts w:ascii="Arial" w:hAnsi="Arial"/>
          <w:i/>
          <w:sz w:val="20"/>
        </w:rPr>
        <w:t>Dennis</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L.P.T.B.</w:t>
      </w:r>
      <w:r>
        <w:rPr>
          <w:rFonts w:ascii="Arial" w:hAnsi="Arial"/>
          <w:i/>
          <w:spacing w:val="5"/>
          <w:sz w:val="20"/>
        </w:rPr>
        <w:t> </w:t>
      </w:r>
      <w:r>
        <w:rPr>
          <w:rFonts w:ascii="Arial" w:hAnsi="Arial"/>
          <w:i/>
          <w:sz w:val="20"/>
        </w:rPr>
        <w:t>[1948]</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All</w:t>
      </w:r>
      <w:r>
        <w:rPr>
          <w:rFonts w:ascii="Arial" w:hAnsi="Arial"/>
          <w:i/>
          <w:spacing w:val="5"/>
          <w:sz w:val="20"/>
        </w:rPr>
        <w:t> </w:t>
      </w:r>
      <w:r>
        <w:rPr>
          <w:rFonts w:ascii="Arial" w:hAnsi="Arial"/>
          <w:i/>
          <w:sz w:val="20"/>
        </w:rPr>
        <w:t>E.R.</w:t>
      </w:r>
      <w:r>
        <w:rPr>
          <w:rFonts w:ascii="Arial" w:hAnsi="Arial"/>
          <w:i/>
          <w:spacing w:val="5"/>
          <w:sz w:val="20"/>
        </w:rPr>
        <w:t> </w:t>
      </w:r>
      <w:r>
        <w:rPr>
          <w:rFonts w:ascii="Arial" w:hAnsi="Arial"/>
          <w:i/>
          <w:sz w:val="20"/>
        </w:rPr>
        <w:t>779</w:t>
      </w:r>
      <w:r>
        <w:rPr>
          <w:rFonts w:ascii="Arial" w:hAnsi="Arial"/>
          <w:i/>
          <w:spacing w:val="5"/>
          <w:sz w:val="20"/>
        </w:rPr>
        <w:t> </w:t>
      </w:r>
      <w:r>
        <w:rPr>
          <w:sz w:val="20"/>
        </w:rPr>
        <w:t>as</w:t>
      </w:r>
      <w:r>
        <w:rPr>
          <w:spacing w:val="5"/>
          <w:sz w:val="20"/>
        </w:rPr>
        <w:t> </w:t>
      </w:r>
      <w:r>
        <w:rPr>
          <w:sz w:val="20"/>
        </w:rPr>
        <w:t>explained</w:t>
      </w:r>
      <w:r>
        <w:rPr>
          <w:spacing w:val="5"/>
          <w:sz w:val="20"/>
        </w:rPr>
        <w:t> </w:t>
      </w:r>
      <w:r>
        <w:rPr>
          <w:sz w:val="20"/>
        </w:rPr>
        <w:t>in</w:t>
      </w:r>
      <w:r>
        <w:rPr>
          <w:spacing w:val="5"/>
          <w:sz w:val="20"/>
        </w:rPr>
        <w:t> </w:t>
      </w:r>
      <w:r>
        <w:rPr>
          <w:sz w:val="20"/>
        </w:rPr>
        <w:t>(1956)</w:t>
      </w:r>
      <w:r>
        <w:rPr>
          <w:spacing w:val="5"/>
          <w:sz w:val="20"/>
        </w:rPr>
        <w:t> </w:t>
      </w:r>
      <w:r>
        <w:rPr>
          <w:sz w:val="20"/>
        </w:rPr>
        <w:t>72</w:t>
      </w:r>
      <w:r>
        <w:rPr>
          <w:spacing w:val="5"/>
          <w:sz w:val="20"/>
        </w:rPr>
        <w:t> </w:t>
      </w:r>
      <w:r>
        <w:rPr>
          <w:spacing w:val="-2"/>
          <w:sz w:val="20"/>
        </w:rPr>
        <w:t>L.Q.R.</w:t>
      </w:r>
    </w:p>
    <w:p>
      <w:pPr>
        <w:spacing w:line="235" w:lineRule="auto" w:before="0"/>
        <w:ind w:left="705" w:right="167" w:firstLine="0"/>
        <w:jc w:val="both"/>
        <w:rPr>
          <w:sz w:val="20"/>
        </w:rPr>
      </w:pPr>
      <w:r>
        <w:rPr>
          <w:sz w:val="20"/>
        </w:rPr>
        <w:t>187; </w:t>
      </w:r>
      <w:r>
        <w:rPr>
          <w:rFonts w:ascii="Arial"/>
          <w:i/>
          <w:sz w:val="20"/>
        </w:rPr>
        <w:t>Lowe v Guise [2002] EWCA Civ 197; [2002] 3 All E.R. 454 </w:t>
      </w:r>
      <w:r>
        <w:rPr>
          <w:sz w:val="20"/>
        </w:rPr>
        <w:t>at [38]; </w:t>
      </w:r>
      <w:r>
        <w:rPr>
          <w:rFonts w:ascii="Arial"/>
          <w:i/>
          <w:sz w:val="20"/>
        </w:rPr>
        <w:t>Robertson v Wait</w:t>
      </w:r>
      <w:r>
        <w:rPr>
          <w:rFonts w:ascii="Arial"/>
          <w:i/>
          <w:spacing w:val="40"/>
          <w:sz w:val="20"/>
        </w:rPr>
        <w:t> </w:t>
      </w:r>
      <w:r>
        <w:rPr>
          <w:rFonts w:ascii="Arial"/>
          <w:i/>
          <w:sz w:val="20"/>
        </w:rPr>
        <w:t>(1853) 8 Exch. 299</w:t>
      </w:r>
      <w:r>
        <w:rPr>
          <w:sz w:val="20"/>
        </w:rPr>
        <w:t>. For further problems which may arise where the person who provides the nursing or other services in respect of which damages are claimed is also the tortfeasor (e.g. where tortfeasor and victim are members of the same family involved in the same motor accident) see </w:t>
      </w:r>
      <w:r>
        <w:rPr>
          <w:rFonts w:ascii="Arial"/>
          <w:i/>
          <w:sz w:val="20"/>
        </w:rPr>
        <w:t>Hayden v Hayden [1992] 1 W.L.R. 986 </w:t>
      </w:r>
      <w:r>
        <w:rPr>
          <w:sz w:val="20"/>
        </w:rPr>
        <w:t>and </w:t>
      </w:r>
      <w:r>
        <w:rPr>
          <w:rFonts w:ascii="Arial"/>
          <w:i/>
          <w:sz w:val="20"/>
        </w:rPr>
        <w:t>Hunt v Severs [1994] 2 A.C. 350</w:t>
      </w:r>
      <w:r>
        <w:rPr>
          <w:sz w:val="20"/>
        </w:rPr>
        <w:t>, holding</w:t>
      </w:r>
      <w:r>
        <w:rPr>
          <w:spacing w:val="-2"/>
          <w:sz w:val="20"/>
        </w:rPr>
        <w:t> </w:t>
      </w:r>
      <w:r>
        <w:rPr>
          <w:sz w:val="20"/>
        </w:rPr>
        <w:t>that</w:t>
      </w:r>
      <w:r>
        <w:rPr>
          <w:spacing w:val="-2"/>
          <w:sz w:val="20"/>
        </w:rPr>
        <w:t> </w:t>
      </w:r>
      <w:r>
        <w:rPr>
          <w:sz w:val="20"/>
        </w:rPr>
        <w:t>in</w:t>
      </w:r>
      <w:r>
        <w:rPr>
          <w:spacing w:val="-2"/>
          <w:sz w:val="20"/>
        </w:rPr>
        <w:t> </w:t>
      </w:r>
      <w:r>
        <w:rPr>
          <w:sz w:val="20"/>
        </w:rPr>
        <w:t>such</w:t>
      </w:r>
      <w:r>
        <w:rPr>
          <w:spacing w:val="-2"/>
          <w:sz w:val="20"/>
        </w:rPr>
        <w:t> </w:t>
      </w:r>
      <w:r>
        <w:rPr>
          <w:sz w:val="20"/>
        </w:rPr>
        <w:t>circumstances</w:t>
      </w:r>
      <w:r>
        <w:rPr>
          <w:spacing w:val="-2"/>
          <w:sz w:val="20"/>
        </w:rPr>
        <w:t> </w:t>
      </w:r>
      <w:r>
        <w:rPr>
          <w:sz w:val="20"/>
        </w:rPr>
        <w:t>the</w:t>
      </w:r>
      <w:r>
        <w:rPr>
          <w:spacing w:val="-2"/>
          <w:sz w:val="20"/>
        </w:rPr>
        <w:t> </w:t>
      </w:r>
      <w:r>
        <w:rPr>
          <w:sz w:val="20"/>
        </w:rPr>
        <w:t>claimant</w:t>
      </w:r>
      <w:r>
        <w:rPr>
          <w:spacing w:val="-2"/>
          <w:sz w:val="20"/>
        </w:rPr>
        <w:t> </w:t>
      </w:r>
      <w:r>
        <w:rPr>
          <w:sz w:val="20"/>
        </w:rPr>
        <w:t>cannot</w:t>
      </w:r>
      <w:r>
        <w:rPr>
          <w:spacing w:val="-2"/>
          <w:sz w:val="20"/>
        </w:rPr>
        <w:t> </w:t>
      </w:r>
      <w:r>
        <w:rPr>
          <w:sz w:val="20"/>
        </w:rPr>
        <w:t>recover</w:t>
      </w:r>
      <w:r>
        <w:rPr>
          <w:spacing w:val="-2"/>
          <w:sz w:val="20"/>
        </w:rPr>
        <w:t> </w:t>
      </w:r>
      <w:r>
        <w:rPr>
          <w:sz w:val="20"/>
        </w:rPr>
        <w:t>damages</w:t>
      </w:r>
      <w:r>
        <w:rPr>
          <w:spacing w:val="-2"/>
          <w:sz w:val="20"/>
        </w:rPr>
        <w:t> </w:t>
      </w:r>
      <w:r>
        <w:rPr>
          <w:sz w:val="20"/>
        </w:rPr>
        <w:t>in</w:t>
      </w:r>
      <w:r>
        <w:rPr>
          <w:spacing w:val="-2"/>
          <w:sz w:val="20"/>
        </w:rPr>
        <w:t> </w:t>
      </w:r>
      <w:r>
        <w:rPr>
          <w:sz w:val="20"/>
        </w:rPr>
        <w:t>respect</w:t>
      </w:r>
      <w:r>
        <w:rPr>
          <w:spacing w:val="-2"/>
          <w:sz w:val="20"/>
        </w:rPr>
        <w:t> </w:t>
      </w:r>
      <w:r>
        <w:rPr>
          <w:sz w:val="20"/>
        </w:rPr>
        <w:t>of</w:t>
      </w:r>
      <w:r>
        <w:rPr>
          <w:spacing w:val="-2"/>
          <w:sz w:val="20"/>
        </w:rPr>
        <w:t> </w:t>
      </w:r>
      <w:r>
        <w:rPr>
          <w:sz w:val="20"/>
        </w:rPr>
        <w:t>the</w:t>
      </w:r>
      <w:r>
        <w:rPr>
          <w:spacing w:val="-2"/>
          <w:sz w:val="20"/>
        </w:rPr>
        <w:t> </w:t>
      </w:r>
      <w:r>
        <w:rPr>
          <w:sz w:val="20"/>
        </w:rPr>
        <w:t>value of services voluntarily rendered by the tortfeasor himself.</w:t>
      </w:r>
    </w:p>
    <w:p>
      <w:pPr>
        <w:pStyle w:val="BodyText"/>
        <w:spacing w:before="6"/>
      </w:pPr>
    </w:p>
    <w:p>
      <w:pPr>
        <w:spacing w:line="235" w:lineRule="auto" w:before="0"/>
        <w:ind w:left="705" w:right="167" w:hanging="541"/>
        <w:jc w:val="both"/>
        <w:rPr>
          <w:sz w:val="20"/>
        </w:rPr>
      </w:pPr>
      <w:bookmarkStart w:name="_bookmark971" w:id="973"/>
      <w:bookmarkEnd w:id="973"/>
      <w:r>
        <w:rPr/>
      </w:r>
      <w:hyperlink w:history="true" w:anchor="_bookmark952">
        <w:r>
          <w:rPr>
            <w:color w:val="005DA1"/>
            <w:position w:val="5"/>
            <w:sz w:val="14"/>
            <w:u w:val="single" w:color="005DA1"/>
          </w:rPr>
          <w:t>504</w:t>
        </w:r>
      </w:hyperlink>
      <w:r>
        <w:rPr>
          <w:position w:val="5"/>
          <w:sz w:val="14"/>
        </w:rPr>
        <w:t>.</w:t>
      </w:r>
      <w:r>
        <w:rPr>
          <w:spacing w:val="80"/>
          <w:position w:val="5"/>
          <w:sz w:val="14"/>
        </w:rPr>
        <w:t>  </w:t>
      </w:r>
      <w:r>
        <w:rPr>
          <w:sz w:val="20"/>
        </w:rPr>
        <w:t>See, e.g. </w:t>
      </w:r>
      <w:r>
        <w:rPr>
          <w:rFonts w:ascii="Arial"/>
          <w:i/>
          <w:sz w:val="20"/>
        </w:rPr>
        <w:t>Albacruz (Cargo Owners) v Albazero (Owners) (The Albazero) [1977] A.C. 774, 842 </w:t>
      </w:r>
      <w:r>
        <w:rPr>
          <w:sz w:val="20"/>
        </w:rPr>
        <w:t>and other authorities cited in para.18-054, above; and cf. </w:t>
      </w:r>
      <w:r>
        <w:rPr>
          <w:rFonts w:ascii="Arial"/>
          <w:i/>
          <w:sz w:val="20"/>
        </w:rPr>
        <w:t>Conservative Central Office v </w:t>
      </w:r>
      <w:r>
        <w:rPr>
          <w:rFonts w:ascii="Arial"/>
          <w:i/>
          <w:sz w:val="20"/>
        </w:rPr>
        <w:t>Burrell [1980]</w:t>
      </w:r>
      <w:r>
        <w:rPr>
          <w:rFonts w:ascii="Arial"/>
          <w:i/>
          <w:spacing w:val="11"/>
          <w:sz w:val="20"/>
        </w:rPr>
        <w:t> </w:t>
      </w:r>
      <w:r>
        <w:rPr>
          <w:rFonts w:ascii="Arial"/>
          <w:i/>
          <w:sz w:val="20"/>
        </w:rPr>
        <w:t>3</w:t>
      </w:r>
      <w:r>
        <w:rPr>
          <w:rFonts w:ascii="Arial"/>
          <w:i/>
          <w:spacing w:val="12"/>
          <w:sz w:val="20"/>
        </w:rPr>
        <w:t> </w:t>
      </w:r>
      <w:r>
        <w:rPr>
          <w:rFonts w:ascii="Arial"/>
          <w:i/>
          <w:sz w:val="20"/>
        </w:rPr>
        <w:t>All</w:t>
      </w:r>
      <w:r>
        <w:rPr>
          <w:rFonts w:ascii="Arial"/>
          <w:i/>
          <w:spacing w:val="12"/>
          <w:sz w:val="20"/>
        </w:rPr>
        <w:t> </w:t>
      </w:r>
      <w:r>
        <w:rPr>
          <w:rFonts w:ascii="Arial"/>
          <w:i/>
          <w:sz w:val="20"/>
        </w:rPr>
        <w:t>E.R.</w:t>
      </w:r>
      <w:r>
        <w:rPr>
          <w:rFonts w:ascii="Arial"/>
          <w:i/>
          <w:spacing w:val="12"/>
          <w:sz w:val="20"/>
        </w:rPr>
        <w:t> </w:t>
      </w:r>
      <w:r>
        <w:rPr>
          <w:rFonts w:ascii="Arial"/>
          <w:i/>
          <w:sz w:val="20"/>
        </w:rPr>
        <w:t>43,</w:t>
      </w:r>
      <w:r>
        <w:rPr>
          <w:rFonts w:ascii="Arial"/>
          <w:i/>
          <w:spacing w:val="12"/>
          <w:sz w:val="20"/>
        </w:rPr>
        <w:t> </w:t>
      </w:r>
      <w:r>
        <w:rPr>
          <w:rFonts w:ascii="Arial"/>
          <w:i/>
          <w:sz w:val="20"/>
        </w:rPr>
        <w:t>63</w:t>
      </w:r>
      <w:r>
        <w:rPr>
          <w:sz w:val="20"/>
        </w:rPr>
        <w:t>;</w:t>
      </w:r>
      <w:r>
        <w:rPr>
          <w:spacing w:val="12"/>
          <w:sz w:val="20"/>
        </w:rPr>
        <w:t> </w:t>
      </w:r>
      <w:r>
        <w:rPr>
          <w:sz w:val="20"/>
        </w:rPr>
        <w:t>affirmed</w:t>
      </w:r>
      <w:r>
        <w:rPr>
          <w:spacing w:val="12"/>
          <w:sz w:val="20"/>
        </w:rPr>
        <w:t> </w:t>
      </w:r>
      <w:r>
        <w:rPr>
          <w:sz w:val="20"/>
        </w:rPr>
        <w:t>(without</w:t>
      </w:r>
      <w:r>
        <w:rPr>
          <w:spacing w:val="12"/>
          <w:sz w:val="20"/>
        </w:rPr>
        <w:t> </w:t>
      </w:r>
      <w:r>
        <w:rPr>
          <w:sz w:val="20"/>
        </w:rPr>
        <w:t>any</w:t>
      </w:r>
      <w:r>
        <w:rPr>
          <w:spacing w:val="12"/>
          <w:sz w:val="20"/>
        </w:rPr>
        <w:t> </w:t>
      </w:r>
      <w:r>
        <w:rPr>
          <w:sz w:val="20"/>
        </w:rPr>
        <w:t>reference</w:t>
      </w:r>
      <w:r>
        <w:rPr>
          <w:spacing w:val="12"/>
          <w:sz w:val="20"/>
        </w:rPr>
        <w:t> </w:t>
      </w:r>
      <w:r>
        <w:rPr>
          <w:sz w:val="20"/>
        </w:rPr>
        <w:t>to</w:t>
      </w:r>
      <w:r>
        <w:rPr>
          <w:spacing w:val="11"/>
          <w:sz w:val="20"/>
        </w:rPr>
        <w:t> </w:t>
      </w:r>
      <w:r>
        <w:rPr>
          <w:rFonts w:ascii="Arial"/>
          <w:i/>
          <w:sz w:val="20"/>
        </w:rPr>
        <w:t>Beswick</w:t>
      </w:r>
      <w:r>
        <w:rPr>
          <w:rFonts w:ascii="Arial"/>
          <w:i/>
          <w:spacing w:val="12"/>
          <w:sz w:val="20"/>
        </w:rPr>
        <w:t> </w:t>
      </w:r>
      <w:r>
        <w:rPr>
          <w:rFonts w:ascii="Arial"/>
          <w:i/>
          <w:sz w:val="20"/>
        </w:rPr>
        <w:t>v</w:t>
      </w:r>
      <w:r>
        <w:rPr>
          <w:rFonts w:ascii="Arial"/>
          <w:i/>
          <w:spacing w:val="12"/>
          <w:sz w:val="20"/>
        </w:rPr>
        <w:t> </w:t>
      </w:r>
      <w:r>
        <w:rPr>
          <w:rFonts w:ascii="Arial"/>
          <w:i/>
          <w:sz w:val="20"/>
        </w:rPr>
        <w:t>Beswick</w:t>
      </w:r>
      <w:r>
        <w:rPr>
          <w:rFonts w:ascii="Arial"/>
          <w:i/>
          <w:spacing w:val="12"/>
          <w:sz w:val="20"/>
        </w:rPr>
        <w:t> </w:t>
      </w:r>
      <w:r>
        <w:rPr>
          <w:rFonts w:ascii="Arial"/>
          <w:i/>
          <w:sz w:val="20"/>
        </w:rPr>
        <w:t>[1986]</w:t>
      </w:r>
      <w:r>
        <w:rPr>
          <w:rFonts w:ascii="Arial"/>
          <w:i/>
          <w:spacing w:val="12"/>
          <w:sz w:val="20"/>
        </w:rPr>
        <w:t> </w:t>
      </w:r>
      <w:r>
        <w:rPr>
          <w:rFonts w:ascii="Arial"/>
          <w:i/>
          <w:sz w:val="20"/>
        </w:rPr>
        <w:t>A.C.</w:t>
      </w:r>
      <w:r>
        <w:rPr>
          <w:rFonts w:ascii="Arial"/>
          <w:i/>
          <w:spacing w:val="12"/>
          <w:sz w:val="20"/>
        </w:rPr>
        <w:t> </w:t>
      </w:r>
      <w:r>
        <w:rPr>
          <w:rFonts w:ascii="Arial"/>
          <w:i/>
          <w:spacing w:val="-5"/>
          <w:sz w:val="20"/>
        </w:rPr>
        <w:t>58</w:t>
      </w:r>
      <w:r>
        <w:rPr>
          <w:spacing w:val="-5"/>
          <w:sz w:val="20"/>
        </w:rPr>
        <w:t>)</w:t>
      </w:r>
    </w:p>
    <w:p>
      <w:pPr>
        <w:spacing w:line="223" w:lineRule="exact" w:before="0"/>
        <w:ind w:left="705" w:right="0" w:firstLine="0"/>
        <w:jc w:val="both"/>
        <w:rPr>
          <w:rFonts w:ascii="Arial" w:hAnsi="Arial"/>
          <w:i/>
          <w:sz w:val="20"/>
        </w:rPr>
      </w:pPr>
      <w:r>
        <w:rPr>
          <w:rFonts w:ascii="Arial" w:hAnsi="Arial"/>
          <w:i/>
          <w:sz w:val="20"/>
        </w:rPr>
        <w:t>[1982]</w:t>
      </w:r>
      <w:r>
        <w:rPr>
          <w:rFonts w:ascii="Arial" w:hAnsi="Arial"/>
          <w:i/>
          <w:spacing w:val="4"/>
          <w:sz w:val="20"/>
        </w:rPr>
        <w:t> </w:t>
      </w:r>
      <w:r>
        <w:rPr>
          <w:rFonts w:ascii="Arial" w:hAnsi="Arial"/>
          <w:i/>
          <w:sz w:val="20"/>
        </w:rPr>
        <w:t>1</w:t>
      </w:r>
      <w:r>
        <w:rPr>
          <w:rFonts w:ascii="Arial" w:hAnsi="Arial"/>
          <w:i/>
          <w:spacing w:val="5"/>
          <w:sz w:val="20"/>
        </w:rPr>
        <w:t> </w:t>
      </w:r>
      <w:r>
        <w:rPr>
          <w:rFonts w:ascii="Arial" w:hAnsi="Arial"/>
          <w:i/>
          <w:sz w:val="20"/>
        </w:rPr>
        <w:t>W.L.R.</w:t>
      </w:r>
      <w:r>
        <w:rPr>
          <w:rFonts w:ascii="Arial" w:hAnsi="Arial"/>
          <w:i/>
          <w:spacing w:val="5"/>
          <w:sz w:val="20"/>
        </w:rPr>
        <w:t> </w:t>
      </w:r>
      <w:r>
        <w:rPr>
          <w:rFonts w:ascii="Arial" w:hAnsi="Arial"/>
          <w:i/>
          <w:sz w:val="20"/>
        </w:rPr>
        <w:t>522</w:t>
      </w:r>
      <w:r>
        <w:rPr>
          <w:sz w:val="20"/>
        </w:rPr>
        <w:t>;</w:t>
      </w:r>
      <w:r>
        <w:rPr>
          <w:spacing w:val="5"/>
          <w:sz w:val="20"/>
        </w:rPr>
        <w:t> </w:t>
      </w:r>
      <w:r>
        <w:rPr>
          <w:rFonts w:ascii="Arial" w:hAnsi="Arial"/>
          <w:i/>
          <w:sz w:val="20"/>
        </w:rPr>
        <w:t>O’Sullivan</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Williams</w:t>
      </w:r>
      <w:r>
        <w:rPr>
          <w:rFonts w:ascii="Arial" w:hAnsi="Arial"/>
          <w:i/>
          <w:spacing w:val="5"/>
          <w:sz w:val="20"/>
        </w:rPr>
        <w:t> </w:t>
      </w:r>
      <w:r>
        <w:rPr>
          <w:rFonts w:ascii="Arial" w:hAnsi="Arial"/>
          <w:i/>
          <w:sz w:val="20"/>
        </w:rPr>
        <w:t>[1992]</w:t>
      </w:r>
      <w:r>
        <w:rPr>
          <w:rFonts w:ascii="Arial" w:hAnsi="Arial"/>
          <w:i/>
          <w:spacing w:val="4"/>
          <w:sz w:val="20"/>
        </w:rPr>
        <w:t> </w:t>
      </w:r>
      <w:r>
        <w:rPr>
          <w:rFonts w:ascii="Arial" w:hAnsi="Arial"/>
          <w:i/>
          <w:sz w:val="20"/>
        </w:rPr>
        <w:t>3</w:t>
      </w:r>
      <w:r>
        <w:rPr>
          <w:rFonts w:ascii="Arial" w:hAnsi="Arial"/>
          <w:i/>
          <w:spacing w:val="5"/>
          <w:sz w:val="20"/>
        </w:rPr>
        <w:t> </w:t>
      </w:r>
      <w:r>
        <w:rPr>
          <w:rFonts w:ascii="Arial" w:hAnsi="Arial"/>
          <w:i/>
          <w:sz w:val="20"/>
        </w:rPr>
        <w:t>All</w:t>
      </w:r>
      <w:r>
        <w:rPr>
          <w:rFonts w:ascii="Arial" w:hAnsi="Arial"/>
          <w:i/>
          <w:spacing w:val="5"/>
          <w:sz w:val="20"/>
        </w:rPr>
        <w:t> </w:t>
      </w:r>
      <w:r>
        <w:rPr>
          <w:rFonts w:ascii="Arial" w:hAnsi="Arial"/>
          <w:i/>
          <w:sz w:val="20"/>
        </w:rPr>
        <w:t>E.R.</w:t>
      </w:r>
      <w:r>
        <w:rPr>
          <w:rFonts w:ascii="Arial" w:hAnsi="Arial"/>
          <w:i/>
          <w:spacing w:val="5"/>
          <w:sz w:val="20"/>
        </w:rPr>
        <w:t> </w:t>
      </w:r>
      <w:r>
        <w:rPr>
          <w:rFonts w:ascii="Arial" w:hAnsi="Arial"/>
          <w:i/>
          <w:sz w:val="20"/>
        </w:rPr>
        <w:t>385,</w:t>
      </w:r>
      <w:r>
        <w:rPr>
          <w:rFonts w:ascii="Arial" w:hAnsi="Arial"/>
          <w:i/>
          <w:spacing w:val="5"/>
          <w:sz w:val="20"/>
        </w:rPr>
        <w:t> </w:t>
      </w:r>
      <w:r>
        <w:rPr>
          <w:rFonts w:ascii="Arial" w:hAnsi="Arial"/>
          <w:i/>
          <w:sz w:val="20"/>
        </w:rPr>
        <w:t>387</w:t>
      </w:r>
      <w:r>
        <w:rPr>
          <w:sz w:val="20"/>
        </w:rPr>
        <w:t>,</w:t>
      </w:r>
      <w:r>
        <w:rPr>
          <w:spacing w:val="5"/>
          <w:sz w:val="20"/>
        </w:rPr>
        <w:t> </w:t>
      </w:r>
      <w:r>
        <w:rPr>
          <w:sz w:val="20"/>
        </w:rPr>
        <w:t>discussing</w:t>
      </w:r>
      <w:r>
        <w:rPr>
          <w:spacing w:val="5"/>
          <w:sz w:val="20"/>
        </w:rPr>
        <w:t> </w:t>
      </w:r>
      <w:r>
        <w:rPr>
          <w:rFonts w:ascii="Arial" w:hAnsi="Arial"/>
          <w:i/>
          <w:sz w:val="20"/>
        </w:rPr>
        <w:t>The</w:t>
      </w:r>
      <w:r>
        <w:rPr>
          <w:rFonts w:ascii="Arial" w:hAnsi="Arial"/>
          <w:i/>
          <w:spacing w:val="5"/>
          <w:sz w:val="20"/>
        </w:rPr>
        <w:t> </w:t>
      </w:r>
      <w:r>
        <w:rPr>
          <w:rFonts w:ascii="Arial" w:hAnsi="Arial"/>
          <w:i/>
          <w:spacing w:val="-2"/>
          <w:sz w:val="20"/>
        </w:rPr>
        <w:t>Winkfield</w:t>
      </w:r>
    </w:p>
    <w:p>
      <w:pPr>
        <w:spacing w:line="235" w:lineRule="auto" w:before="2"/>
        <w:ind w:left="705" w:right="168" w:firstLine="0"/>
        <w:jc w:val="both"/>
        <w:rPr>
          <w:rFonts w:ascii="Arial"/>
          <w:i/>
          <w:sz w:val="20"/>
        </w:rPr>
      </w:pPr>
      <w:r>
        <w:rPr>
          <w:rFonts w:ascii="Arial"/>
          <w:i/>
          <w:sz w:val="20"/>
        </w:rPr>
        <w:t>[1902] P. 42</w:t>
      </w:r>
      <w:r>
        <w:rPr>
          <w:sz w:val="20"/>
        </w:rPr>
        <w:t>; </w:t>
      </w:r>
      <w:r>
        <w:rPr>
          <w:rFonts w:ascii="Arial"/>
          <w:i/>
          <w:sz w:val="20"/>
        </w:rPr>
        <w:t>Linden Gardens case [1994] 1 A.C. 85</w:t>
      </w:r>
      <w:r>
        <w:rPr>
          <w:sz w:val="20"/>
        </w:rPr>
        <w:t>, above, para.18-055; </w:t>
      </w:r>
      <w:r>
        <w:rPr>
          <w:rFonts w:ascii="Arial"/>
          <w:i/>
          <w:sz w:val="20"/>
        </w:rPr>
        <w:t>John Harris Partnership</w:t>
      </w:r>
      <w:r>
        <w:rPr>
          <w:rFonts w:ascii="Arial"/>
          <w:i/>
          <w:spacing w:val="-1"/>
          <w:sz w:val="20"/>
        </w:rPr>
        <w:t> </w:t>
      </w:r>
      <w:r>
        <w:rPr>
          <w:rFonts w:ascii="Arial"/>
          <w:i/>
          <w:sz w:val="20"/>
        </w:rPr>
        <w:t>v</w:t>
      </w:r>
      <w:r>
        <w:rPr>
          <w:rFonts w:ascii="Arial"/>
          <w:i/>
          <w:spacing w:val="-1"/>
          <w:sz w:val="20"/>
        </w:rPr>
        <w:t> </w:t>
      </w:r>
      <w:r>
        <w:rPr>
          <w:rFonts w:ascii="Arial"/>
          <w:i/>
          <w:sz w:val="20"/>
        </w:rPr>
        <w:t>Groveworld</w:t>
      </w:r>
      <w:r>
        <w:rPr>
          <w:rFonts w:ascii="Arial"/>
          <w:i/>
          <w:spacing w:val="-1"/>
          <w:sz w:val="20"/>
        </w:rPr>
        <w:t> </w:t>
      </w:r>
      <w:r>
        <w:rPr>
          <w:rFonts w:ascii="Arial"/>
          <w:i/>
          <w:sz w:val="20"/>
        </w:rPr>
        <w:t>Ltd</w:t>
      </w:r>
      <w:r>
        <w:rPr>
          <w:rFonts w:ascii="Arial"/>
          <w:i/>
          <w:spacing w:val="-1"/>
          <w:sz w:val="20"/>
        </w:rPr>
        <w:t> </w:t>
      </w:r>
      <w:r>
        <w:rPr>
          <w:rFonts w:ascii="Arial"/>
          <w:i/>
          <w:sz w:val="20"/>
        </w:rPr>
        <w:t>[1999]</w:t>
      </w:r>
      <w:r>
        <w:rPr>
          <w:rFonts w:ascii="Arial"/>
          <w:i/>
          <w:spacing w:val="-1"/>
          <w:sz w:val="20"/>
        </w:rPr>
        <w:t> </w:t>
      </w:r>
      <w:r>
        <w:rPr>
          <w:rFonts w:ascii="Arial"/>
          <w:i/>
          <w:sz w:val="20"/>
        </w:rPr>
        <w:t>P.N.L.R.</w:t>
      </w:r>
      <w:r>
        <w:rPr>
          <w:rFonts w:ascii="Arial"/>
          <w:i/>
          <w:spacing w:val="-1"/>
          <w:sz w:val="20"/>
        </w:rPr>
        <w:t> </w:t>
      </w:r>
      <w:r>
        <w:rPr>
          <w:rFonts w:ascii="Arial"/>
          <w:i/>
          <w:sz w:val="20"/>
        </w:rPr>
        <w:t>697</w:t>
      </w:r>
      <w:r>
        <w:rPr>
          <w:sz w:val="20"/>
        </w:rPr>
        <w:t>;</w:t>
      </w:r>
      <w:r>
        <w:rPr>
          <w:spacing w:val="-1"/>
          <w:sz w:val="20"/>
        </w:rPr>
        <w:t> </w:t>
      </w:r>
      <w:r>
        <w:rPr>
          <w:rFonts w:ascii="Arial"/>
          <w:i/>
          <w:sz w:val="20"/>
        </w:rPr>
        <w:t>Marquess</w:t>
      </w:r>
      <w:r>
        <w:rPr>
          <w:rFonts w:ascii="Arial"/>
          <w:i/>
          <w:spacing w:val="-1"/>
          <w:sz w:val="20"/>
        </w:rPr>
        <w:t> </w:t>
      </w:r>
      <w:r>
        <w:rPr>
          <w:rFonts w:ascii="Arial"/>
          <w:i/>
          <w:sz w:val="20"/>
        </w:rPr>
        <w:t>of</w:t>
      </w:r>
      <w:r>
        <w:rPr>
          <w:rFonts w:ascii="Arial"/>
          <w:i/>
          <w:spacing w:val="-1"/>
          <w:sz w:val="20"/>
        </w:rPr>
        <w:t> </w:t>
      </w:r>
      <w:r>
        <w:rPr>
          <w:rFonts w:ascii="Arial"/>
          <w:i/>
          <w:sz w:val="20"/>
        </w:rPr>
        <w:t>Aberdeen</w:t>
      </w:r>
      <w:r>
        <w:rPr>
          <w:rFonts w:ascii="Arial"/>
          <w:i/>
          <w:spacing w:val="-1"/>
          <w:sz w:val="20"/>
        </w:rPr>
        <w:t> </w:t>
      </w:r>
      <w:r>
        <w:rPr>
          <w:rFonts w:ascii="Arial"/>
          <w:i/>
          <w:sz w:val="20"/>
        </w:rPr>
        <w:t>and</w:t>
      </w:r>
      <w:r>
        <w:rPr>
          <w:rFonts w:ascii="Arial"/>
          <w:i/>
          <w:spacing w:val="-1"/>
          <w:sz w:val="20"/>
        </w:rPr>
        <w:t> </w:t>
      </w:r>
      <w:r>
        <w:rPr>
          <w:rFonts w:ascii="Arial"/>
          <w:i/>
          <w:sz w:val="20"/>
        </w:rPr>
        <w:t>Temair</w:t>
      </w:r>
      <w:r>
        <w:rPr>
          <w:rFonts w:ascii="Arial"/>
          <w:i/>
          <w:spacing w:val="-1"/>
          <w:sz w:val="20"/>
        </w:rPr>
        <w:t> </w:t>
      </w:r>
      <w:r>
        <w:rPr>
          <w:rFonts w:ascii="Arial"/>
          <w:i/>
          <w:sz w:val="20"/>
        </w:rPr>
        <w:t>v</w:t>
      </w:r>
      <w:r>
        <w:rPr>
          <w:rFonts w:ascii="Arial"/>
          <w:i/>
          <w:spacing w:val="-1"/>
          <w:sz w:val="20"/>
        </w:rPr>
        <w:t> </w:t>
      </w:r>
      <w:r>
        <w:rPr>
          <w:rFonts w:ascii="Arial"/>
          <w:i/>
          <w:sz w:val="20"/>
        </w:rPr>
        <w:t>Turcan Connell</w:t>
      </w:r>
      <w:r>
        <w:rPr>
          <w:rFonts w:ascii="Arial"/>
          <w:i/>
          <w:spacing w:val="39"/>
          <w:sz w:val="20"/>
        </w:rPr>
        <w:t> </w:t>
      </w:r>
      <w:r>
        <w:rPr>
          <w:rFonts w:ascii="Arial"/>
          <w:i/>
          <w:sz w:val="20"/>
        </w:rPr>
        <w:t>[2008]</w:t>
      </w:r>
      <w:r>
        <w:rPr>
          <w:rFonts w:ascii="Arial"/>
          <w:i/>
          <w:spacing w:val="39"/>
          <w:sz w:val="20"/>
        </w:rPr>
        <w:t> </w:t>
      </w:r>
      <w:r>
        <w:rPr>
          <w:rFonts w:ascii="Arial"/>
          <w:i/>
          <w:sz w:val="20"/>
        </w:rPr>
        <w:t>CSOH</w:t>
      </w:r>
      <w:r>
        <w:rPr>
          <w:rFonts w:ascii="Arial"/>
          <w:i/>
          <w:spacing w:val="39"/>
          <w:sz w:val="20"/>
        </w:rPr>
        <w:t> </w:t>
      </w:r>
      <w:r>
        <w:rPr>
          <w:rFonts w:ascii="Arial"/>
          <w:i/>
          <w:sz w:val="20"/>
        </w:rPr>
        <w:t>183,</w:t>
      </w:r>
      <w:r>
        <w:rPr>
          <w:rFonts w:ascii="Arial"/>
          <w:i/>
          <w:spacing w:val="39"/>
          <w:sz w:val="20"/>
        </w:rPr>
        <w:t> </w:t>
      </w:r>
      <w:r>
        <w:rPr>
          <w:rFonts w:ascii="Arial"/>
          <w:i/>
          <w:sz w:val="20"/>
        </w:rPr>
        <w:t>[2009]</w:t>
      </w:r>
      <w:r>
        <w:rPr>
          <w:rFonts w:ascii="Arial"/>
          <w:i/>
          <w:spacing w:val="39"/>
          <w:sz w:val="20"/>
        </w:rPr>
        <w:t> </w:t>
      </w:r>
      <w:r>
        <w:rPr>
          <w:rFonts w:ascii="Arial"/>
          <w:i/>
          <w:sz w:val="20"/>
        </w:rPr>
        <w:t>P.N.L.R.</w:t>
      </w:r>
      <w:r>
        <w:rPr>
          <w:rFonts w:ascii="Arial"/>
          <w:i/>
          <w:spacing w:val="39"/>
          <w:sz w:val="20"/>
        </w:rPr>
        <w:t> </w:t>
      </w:r>
      <w:r>
        <w:rPr>
          <w:rFonts w:ascii="Arial"/>
          <w:i/>
          <w:sz w:val="20"/>
        </w:rPr>
        <w:t>18</w:t>
      </w:r>
      <w:r>
        <w:rPr>
          <w:rFonts w:ascii="Arial"/>
          <w:i/>
          <w:spacing w:val="38"/>
          <w:sz w:val="20"/>
        </w:rPr>
        <w:t> </w:t>
      </w:r>
      <w:r>
        <w:rPr>
          <w:sz w:val="20"/>
        </w:rPr>
        <w:t>at</w:t>
      </w:r>
      <w:r>
        <w:rPr>
          <w:spacing w:val="39"/>
          <w:sz w:val="20"/>
        </w:rPr>
        <w:t> </w:t>
      </w:r>
      <w:r>
        <w:rPr>
          <w:sz w:val="20"/>
        </w:rPr>
        <w:t>[45];</w:t>
      </w:r>
      <w:r>
        <w:rPr>
          <w:spacing w:val="39"/>
          <w:sz w:val="20"/>
        </w:rPr>
        <w:t> </w:t>
      </w:r>
      <w:r>
        <w:rPr>
          <w:rFonts w:ascii="Arial"/>
          <w:i/>
          <w:sz w:val="20"/>
        </w:rPr>
        <w:t>Shell</w:t>
      </w:r>
      <w:r>
        <w:rPr>
          <w:rFonts w:ascii="Arial"/>
          <w:i/>
          <w:spacing w:val="39"/>
          <w:sz w:val="20"/>
        </w:rPr>
        <w:t> </w:t>
      </w:r>
      <w:r>
        <w:rPr>
          <w:rFonts w:ascii="Arial"/>
          <w:i/>
          <w:sz w:val="20"/>
        </w:rPr>
        <w:t>UK</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Total</w:t>
      </w:r>
      <w:r>
        <w:rPr>
          <w:rFonts w:ascii="Arial"/>
          <w:i/>
          <w:spacing w:val="39"/>
          <w:sz w:val="20"/>
        </w:rPr>
        <w:t> </w:t>
      </w:r>
      <w:r>
        <w:rPr>
          <w:rFonts w:ascii="Arial"/>
          <w:i/>
          <w:sz w:val="20"/>
        </w:rPr>
        <w:t>UK</w:t>
      </w:r>
      <w:r>
        <w:rPr>
          <w:rFonts w:ascii="Arial"/>
          <w:i/>
          <w:spacing w:val="39"/>
          <w:sz w:val="20"/>
        </w:rPr>
        <w:t> </w:t>
      </w:r>
      <w:r>
        <w:rPr>
          <w:rFonts w:ascii="Arial"/>
          <w:i/>
          <w:sz w:val="20"/>
        </w:rPr>
        <w:t>Ltd</w:t>
      </w:r>
      <w:r>
        <w:rPr>
          <w:rFonts w:ascii="Arial"/>
          <w:i/>
          <w:spacing w:val="39"/>
          <w:sz w:val="20"/>
        </w:rPr>
        <w:t> </w:t>
      </w:r>
      <w:r>
        <w:rPr>
          <w:rFonts w:ascii="Arial"/>
          <w:i/>
          <w:spacing w:val="-2"/>
          <w:sz w:val="20"/>
        </w:rPr>
        <w:t>[2010]</w:t>
      </w:r>
    </w:p>
    <w:p>
      <w:pPr>
        <w:pStyle w:val="BodyText"/>
        <w:spacing w:line="235" w:lineRule="auto"/>
        <w:ind w:left="705" w:right="169"/>
        <w:jc w:val="both"/>
      </w:pPr>
      <w:r>
        <w:rPr>
          <w:rFonts w:ascii="Arial" w:hAnsi="Arial"/>
          <w:i/>
        </w:rPr>
        <w:t>EWCA Civ 180, [2011] 1 Q.B. 86 </w:t>
      </w:r>
      <w:r>
        <w:rPr/>
        <w:t>at [144], quoted in para.18-054 n.336 above; Carriage </w:t>
      </w:r>
      <w:r>
        <w:rPr/>
        <w:t>of Goods by Sea Act 1992 s.2(4) (“for the benefit of the person who sustained the loss”).</w:t>
      </w:r>
    </w:p>
    <w:p>
      <w:pPr>
        <w:pStyle w:val="BodyText"/>
        <w:spacing w:before="4"/>
      </w:pPr>
    </w:p>
    <w:p>
      <w:pPr>
        <w:tabs>
          <w:tab w:pos="705" w:val="left" w:leader="none"/>
        </w:tabs>
        <w:spacing w:before="0"/>
        <w:ind w:left="165" w:right="0" w:firstLine="0"/>
        <w:jc w:val="left"/>
        <w:rPr>
          <w:sz w:val="20"/>
        </w:rPr>
      </w:pPr>
      <w:bookmarkStart w:name="_bookmark972" w:id="974"/>
      <w:bookmarkEnd w:id="974"/>
      <w:r>
        <w:rPr/>
      </w:r>
      <w:hyperlink w:history="true" w:anchor="_bookmark953">
        <w:r>
          <w:rPr>
            <w:color w:val="005DA1"/>
            <w:spacing w:val="-4"/>
            <w:position w:val="5"/>
            <w:sz w:val="14"/>
            <w:u w:val="single" w:color="005DA1"/>
          </w:rPr>
          <w:t>505</w:t>
        </w:r>
      </w:hyperlink>
      <w:r>
        <w:rPr>
          <w:spacing w:val="-4"/>
          <w:position w:val="5"/>
          <w:sz w:val="14"/>
        </w:rPr>
        <w:t>.</w:t>
      </w:r>
      <w:r>
        <w:rPr>
          <w:position w:val="5"/>
          <w:sz w:val="14"/>
        </w:rPr>
        <w:tab/>
      </w:r>
      <w:r>
        <w:rPr>
          <w:rFonts w:ascii="Arial"/>
          <w:i/>
          <w:sz w:val="20"/>
        </w:rPr>
        <w:t>Woodar Investment Development Ltd v Wimpey Construction UK Ltd [1980] 1 W.L.R. 277, </w:t>
      </w:r>
      <w:r>
        <w:rPr>
          <w:rFonts w:ascii="Arial"/>
          <w:i/>
          <w:spacing w:val="-4"/>
          <w:sz w:val="20"/>
        </w:rPr>
        <w:t>283</w:t>
      </w:r>
      <w:r>
        <w:rPr>
          <w:spacing w:val="-4"/>
          <w:sz w:val="20"/>
        </w:rPr>
        <w:t>.</w:t>
      </w:r>
    </w:p>
    <w:p>
      <w:pPr>
        <w:pStyle w:val="BodyText"/>
        <w:spacing w:before="9"/>
      </w:pPr>
    </w:p>
    <w:p>
      <w:pPr>
        <w:spacing w:line="235" w:lineRule="auto" w:before="0"/>
        <w:ind w:left="705" w:right="167" w:hanging="541"/>
        <w:jc w:val="both"/>
        <w:rPr>
          <w:sz w:val="20"/>
        </w:rPr>
      </w:pPr>
      <w:bookmarkStart w:name="_bookmark973" w:id="975"/>
      <w:bookmarkEnd w:id="975"/>
      <w:r>
        <w:rPr/>
      </w:r>
      <w:hyperlink w:history="true" w:anchor="_bookmark954">
        <w:r>
          <w:rPr>
            <w:color w:val="005DA1"/>
            <w:position w:val="5"/>
            <w:sz w:val="14"/>
            <w:u w:val="single" w:color="005DA1"/>
          </w:rPr>
          <w:t>506</w:t>
        </w:r>
      </w:hyperlink>
      <w:r>
        <w:rPr>
          <w:position w:val="5"/>
          <w:sz w:val="14"/>
        </w:rPr>
        <w:t>.</w:t>
      </w:r>
      <w:r>
        <w:rPr>
          <w:spacing w:val="80"/>
          <w:position w:val="5"/>
          <w:sz w:val="14"/>
        </w:rPr>
        <w:t>  </w:t>
      </w:r>
      <w:r>
        <w:rPr>
          <w:sz w:val="20"/>
        </w:rPr>
        <w:t>This was the view of Lord Denning M.R. in </w:t>
      </w:r>
      <w:r>
        <w:rPr>
          <w:rFonts w:ascii="Arial" w:hAnsi="Arial"/>
          <w:i/>
          <w:sz w:val="20"/>
        </w:rPr>
        <w:t>Jackson v Horizon Holidays Ltd [1975] 1 W.L.R. 1468,</w:t>
      </w:r>
      <w:r>
        <w:rPr>
          <w:rFonts w:ascii="Arial" w:hAnsi="Arial"/>
          <w:i/>
          <w:spacing w:val="-1"/>
          <w:sz w:val="20"/>
        </w:rPr>
        <w:t> </w:t>
      </w:r>
      <w:r>
        <w:rPr>
          <w:rFonts w:ascii="Arial" w:hAnsi="Arial"/>
          <w:i/>
          <w:sz w:val="20"/>
        </w:rPr>
        <w:t>1473</w:t>
      </w:r>
      <w:r>
        <w:rPr>
          <w:sz w:val="20"/>
        </w:rPr>
        <w:t>.</w:t>
      </w:r>
      <w:r>
        <w:rPr>
          <w:spacing w:val="-1"/>
          <w:sz w:val="20"/>
        </w:rPr>
        <w:t> </w:t>
      </w:r>
      <w:r>
        <w:rPr>
          <w:sz w:val="20"/>
        </w:rPr>
        <w:t>The</w:t>
      </w:r>
      <w:r>
        <w:rPr>
          <w:spacing w:val="-1"/>
          <w:sz w:val="20"/>
        </w:rPr>
        <w:t> </w:t>
      </w:r>
      <w:r>
        <w:rPr>
          <w:sz w:val="20"/>
        </w:rPr>
        <w:t>strange</w:t>
      </w:r>
      <w:r>
        <w:rPr>
          <w:spacing w:val="-1"/>
          <w:sz w:val="20"/>
        </w:rPr>
        <w:t> </w:t>
      </w:r>
      <w:r>
        <w:rPr>
          <w:sz w:val="20"/>
        </w:rPr>
        <w:t>result</w:t>
      </w:r>
      <w:r>
        <w:rPr>
          <w:spacing w:val="-1"/>
          <w:sz w:val="20"/>
        </w:rPr>
        <w:t> </w:t>
      </w:r>
      <w:r>
        <w:rPr>
          <w:sz w:val="20"/>
        </w:rPr>
        <w:t>would</w:t>
      </w:r>
      <w:r>
        <w:rPr>
          <w:spacing w:val="-1"/>
          <w:sz w:val="20"/>
        </w:rPr>
        <w:t> </w:t>
      </w:r>
      <w:r>
        <w:rPr>
          <w:sz w:val="20"/>
        </w:rPr>
        <w:t>be</w:t>
      </w:r>
      <w:r>
        <w:rPr>
          <w:spacing w:val="-1"/>
          <w:sz w:val="20"/>
        </w:rPr>
        <w:t> </w:t>
      </w:r>
      <w:r>
        <w:rPr>
          <w:sz w:val="20"/>
        </w:rPr>
        <w:t>that</w:t>
      </w:r>
      <w:r>
        <w:rPr>
          <w:spacing w:val="-1"/>
          <w:sz w:val="20"/>
        </w:rPr>
        <w:t> </w:t>
      </w:r>
      <w:r>
        <w:rPr>
          <w:sz w:val="20"/>
        </w:rPr>
        <w:t>the</w:t>
      </w:r>
      <w:r>
        <w:rPr>
          <w:spacing w:val="-1"/>
          <w:sz w:val="20"/>
        </w:rPr>
        <w:t> </w:t>
      </w:r>
      <w:r>
        <w:rPr>
          <w:sz w:val="20"/>
        </w:rPr>
        <w:t>claimant</w:t>
      </w:r>
      <w:r>
        <w:rPr>
          <w:spacing w:val="-1"/>
          <w:sz w:val="20"/>
        </w:rPr>
        <w:t> </w:t>
      </w:r>
      <w:r>
        <w:rPr>
          <w:sz w:val="20"/>
        </w:rPr>
        <w:t>was</w:t>
      </w:r>
      <w:r>
        <w:rPr>
          <w:spacing w:val="-1"/>
          <w:sz w:val="20"/>
        </w:rPr>
        <w:t> </w:t>
      </w:r>
      <w:r>
        <w:rPr>
          <w:sz w:val="20"/>
        </w:rPr>
        <w:t>under</w:t>
      </w:r>
      <w:r>
        <w:rPr>
          <w:spacing w:val="-1"/>
          <w:sz w:val="20"/>
        </w:rPr>
        <w:t> </w:t>
      </w:r>
      <w:r>
        <w:rPr>
          <w:sz w:val="20"/>
        </w:rPr>
        <w:t>some</w:t>
      </w:r>
      <w:r>
        <w:rPr>
          <w:spacing w:val="-1"/>
          <w:sz w:val="20"/>
        </w:rPr>
        <w:t> </w:t>
      </w:r>
      <w:r>
        <w:rPr>
          <w:sz w:val="20"/>
        </w:rPr>
        <w:t>quasi-contractual</w:t>
      </w:r>
      <w:r>
        <w:rPr>
          <w:spacing w:val="-1"/>
          <w:sz w:val="20"/>
        </w:rPr>
        <w:t> </w:t>
      </w:r>
      <w:r>
        <w:rPr>
          <w:sz w:val="20"/>
        </w:rPr>
        <w:t>or restitutionary liability to his two small children in respect of part of the £500 recovered as damages for distress.</w:t>
      </w:r>
    </w:p>
    <w:p>
      <w:pPr>
        <w:pStyle w:val="BodyText"/>
        <w:spacing w:before="4"/>
      </w:pPr>
    </w:p>
    <w:p>
      <w:pPr>
        <w:pStyle w:val="BodyText"/>
        <w:tabs>
          <w:tab w:pos="705" w:val="left" w:leader="none"/>
        </w:tabs>
        <w:ind w:left="165"/>
      </w:pPr>
      <w:bookmarkStart w:name="_bookmark974" w:id="976"/>
      <w:bookmarkEnd w:id="976"/>
      <w:r>
        <w:rPr/>
      </w:r>
      <w:hyperlink w:history="true" w:anchor="_bookmark955">
        <w:r>
          <w:rPr>
            <w:color w:val="005DA1"/>
            <w:spacing w:val="-4"/>
            <w:position w:val="5"/>
            <w:sz w:val="14"/>
            <w:u w:val="single" w:color="005DA1"/>
          </w:rPr>
          <w:t>507</w:t>
        </w:r>
      </w:hyperlink>
      <w:r>
        <w:rPr>
          <w:spacing w:val="-4"/>
          <w:position w:val="5"/>
          <w:sz w:val="14"/>
        </w:rPr>
        <w:t>.</w:t>
      </w:r>
      <w:r>
        <w:rPr>
          <w:position w:val="5"/>
          <w:sz w:val="14"/>
        </w:rPr>
        <w:tab/>
      </w:r>
      <w:r>
        <w:rPr/>
        <w:t>See above, paras 18-051-18-052, 18-</w:t>
      </w:r>
      <w:r>
        <w:rPr>
          <w:spacing w:val="-4"/>
        </w:rPr>
        <w:t>056.</w:t>
      </w:r>
    </w:p>
    <w:p>
      <w:pPr>
        <w:pStyle w:val="BodyText"/>
        <w:spacing w:before="5"/>
      </w:pPr>
    </w:p>
    <w:p>
      <w:pPr>
        <w:tabs>
          <w:tab w:pos="705" w:val="left" w:leader="none"/>
        </w:tabs>
        <w:spacing w:before="0"/>
        <w:ind w:left="165" w:right="0" w:firstLine="0"/>
        <w:jc w:val="left"/>
        <w:rPr>
          <w:sz w:val="20"/>
        </w:rPr>
      </w:pPr>
      <w:bookmarkStart w:name="_bookmark975" w:id="977"/>
      <w:bookmarkEnd w:id="977"/>
      <w:r>
        <w:rPr/>
      </w:r>
      <w:hyperlink w:history="true" w:anchor="_bookmark956">
        <w:r>
          <w:rPr>
            <w:color w:val="005DA1"/>
            <w:spacing w:val="-4"/>
            <w:position w:val="5"/>
            <w:sz w:val="14"/>
            <w:u w:val="single" w:color="005DA1"/>
          </w:rPr>
          <w:t>508</w:t>
        </w:r>
      </w:hyperlink>
      <w:r>
        <w:rPr>
          <w:spacing w:val="-4"/>
          <w:position w:val="5"/>
          <w:sz w:val="14"/>
        </w:rPr>
        <w:t>.</w:t>
      </w:r>
      <w:r>
        <w:rPr>
          <w:position w:val="5"/>
          <w:sz w:val="14"/>
        </w:rPr>
        <w:tab/>
      </w:r>
      <w:r>
        <w:rPr>
          <w:sz w:val="20"/>
        </w:rPr>
        <w:t>cf. </w:t>
      </w:r>
      <w:r>
        <w:rPr>
          <w:rFonts w:ascii="Arial" w:hAnsi="Arial"/>
          <w:i/>
          <w:sz w:val="20"/>
        </w:rPr>
        <w:t>Coulls v Bagot’s Executor and Trustee Co Ltd [1967] A.L.R. 385, </w:t>
      </w:r>
      <w:r>
        <w:rPr>
          <w:rFonts w:ascii="Arial" w:hAnsi="Arial"/>
          <w:i/>
          <w:spacing w:val="-4"/>
          <w:sz w:val="20"/>
        </w:rPr>
        <w:t>411</w:t>
      </w:r>
      <w:r>
        <w:rPr>
          <w:spacing w:val="-4"/>
          <w:sz w:val="20"/>
        </w:rPr>
        <w:t>.</w:t>
      </w:r>
    </w:p>
    <w:p>
      <w:pPr>
        <w:pStyle w:val="BodyText"/>
        <w:spacing w:before="193"/>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rPr>
          <w:sz w:val="18"/>
        </w:rPr>
      </w:pPr>
    </w:p>
    <w:p>
      <w:pPr>
        <w:pStyle w:val="BodyText"/>
        <w:rPr>
          <w:sz w:val="18"/>
        </w:rPr>
      </w:pPr>
    </w:p>
    <w:p>
      <w:pPr>
        <w:pStyle w:val="BodyText"/>
        <w:spacing w:before="20"/>
        <w:rPr>
          <w:sz w:val="18"/>
        </w:rPr>
      </w:pPr>
    </w:p>
    <w:p>
      <w:pPr>
        <w:spacing w:before="0"/>
        <w:ind w:left="165" w:right="0" w:firstLine="0"/>
        <w:jc w:val="left"/>
        <w:rPr>
          <w:rFonts w:ascii="Arial"/>
          <w:b/>
          <w:sz w:val="18"/>
        </w:rPr>
      </w:pPr>
      <w:r>
        <w:rPr>
          <w:rFonts w:ascii="Arial"/>
          <w:b/>
          <w:sz w:val="18"/>
        </w:rPr>
        <w:t>In </w:t>
      </w:r>
      <w:r>
        <w:rPr>
          <w:rFonts w:ascii="Arial"/>
          <w:b/>
          <w:spacing w:val="-2"/>
          <w:sz w:val="18"/>
        </w:rPr>
        <w:t>general</w:t>
      </w:r>
    </w:p>
    <w:p>
      <w:pPr>
        <w:pStyle w:val="BodyText"/>
        <w:spacing w:before="41"/>
        <w:rPr>
          <w:rFonts w:ascii="Arial"/>
          <w:b/>
          <w:sz w:val="18"/>
        </w:rPr>
      </w:pPr>
    </w:p>
    <w:p>
      <w:pPr>
        <w:pStyle w:val="Heading2"/>
      </w:pPr>
      <w:r>
        <w:rPr/>
        <w:t>18-</w:t>
      </w:r>
      <w:r>
        <w:rPr>
          <w:spacing w:val="-5"/>
        </w:rPr>
        <w:t>079</w:t>
      </w:r>
    </w:p>
    <w:p>
      <w:pPr>
        <w:pStyle w:val="BodyText"/>
        <w:spacing w:line="235" w:lineRule="auto" w:before="203"/>
        <w:ind w:left="164" w:right="167"/>
        <w:jc w:val="both"/>
      </w:pPr>
      <w:bookmarkStart w:name="_bookmark976" w:id="978"/>
      <w:bookmarkEnd w:id="978"/>
      <w:r>
        <w:rPr/>
      </w:r>
      <w:r>
        <w:rPr/>
        <w:t>The doctrine of privity of contract is subject to many exceptions. Some of these, such as assignment and agency, are discussed in other parts of this work. </w:t>
      </w:r>
      <w:r>
        <w:rPr>
          <w:color w:val="005DA1"/>
          <w:u w:val="single" w:color="005DA1"/>
          <w:vertAlign w:val="superscript"/>
        </w:rPr>
        <w:t>509</w:t>
      </w:r>
      <w:r>
        <w:rPr>
          <w:color w:val="005DA1"/>
          <w:vertAlign w:val="baseline"/>
        </w:rPr>
        <w:t> </w:t>
      </w:r>
      <w:r>
        <w:rPr>
          <w:vertAlign w:val="baseline"/>
        </w:rPr>
        <w:t>Others, such as covenants relating to </w:t>
      </w:r>
      <w:r>
        <w:rPr>
          <w:vertAlign w:val="baseline"/>
        </w:rPr>
        <w:t>land, are beyond its scope. In the following paragraphs of this Chapter, we shall discuss a further group of situations in which a third party can acquire rights under a contract by virtue of a number of equitable </w:t>
      </w:r>
      <w:bookmarkStart w:name="_bookmark977" w:id="979"/>
      <w:bookmarkEnd w:id="979"/>
      <w:r>
        <w:rPr>
          <w:vertAlign w:val="baseline"/>
        </w:rPr>
        <w:t>and</w:t>
      </w:r>
      <w:r>
        <w:rPr>
          <w:vertAlign w:val="baseline"/>
        </w:rPr>
        <w:t> statutory exceptions to the doctrine of privity. The most important of these is the “general and </w:t>
      </w:r>
      <w:bookmarkStart w:name="_bookmark978" w:id="980"/>
      <w:bookmarkEnd w:id="980"/>
      <w:r>
        <w:rPr>
          <w:vertAlign w:val="baseline"/>
        </w:rPr>
        <w:t>wide</w:t>
      </w:r>
      <w:r>
        <w:rPr>
          <w:vertAlign w:val="baseline"/>
        </w:rPr>
        <w:t>-ranging” </w:t>
      </w:r>
      <w:r>
        <w:rPr>
          <w:color w:val="005DA1"/>
          <w:u w:val="single" w:color="005DA1"/>
          <w:vertAlign w:val="superscript"/>
        </w:rPr>
        <w:t>510</w:t>
      </w:r>
      <w:r>
        <w:rPr>
          <w:color w:val="005DA1"/>
          <w:vertAlign w:val="baseline"/>
        </w:rPr>
        <w:t> </w:t>
      </w:r>
      <w:r>
        <w:rPr>
          <w:vertAlign w:val="baseline"/>
        </w:rPr>
        <w:t>one which has been created by the Contracts (Rights of Third Parties) Act 1999.</w:t>
      </w:r>
      <w:r>
        <w:rPr>
          <w:spacing w:val="40"/>
          <w:vertAlign w:val="baseline"/>
        </w:rPr>
        <w:t> </w:t>
      </w:r>
      <w:r>
        <w:rPr>
          <w:vertAlign w:val="baseline"/>
        </w:rPr>
        <w:t>This Act preserves any right or remedy which the third party may have apart from its provisions. </w:t>
      </w:r>
      <w:r>
        <w:rPr>
          <w:color w:val="005DA1"/>
          <w:u w:val="single" w:color="005DA1"/>
          <w:vertAlign w:val="superscript"/>
        </w:rPr>
        <w:t>511</w:t>
      </w:r>
      <w:r>
        <w:rPr>
          <w:color w:val="005DA1"/>
          <w:vertAlign w:val="baseline"/>
        </w:rPr>
        <w:t> </w:t>
      </w:r>
      <w:r>
        <w:rPr>
          <w:vertAlign w:val="baseline"/>
        </w:rPr>
        <w:t>The exceptions which were established before the Act came into force therefore still call for </w:t>
      </w:r>
      <w:bookmarkStart w:name="_bookmark979" w:id="981"/>
      <w:bookmarkEnd w:id="981"/>
      <w:r>
        <w:rPr>
          <w:vertAlign w:val="baseline"/>
        </w:rPr>
        <w:t>discussion,</w:t>
      </w:r>
      <w:r>
        <w:rPr>
          <w:vertAlign w:val="baseline"/>
        </w:rPr>
        <w:t> particularly because situations may arise in which it will be to the third parties’ advantage to rely on one of these exceptions, rather than on the new one which has been created by the Act. </w:t>
      </w:r>
      <w:r>
        <w:rPr>
          <w:color w:val="005DA1"/>
          <w:u w:val="single" w:color="005DA1"/>
          <w:vertAlign w:val="superscript"/>
        </w:rPr>
        <w:t>512</w:t>
      </w:r>
    </w:p>
    <w:p>
      <w:pPr>
        <w:pStyle w:val="BodyText"/>
      </w:pPr>
    </w:p>
    <w:p>
      <w:pPr>
        <w:pStyle w:val="BodyText"/>
        <w:spacing w:before="36"/>
      </w:pPr>
      <w:r>
        <w:rPr/>
        <mc:AlternateContent>
          <mc:Choice Requires="wps">
            <w:drawing>
              <wp:anchor distT="0" distB="0" distL="0" distR="0" allowOverlap="1" layoutInCell="1" locked="0" behindDoc="1" simplePos="0" relativeHeight="487633920">
                <wp:simplePos x="0" y="0"/>
                <wp:positionH relativeFrom="page">
                  <wp:posOffset>914400</wp:posOffset>
                </wp:positionH>
                <wp:positionV relativeFrom="paragraph">
                  <wp:posOffset>184304</wp:posOffset>
                </wp:positionV>
                <wp:extent cx="5724525"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12144pt;width:450.75pt;height:.1pt;mso-position-horizontal-relative:page;mso-position-vertical-relative:paragraph;z-index:-15682560;mso-wrap-distance-left:0;mso-wrap-distance-right:0" id="docshape30"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78592">
                <wp:simplePos x="0" y="0"/>
                <wp:positionH relativeFrom="page">
                  <wp:posOffset>914400</wp:posOffset>
                </wp:positionH>
                <wp:positionV relativeFrom="paragraph">
                  <wp:posOffset>97116</wp:posOffset>
                </wp:positionV>
                <wp:extent cx="4953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37888"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5"/>
      </w:pPr>
    </w:p>
    <w:p>
      <w:pPr>
        <w:pStyle w:val="BodyText"/>
        <w:tabs>
          <w:tab w:pos="705" w:val="left" w:leader="none"/>
        </w:tabs>
        <w:ind w:left="165"/>
      </w:pPr>
      <w:bookmarkStart w:name="_bookmark980" w:id="982"/>
      <w:bookmarkEnd w:id="982"/>
      <w:r>
        <w:rPr/>
      </w:r>
      <w:hyperlink w:history="true" w:anchor="_bookmark976">
        <w:r>
          <w:rPr>
            <w:color w:val="005DA1"/>
            <w:spacing w:val="-4"/>
            <w:position w:val="5"/>
            <w:sz w:val="14"/>
            <w:u w:val="single" w:color="005DA1"/>
          </w:rPr>
          <w:t>509</w:t>
        </w:r>
      </w:hyperlink>
      <w:r>
        <w:rPr>
          <w:spacing w:val="-4"/>
          <w:position w:val="5"/>
          <w:sz w:val="14"/>
        </w:rPr>
        <w:t>.</w:t>
      </w:r>
      <w:r>
        <w:rPr>
          <w:position w:val="5"/>
          <w:sz w:val="14"/>
        </w:rPr>
        <w:tab/>
      </w:r>
      <w:r>
        <w:rPr/>
        <w:t>See Ch.19 and Vol.II, Ch.31. See also paras 15-042-15-061, </w:t>
      </w:r>
      <w:r>
        <w:rPr>
          <w:spacing w:val="-2"/>
        </w:rPr>
        <w:t>above.</w:t>
      </w:r>
    </w:p>
    <w:p>
      <w:pPr>
        <w:pStyle w:val="BodyText"/>
        <w:spacing w:before="5"/>
      </w:pPr>
    </w:p>
    <w:p>
      <w:pPr>
        <w:pStyle w:val="BodyText"/>
        <w:tabs>
          <w:tab w:pos="705" w:val="left" w:leader="none"/>
        </w:tabs>
        <w:ind w:left="165"/>
      </w:pPr>
      <w:bookmarkStart w:name="_bookmark981" w:id="983"/>
      <w:bookmarkEnd w:id="983"/>
      <w:r>
        <w:rPr/>
      </w:r>
      <w:hyperlink w:history="true" w:anchor="_bookmark977">
        <w:r>
          <w:rPr>
            <w:color w:val="005DA1"/>
            <w:spacing w:val="-4"/>
            <w:position w:val="5"/>
            <w:sz w:val="14"/>
            <w:u w:val="single" w:color="005DA1"/>
          </w:rPr>
          <w:t>510</w:t>
        </w:r>
      </w:hyperlink>
      <w:r>
        <w:rPr>
          <w:spacing w:val="-4"/>
          <w:position w:val="5"/>
          <w:sz w:val="14"/>
        </w:rPr>
        <w:t>.</w:t>
      </w:r>
      <w:r>
        <w:rPr>
          <w:position w:val="5"/>
          <w:sz w:val="14"/>
        </w:rPr>
        <w:tab/>
      </w:r>
      <w:r>
        <w:rPr/>
        <w:t>Law Com No.242, </w:t>
      </w:r>
      <w:r>
        <w:rPr>
          <w:spacing w:val="-2"/>
        </w:rPr>
        <w:t>para.5.16.</w:t>
      </w:r>
    </w:p>
    <w:p>
      <w:pPr>
        <w:pStyle w:val="BodyText"/>
        <w:spacing w:before="5"/>
      </w:pPr>
    </w:p>
    <w:p>
      <w:pPr>
        <w:pStyle w:val="BodyText"/>
        <w:tabs>
          <w:tab w:pos="705" w:val="left" w:leader="none"/>
        </w:tabs>
        <w:ind w:left="165"/>
      </w:pPr>
      <w:bookmarkStart w:name="_bookmark982" w:id="984"/>
      <w:bookmarkEnd w:id="984"/>
      <w:r>
        <w:rPr/>
      </w:r>
      <w:hyperlink w:history="true" w:anchor="_bookmark978">
        <w:r>
          <w:rPr>
            <w:color w:val="005DA1"/>
            <w:spacing w:val="-4"/>
            <w:position w:val="5"/>
            <w:sz w:val="14"/>
            <w:u w:val="single" w:color="005DA1"/>
          </w:rPr>
          <w:t>511</w:t>
        </w:r>
      </w:hyperlink>
      <w:r>
        <w:rPr>
          <w:spacing w:val="-4"/>
          <w:position w:val="5"/>
          <w:sz w:val="14"/>
        </w:rPr>
        <w:t>.</w:t>
      </w:r>
      <w:r>
        <w:rPr>
          <w:position w:val="5"/>
          <w:sz w:val="14"/>
        </w:rPr>
        <w:tab/>
      </w:r>
      <w:r>
        <w:rPr/>
        <w:t>s.7(1); this can apply not only to existing, but also to future, </w:t>
      </w:r>
      <w:r>
        <w:rPr>
          <w:spacing w:val="-2"/>
        </w:rPr>
        <w:t>exceptions.</w:t>
      </w:r>
    </w:p>
    <w:p>
      <w:pPr>
        <w:pStyle w:val="BodyText"/>
        <w:spacing w:before="5"/>
      </w:pPr>
    </w:p>
    <w:p>
      <w:pPr>
        <w:pStyle w:val="BodyText"/>
        <w:tabs>
          <w:tab w:pos="705" w:val="left" w:leader="none"/>
        </w:tabs>
        <w:ind w:left="165"/>
      </w:pPr>
      <w:bookmarkStart w:name="_bookmark983" w:id="985"/>
      <w:bookmarkEnd w:id="985"/>
      <w:r>
        <w:rPr/>
      </w:r>
      <w:hyperlink w:history="true" w:anchor="_bookmark979">
        <w:r>
          <w:rPr>
            <w:color w:val="005DA1"/>
            <w:spacing w:val="-4"/>
            <w:position w:val="5"/>
            <w:sz w:val="14"/>
            <w:u w:val="single" w:color="005DA1"/>
          </w:rPr>
          <w:t>512</w:t>
        </w:r>
      </w:hyperlink>
      <w:r>
        <w:rPr>
          <w:spacing w:val="-4"/>
          <w:position w:val="5"/>
          <w:sz w:val="14"/>
        </w:rPr>
        <w:t>.</w:t>
      </w:r>
      <w:r>
        <w:rPr>
          <w:position w:val="5"/>
          <w:sz w:val="14"/>
        </w:rPr>
        <w:tab/>
      </w:r>
      <w:r>
        <w:rPr/>
        <w:t>See above, para.18-002, below, paras 18-119 to 18-</w:t>
      </w:r>
      <w:r>
        <w:rPr>
          <w:spacing w:val="-4"/>
        </w:rPr>
        <w:t>121.</w:t>
      </w:r>
    </w:p>
    <w:p>
      <w:pPr>
        <w:pStyle w:val="BodyText"/>
        <w:spacing w:before="192"/>
      </w:pPr>
    </w:p>
    <w:p>
      <w:pPr>
        <w:spacing w:before="1"/>
        <w:ind w:left="1073" w:right="1076" w:firstLine="0"/>
        <w:jc w:val="center"/>
        <w:rPr>
          <w:sz w:val="14"/>
        </w:rPr>
      </w:pPr>
      <w:r>
        <w:rPr>
          <w:sz w:val="14"/>
        </w:rPr>
        <w:t>© 2018 Sweet &amp; </w:t>
      </w:r>
      <w:r>
        <w:rPr>
          <w:spacing w:val="-2"/>
          <w:sz w:val="14"/>
        </w:rPr>
        <w:t>Maxwell</w:t>
      </w:r>
    </w:p>
    <w:p>
      <w:pPr>
        <w:spacing w:after="0"/>
        <w:jc w:val="center"/>
        <w:rPr>
          <w:sz w:val="14"/>
        </w:rPr>
        <w:sectPr>
          <w:headerReference w:type="default" r:id="rId18"/>
          <w:pgSz w:w="11900" w:h="16840"/>
          <w:pgMar w:header="992" w:footer="0" w:top="4700" w:bottom="280" w:left="1275" w:right="1275"/>
        </w:sectPr>
      </w:pPr>
    </w:p>
    <w:p>
      <w:pPr>
        <w:pStyle w:val="Heading2"/>
        <w:numPr>
          <w:ilvl w:val="0"/>
          <w:numId w:val="3"/>
        </w:numPr>
        <w:tabs>
          <w:tab w:pos="3531" w:val="left" w:leader="none"/>
        </w:tabs>
        <w:spacing w:line="240" w:lineRule="auto" w:before="194" w:after="0"/>
        <w:ind w:left="3531" w:right="0" w:hanging="293"/>
        <w:jc w:val="left"/>
      </w:pPr>
      <w:r>
        <w:rPr/>
        <w:t>- Equitable </w:t>
      </w:r>
      <w:r>
        <w:rPr>
          <w:spacing w:val="-2"/>
        </w:rPr>
        <w:t>Exceptions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984" w:id="986"/>
      <w:bookmarkEnd w:id="986"/>
      <w:r>
        <w:rPr/>
      </w:r>
      <w:r>
        <w:rPr>
          <w:rFonts w:ascii="Arial"/>
          <w:b/>
          <w:sz w:val="18"/>
        </w:rPr>
        <w:t>Trusts of promises</w:t>
      </w:r>
      <w:r>
        <w:rPr>
          <w:rFonts w:ascii="Arial"/>
          <w:b/>
          <w:spacing w:val="-1"/>
          <w:sz w:val="18"/>
        </w:rPr>
        <w:t> </w:t>
      </w:r>
      <w:r>
        <w:rPr>
          <w:rFonts w:ascii="Arial"/>
          <w:b/>
          <w:color w:val="005DA1"/>
          <w:spacing w:val="-5"/>
          <w:sz w:val="18"/>
          <w:u w:val="single" w:color="005DA1"/>
          <w:vertAlign w:val="superscript"/>
        </w:rPr>
        <w:t>513</w:t>
      </w:r>
    </w:p>
    <w:p>
      <w:pPr>
        <w:pStyle w:val="BodyText"/>
        <w:spacing w:before="41"/>
        <w:rPr>
          <w:rFonts w:ascii="Arial"/>
          <w:b/>
          <w:sz w:val="18"/>
        </w:rPr>
      </w:pPr>
    </w:p>
    <w:p>
      <w:pPr>
        <w:pStyle w:val="Heading2"/>
      </w:pPr>
      <w:r>
        <w:rPr/>
        <w:t>18-</w:t>
      </w:r>
      <w:r>
        <w:rPr>
          <w:spacing w:val="-5"/>
        </w:rPr>
        <w:t>080</w:t>
      </w:r>
    </w:p>
    <w:p>
      <w:pPr>
        <w:pStyle w:val="BodyText"/>
        <w:spacing w:line="235" w:lineRule="auto" w:before="203"/>
        <w:ind w:left="165" w:right="167"/>
        <w:jc w:val="both"/>
      </w:pPr>
      <w:r>
        <w:rPr/>
        <w:t>Equity developed an exception to the doctrine of privity by making use of the concept of a trust of </w:t>
      </w:r>
      <w:r>
        <w:rPr/>
        <w:t>a </w:t>
      </w:r>
      <w:bookmarkStart w:name="_bookmark985" w:id="987"/>
      <w:bookmarkEnd w:id="987"/>
      <w:r>
        <w:rPr/>
        <w:t>chose</w:t>
      </w:r>
      <w:r>
        <w:rPr>
          <w:spacing w:val="-1"/>
        </w:rPr>
        <w:t> </w:t>
      </w:r>
      <w:r>
        <w:rPr/>
        <w:t>in</w:t>
      </w:r>
      <w:r>
        <w:rPr>
          <w:spacing w:val="-1"/>
        </w:rPr>
        <w:t> </w:t>
      </w:r>
      <w:r>
        <w:rPr/>
        <w:t>action.</w:t>
      </w:r>
      <w:r>
        <w:rPr>
          <w:spacing w:val="-1"/>
        </w:rPr>
        <w:t> </w:t>
      </w:r>
      <w:r>
        <w:rPr/>
        <w:t>It</w:t>
      </w:r>
      <w:r>
        <w:rPr>
          <w:spacing w:val="-1"/>
        </w:rPr>
        <w:t> </w:t>
      </w:r>
      <w:r>
        <w:rPr/>
        <w:t>accordingly</w:t>
      </w:r>
      <w:r>
        <w:rPr>
          <w:spacing w:val="-1"/>
        </w:rPr>
        <w:t> </w:t>
      </w:r>
      <w:r>
        <w:rPr/>
        <w:t>held</w:t>
      </w:r>
      <w:r>
        <w:rPr>
          <w:spacing w:val="-1"/>
        </w:rPr>
        <w:t> </w:t>
      </w:r>
      <w:r>
        <w:rPr/>
        <w:t>that</w:t>
      </w:r>
      <w:r>
        <w:rPr>
          <w:spacing w:val="-1"/>
        </w:rPr>
        <w:t> </w:t>
      </w:r>
      <w:r>
        <w:rPr/>
        <w:t>where</w:t>
      </w:r>
      <w:r>
        <w:rPr>
          <w:spacing w:val="-1"/>
        </w:rPr>
        <w:t> </w:t>
      </w:r>
      <w:r>
        <w:rPr/>
        <w:t>A</w:t>
      </w:r>
      <w:r>
        <w:rPr>
          <w:spacing w:val="-1"/>
        </w:rPr>
        <w:t> </w:t>
      </w:r>
      <w:r>
        <w:rPr/>
        <w:t>made</w:t>
      </w:r>
      <w:r>
        <w:rPr>
          <w:spacing w:val="-1"/>
        </w:rPr>
        <w:t> </w:t>
      </w:r>
      <w:r>
        <w:rPr/>
        <w:t>a</w:t>
      </w:r>
      <w:r>
        <w:rPr>
          <w:spacing w:val="-1"/>
        </w:rPr>
        <w:t> </w:t>
      </w:r>
      <w:r>
        <w:rPr/>
        <w:t>promise</w:t>
      </w:r>
      <w:r>
        <w:rPr>
          <w:spacing w:val="-1"/>
        </w:rPr>
        <w:t> </w:t>
      </w:r>
      <w:r>
        <w:rPr/>
        <w:t>to</w:t>
      </w:r>
      <w:r>
        <w:rPr>
          <w:spacing w:val="-1"/>
        </w:rPr>
        <w:t> </w:t>
      </w:r>
      <w:r>
        <w:rPr/>
        <w:t>B</w:t>
      </w:r>
      <w:r>
        <w:rPr>
          <w:spacing w:val="-1"/>
        </w:rPr>
        <w:t> </w:t>
      </w:r>
      <w:r>
        <w:rPr/>
        <w:t>for</w:t>
      </w:r>
      <w:r>
        <w:rPr>
          <w:spacing w:val="-1"/>
        </w:rPr>
        <w:t> </w:t>
      </w:r>
      <w:r>
        <w:rPr/>
        <w:t>the</w:t>
      </w:r>
      <w:r>
        <w:rPr>
          <w:spacing w:val="-1"/>
        </w:rPr>
        <w:t> </w:t>
      </w:r>
      <w:r>
        <w:rPr/>
        <w:t>benefit</w:t>
      </w:r>
      <w:r>
        <w:rPr>
          <w:spacing w:val="-1"/>
        </w:rPr>
        <w:t> </w:t>
      </w:r>
      <w:r>
        <w:rPr/>
        <w:t>of</w:t>
      </w:r>
      <w:r>
        <w:rPr>
          <w:spacing w:val="-1"/>
        </w:rPr>
        <w:t> </w:t>
      </w:r>
      <w:r>
        <w:rPr/>
        <w:t>C,</w:t>
      </w:r>
      <w:r>
        <w:rPr>
          <w:spacing w:val="-1"/>
        </w:rPr>
        <w:t> </w:t>
      </w:r>
      <w:r>
        <w:rPr/>
        <w:t>the</w:t>
      </w:r>
      <w:r>
        <w:rPr>
          <w:spacing w:val="-1"/>
        </w:rPr>
        <w:t> </w:t>
      </w:r>
      <w:r>
        <w:rPr/>
        <w:t>promise </w:t>
      </w:r>
      <w:bookmarkStart w:name="_bookmark986" w:id="988"/>
      <w:bookmarkEnd w:id="988"/>
      <w:r>
        <w:rPr/>
        <w:t>could</w:t>
      </w:r>
      <w:r>
        <w:rPr/>
        <w:t> be enforced by C against A if B had constituted himself trustee of A’s promise for C. </w:t>
      </w:r>
      <w:r>
        <w:rPr>
          <w:color w:val="005DA1"/>
          <w:u w:val="single" w:color="005DA1"/>
          <w:vertAlign w:val="superscript"/>
        </w:rPr>
        <w:t>514</w:t>
      </w:r>
      <w:r>
        <w:rPr>
          <w:color w:val="005DA1"/>
          <w:vertAlign w:val="baseline"/>
        </w:rPr>
        <w:t> </w:t>
      </w:r>
      <w:r>
        <w:rPr>
          <w:vertAlign w:val="baseline"/>
        </w:rPr>
        <w:t>This exception to the doctrine of privity was approved by the House of Lords in </w:t>
      </w:r>
      <w:r>
        <w:rPr>
          <w:rFonts w:ascii="Arial" w:hAnsi="Arial"/>
          <w:i/>
          <w:vertAlign w:val="baseline"/>
        </w:rPr>
        <w:t>Walford’s </w:t>
      </w:r>
      <w:r>
        <w:rPr>
          <w:vertAlign w:val="baseline"/>
        </w:rPr>
        <w:t>case </w:t>
      </w:r>
      <w:r>
        <w:rPr>
          <w:color w:val="005DA1"/>
          <w:u w:val="single" w:color="005DA1"/>
          <w:vertAlign w:val="superscript"/>
        </w:rPr>
        <w:t>515</w:t>
      </w:r>
      <w:r>
        <w:rPr>
          <w:color w:val="005DA1"/>
          <w:vertAlign w:val="baseline"/>
        </w:rPr>
        <w:t> </w:t>
      </w:r>
      <w:r>
        <w:rPr>
          <w:vertAlign w:val="baseline"/>
        </w:rPr>
        <w:t>where C (a broker) negotiated a charterparty in which the shipowner (A) promised the charterer (B) to pay a commission to C. It was held that B was trustee of A’s promise for C, who could accordingly enforce the promise against A.</w:t>
      </w:r>
    </w:p>
    <w:p>
      <w:pPr>
        <w:pStyle w:val="BodyText"/>
      </w:pPr>
    </w:p>
    <w:p>
      <w:pPr>
        <w:pStyle w:val="BodyText"/>
        <w:spacing w:before="36"/>
      </w:pPr>
    </w:p>
    <w:p>
      <w:pPr>
        <w:spacing w:before="0"/>
        <w:ind w:left="165" w:right="0" w:firstLine="0"/>
        <w:jc w:val="both"/>
        <w:rPr>
          <w:rFonts w:ascii="Arial"/>
          <w:b/>
          <w:sz w:val="18"/>
        </w:rPr>
      </w:pPr>
      <w:r>
        <w:rPr>
          <w:rFonts w:ascii="Arial"/>
          <w:b/>
          <w:sz w:val="18"/>
        </w:rPr>
        <w:t>Intention to create a </w:t>
      </w:r>
      <w:r>
        <w:rPr>
          <w:rFonts w:ascii="Arial"/>
          <w:b/>
          <w:spacing w:val="-2"/>
          <w:sz w:val="18"/>
        </w:rPr>
        <w:t>trust</w:t>
      </w:r>
    </w:p>
    <w:p>
      <w:pPr>
        <w:pStyle w:val="BodyText"/>
        <w:spacing w:before="41"/>
        <w:rPr>
          <w:rFonts w:ascii="Arial"/>
          <w:b/>
          <w:sz w:val="18"/>
        </w:rPr>
      </w:pPr>
    </w:p>
    <w:p>
      <w:pPr>
        <w:pStyle w:val="Heading2"/>
      </w:pPr>
      <w:r>
        <w:rPr/>
        <w:t>18-</w:t>
      </w:r>
      <w:r>
        <w:rPr>
          <w:spacing w:val="-5"/>
        </w:rPr>
        <w:t>081</w:t>
      </w:r>
    </w:p>
    <w:p>
      <w:pPr>
        <w:pStyle w:val="BodyText"/>
        <w:spacing w:line="235" w:lineRule="auto" w:before="203"/>
        <w:ind w:left="164" w:right="167"/>
        <w:jc w:val="both"/>
      </w:pPr>
      <w:bookmarkStart w:name="_bookmark987" w:id="989"/>
      <w:bookmarkEnd w:id="989"/>
      <w:r>
        <w:rPr/>
      </w:r>
      <w:r>
        <w:rPr/>
        <w:t>A promisee will not be regarded as a trustee for the third party unless he has the intention to create a </w:t>
      </w:r>
      <w:bookmarkStart w:name="_bookmark988" w:id="990"/>
      <w:bookmarkEnd w:id="990"/>
      <w:r>
        <w:rPr/>
        <w:t>trust.</w:t>
      </w:r>
      <w:r>
        <w:rPr/>
        <w:t> </w:t>
      </w:r>
      <w:r>
        <w:rPr>
          <w:color w:val="005DA1"/>
          <w:u w:val="single" w:color="005DA1"/>
          <w:vertAlign w:val="superscript"/>
        </w:rPr>
        <w:t>516</w:t>
      </w:r>
      <w:r>
        <w:rPr>
          <w:color w:val="005DA1"/>
          <w:vertAlign w:val="baseline"/>
        </w:rPr>
        <w:t> </w:t>
      </w:r>
      <w:r>
        <w:rPr>
          <w:vertAlign w:val="baseline"/>
        </w:rPr>
        <w:t>Such an intention can be made clear by using the word “trust” or “trustee,” </w:t>
      </w:r>
      <w:r>
        <w:rPr>
          <w:color w:val="005DA1"/>
          <w:u w:val="single" w:color="005DA1"/>
          <w:vertAlign w:val="superscript"/>
        </w:rPr>
        <w:t>517</w:t>
      </w:r>
      <w:r>
        <w:rPr>
          <w:color w:val="005DA1"/>
          <w:vertAlign w:val="baseline"/>
        </w:rPr>
        <w:t> </w:t>
      </w:r>
      <w:r>
        <w:rPr>
          <w:vertAlign w:val="baseline"/>
        </w:rPr>
        <w:t>though </w:t>
      </w:r>
      <w:r>
        <w:rPr>
          <w:vertAlign w:val="baseline"/>
        </w:rPr>
        <w:t>even where</w:t>
      </w:r>
      <w:r>
        <w:rPr>
          <w:spacing w:val="-2"/>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done</w:t>
      </w:r>
      <w:r>
        <w:rPr>
          <w:spacing w:val="-2"/>
          <w:vertAlign w:val="baseline"/>
        </w:rPr>
        <w:t> </w:t>
      </w:r>
      <w:r>
        <w:rPr>
          <w:vertAlign w:val="baseline"/>
        </w:rPr>
        <w:t>the</w:t>
      </w:r>
      <w:r>
        <w:rPr>
          <w:spacing w:val="-2"/>
          <w:vertAlign w:val="baseline"/>
        </w:rPr>
        <w:t> </w:t>
      </w:r>
      <w:r>
        <w:rPr>
          <w:vertAlign w:val="baseline"/>
        </w:rPr>
        <w:t>further</w:t>
      </w:r>
      <w:r>
        <w:rPr>
          <w:spacing w:val="-2"/>
          <w:vertAlign w:val="baseline"/>
        </w:rPr>
        <w:t> </w:t>
      </w:r>
      <w:r>
        <w:rPr>
          <w:vertAlign w:val="baseline"/>
        </w:rPr>
        <w:t>question</w:t>
      </w:r>
      <w:r>
        <w:rPr>
          <w:spacing w:val="-3"/>
          <w:vertAlign w:val="baseline"/>
        </w:rPr>
        <w:t> </w:t>
      </w:r>
      <w:r>
        <w:rPr>
          <w:color w:val="005DA1"/>
          <w:u w:val="single" w:color="005DA1"/>
          <w:vertAlign w:val="superscript"/>
        </w:rPr>
        <w:t>518</w:t>
      </w:r>
      <w:r>
        <w:rPr>
          <w:color w:val="005DA1"/>
          <w:spacing w:val="-2"/>
          <w:vertAlign w:val="baseline"/>
        </w:rPr>
        <w:t> </w:t>
      </w:r>
      <w:r>
        <w:rPr>
          <w:vertAlign w:val="baseline"/>
        </w:rPr>
        <w:t>may</w:t>
      </w:r>
      <w:r>
        <w:rPr>
          <w:spacing w:val="-2"/>
          <w:vertAlign w:val="baseline"/>
        </w:rPr>
        <w:t> </w:t>
      </w:r>
      <w:r>
        <w:rPr>
          <w:vertAlign w:val="baseline"/>
        </w:rPr>
        <w:t>arise</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trust,</w:t>
      </w:r>
      <w:r>
        <w:rPr>
          <w:spacing w:val="-2"/>
          <w:vertAlign w:val="baseline"/>
        </w:rPr>
        <w:t> </w:t>
      </w:r>
      <w:r>
        <w:rPr>
          <w:vertAlign w:val="baseline"/>
        </w:rPr>
        <w:t>which</w:t>
      </w:r>
      <w:r>
        <w:rPr>
          <w:spacing w:val="-2"/>
          <w:vertAlign w:val="baseline"/>
        </w:rPr>
        <w:t> </w:t>
      </w:r>
      <w:r>
        <w:rPr>
          <w:vertAlign w:val="baseline"/>
        </w:rPr>
        <w:t>no</w:t>
      </w:r>
      <w:r>
        <w:rPr>
          <w:spacing w:val="-2"/>
          <w:vertAlign w:val="baseline"/>
        </w:rPr>
        <w:t> </w:t>
      </w:r>
      <w:r>
        <w:rPr>
          <w:vertAlign w:val="baseline"/>
        </w:rPr>
        <w:t>doubt</w:t>
      </w:r>
      <w:r>
        <w:rPr>
          <w:spacing w:val="-2"/>
          <w:vertAlign w:val="baseline"/>
        </w:rPr>
        <w:t> </w:t>
      </w:r>
      <w:r>
        <w:rPr>
          <w:vertAlign w:val="baseline"/>
        </w:rPr>
        <w:t>exists,</w:t>
      </w:r>
      <w:r>
        <w:rPr>
          <w:spacing w:val="-2"/>
          <w:vertAlign w:val="baseline"/>
        </w:rPr>
        <w:t> </w:t>
      </w:r>
      <w:r>
        <w:rPr>
          <w:vertAlign w:val="baseline"/>
        </w:rPr>
        <w:t>is</w:t>
      </w:r>
      <w:r>
        <w:rPr>
          <w:spacing w:val="-2"/>
          <w:vertAlign w:val="baseline"/>
        </w:rPr>
        <w:t> </w:t>
      </w:r>
      <w:r>
        <w:rPr>
          <w:vertAlign w:val="baseline"/>
        </w:rPr>
        <w:t>one</w:t>
      </w:r>
      <w:r>
        <w:rPr>
          <w:spacing w:val="-2"/>
          <w:vertAlign w:val="baseline"/>
        </w:rPr>
        <w:t> </w:t>
      </w:r>
      <w:r>
        <w:rPr>
          <w:vertAlign w:val="baseline"/>
        </w:rPr>
        <w:t>in </w:t>
      </w:r>
      <w:bookmarkStart w:name="_bookmark989" w:id="991"/>
      <w:bookmarkEnd w:id="991"/>
      <w:r>
        <w:rPr>
          <w:vertAlign w:val="baseline"/>
        </w:rPr>
        <w:t>favour</w:t>
      </w:r>
      <w:r>
        <w:rPr>
          <w:vertAlign w:val="baseline"/>
        </w:rPr>
        <w:t> of the particular third party who seeks to enforce the promise which is the subject-matter of</w:t>
      </w:r>
      <w:r>
        <w:rPr>
          <w:spacing w:val="80"/>
          <w:vertAlign w:val="baseline"/>
        </w:rPr>
        <w:t> </w:t>
      </w:r>
      <w:r>
        <w:rPr>
          <w:vertAlign w:val="baseline"/>
        </w:rPr>
        <w:t>that trust. </w:t>
      </w:r>
      <w:r>
        <w:rPr>
          <w:color w:val="005DA1"/>
          <w:u w:val="single" w:color="005DA1"/>
          <w:vertAlign w:val="superscript"/>
        </w:rPr>
        <w:t>519</w:t>
      </w:r>
      <w:r>
        <w:rPr>
          <w:color w:val="005DA1"/>
          <w:vertAlign w:val="baseline"/>
        </w:rPr>
        <w:t> </w:t>
      </w:r>
      <w:r>
        <w:rPr>
          <w:vertAlign w:val="baseline"/>
        </w:rPr>
        <w:t>A trust may, moreover, be created without using any particular form of words; and where </w:t>
      </w:r>
      <w:bookmarkStart w:name="_bookmark990" w:id="992"/>
      <w:bookmarkEnd w:id="992"/>
      <w:r>
        <w:rPr>
          <w:vertAlign w:val="baseline"/>
        </w:rPr>
        <w:t>the</w:t>
      </w:r>
      <w:r>
        <w:rPr>
          <w:vertAlign w:val="baseline"/>
        </w:rPr>
        <w:t> word “trust” or “trustee” has not been used, the question whether there is an intention to create a trust gives rise to very great difficulty. Thus in some cases </w:t>
      </w:r>
      <w:r>
        <w:rPr>
          <w:color w:val="005DA1"/>
          <w:u w:val="single" w:color="005DA1"/>
          <w:vertAlign w:val="superscript"/>
        </w:rPr>
        <w:t>520</w:t>
      </w:r>
      <w:r>
        <w:rPr>
          <w:color w:val="005DA1"/>
          <w:vertAlign w:val="baseline"/>
        </w:rPr>
        <w:t> </w:t>
      </w:r>
      <w:r>
        <w:rPr>
          <w:vertAlign w:val="baseline"/>
        </w:rPr>
        <w:t>a promise to a person to provide for his </w:t>
      </w:r>
      <w:bookmarkStart w:name="_bookmark991" w:id="993"/>
      <w:bookmarkEnd w:id="993"/>
      <w:r>
        <w:rPr>
          <w:vertAlign w:val="baseline"/>
        </w:rPr>
        <w:t>dependants</w:t>
      </w:r>
      <w:r>
        <w:rPr>
          <w:vertAlign w:val="baseline"/>
        </w:rPr>
        <w:t> on his retirement or death has been held to create a trust in their favour, while in other cases </w:t>
      </w:r>
      <w:r>
        <w:rPr>
          <w:color w:val="005DA1"/>
          <w:u w:val="single" w:color="005DA1"/>
          <w:vertAlign w:val="superscript"/>
        </w:rPr>
        <w:t>521</w:t>
      </w:r>
      <w:r>
        <w:rPr>
          <w:color w:val="005DA1"/>
          <w:vertAlign w:val="baseline"/>
        </w:rPr>
        <w:t> </w:t>
      </w:r>
      <w:r>
        <w:rPr>
          <w:vertAlign w:val="baseline"/>
        </w:rPr>
        <w:t>such a promise has been held not to have this effect. </w:t>
      </w:r>
      <w:r>
        <w:rPr>
          <w:color w:val="005DA1"/>
          <w:u w:val="single" w:color="005DA1"/>
          <w:vertAlign w:val="superscript"/>
        </w:rPr>
        <w:t>522</w:t>
      </w:r>
      <w:r>
        <w:rPr>
          <w:color w:val="005DA1"/>
          <w:vertAlign w:val="baseline"/>
        </w:rPr>
        <w:t> </w:t>
      </w:r>
      <w:r>
        <w:rPr>
          <w:vertAlign w:val="baseline"/>
        </w:rPr>
        <w:t>Similarly, life insurance policies </w:t>
      </w:r>
      <w:bookmarkStart w:name="_bookmark992" w:id="994"/>
      <w:bookmarkEnd w:id="994"/>
      <w:r>
        <w:rPr>
          <w:vertAlign w:val="baseline"/>
        </w:rPr>
        <w:t>expressed</w:t>
      </w:r>
      <w:r>
        <w:rPr>
          <w:vertAlign w:val="baseline"/>
        </w:rPr>
        <w:t> to be for the benefit of third parties have in some cases been held to create trusts in their </w:t>
      </w:r>
      <w:bookmarkStart w:name="_bookmark993" w:id="995"/>
      <w:bookmarkEnd w:id="995"/>
      <w:r>
        <w:rPr>
          <w:vertAlign w:val="baseline"/>
        </w:rPr>
        <w:t>favour,</w:t>
      </w:r>
      <w:r>
        <w:rPr>
          <w:vertAlign w:val="baseline"/>
        </w:rPr>
        <w:t> </w:t>
      </w:r>
      <w:r>
        <w:rPr>
          <w:color w:val="005DA1"/>
          <w:u w:val="single" w:color="005DA1"/>
          <w:vertAlign w:val="superscript"/>
        </w:rPr>
        <w:t>523</w:t>
      </w:r>
      <w:r>
        <w:rPr>
          <w:color w:val="005DA1"/>
          <w:vertAlign w:val="baseline"/>
        </w:rPr>
        <w:t> </w:t>
      </w:r>
      <w:r>
        <w:rPr>
          <w:vertAlign w:val="baseline"/>
        </w:rPr>
        <w:t>and in others to confer no enforceable rights on them. </w:t>
      </w:r>
      <w:r>
        <w:rPr>
          <w:color w:val="005DA1"/>
          <w:u w:val="single" w:color="005DA1"/>
          <w:vertAlign w:val="superscript"/>
        </w:rPr>
        <w:t>524</w:t>
      </w:r>
      <w:r>
        <w:rPr>
          <w:color w:val="005DA1"/>
          <w:vertAlign w:val="baseline"/>
        </w:rPr>
        <w:t> </w:t>
      </w:r>
      <w:r>
        <w:rPr>
          <w:vertAlign w:val="baseline"/>
        </w:rPr>
        <w:t>And in some cases concerning </w:t>
      </w:r>
      <w:bookmarkStart w:name="_bookmark994" w:id="996"/>
      <w:bookmarkEnd w:id="996"/>
      <w:r>
        <w:rPr>
          <w:vertAlign w:val="baseline"/>
        </w:rPr>
        <w:t>other</w:t>
      </w:r>
      <w:r>
        <w:rPr>
          <w:spacing w:val="-2"/>
          <w:vertAlign w:val="baseline"/>
        </w:rPr>
        <w:t> </w:t>
      </w:r>
      <w:r>
        <w:rPr>
          <w:vertAlign w:val="baseline"/>
        </w:rPr>
        <w:t>types</w:t>
      </w:r>
      <w:r>
        <w:rPr>
          <w:spacing w:val="-2"/>
          <w:vertAlign w:val="baseline"/>
        </w:rPr>
        <w:t> </w:t>
      </w:r>
      <w:r>
        <w:rPr>
          <w:vertAlign w:val="baseline"/>
        </w:rPr>
        <w:t>of</w:t>
      </w:r>
      <w:r>
        <w:rPr>
          <w:spacing w:val="-2"/>
          <w:vertAlign w:val="baseline"/>
        </w:rPr>
        <w:t> </w:t>
      </w:r>
      <w:r>
        <w:rPr>
          <w:vertAlign w:val="baseline"/>
        </w:rPr>
        <w:t>insurance</w:t>
      </w:r>
      <w:r>
        <w:rPr>
          <w:spacing w:val="-3"/>
          <w:vertAlign w:val="baseline"/>
        </w:rPr>
        <w:t> </w:t>
      </w:r>
      <w:r>
        <w:rPr>
          <w:color w:val="005DA1"/>
          <w:u w:val="single" w:color="005DA1"/>
          <w:vertAlign w:val="superscript"/>
        </w:rPr>
        <w:t>525</w:t>
      </w:r>
      <w:r>
        <w:rPr>
          <w:color w:val="005DA1"/>
          <w:spacing w:val="-2"/>
          <w:vertAlign w:val="baseline"/>
        </w:rPr>
        <w:t> </w:t>
      </w:r>
      <w:r>
        <w:rPr>
          <w:vertAlign w:val="baseline"/>
        </w:rPr>
        <w:t>the</w:t>
      </w:r>
      <w:r>
        <w:rPr>
          <w:spacing w:val="-2"/>
          <w:vertAlign w:val="baseline"/>
        </w:rPr>
        <w:t> </w:t>
      </w:r>
      <w:r>
        <w:rPr>
          <w:vertAlign w:val="baseline"/>
        </w:rPr>
        <w:t>courts</w:t>
      </w:r>
      <w:r>
        <w:rPr>
          <w:spacing w:val="-2"/>
          <w:vertAlign w:val="baseline"/>
        </w:rPr>
        <w:t> </w:t>
      </w:r>
      <w:r>
        <w:rPr>
          <w:vertAlign w:val="baseline"/>
        </w:rPr>
        <w:t>have</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could</w:t>
      </w:r>
      <w:r>
        <w:rPr>
          <w:spacing w:val="-2"/>
          <w:vertAlign w:val="baseline"/>
        </w:rPr>
        <w:t> </w:t>
      </w:r>
      <w:r>
        <w:rPr>
          <w:vertAlign w:val="baseline"/>
        </w:rPr>
        <w:t>take</w:t>
      </w:r>
      <w:r>
        <w:rPr>
          <w:spacing w:val="-2"/>
          <w:vertAlign w:val="baseline"/>
        </w:rPr>
        <w:t> </w:t>
      </w:r>
      <w:r>
        <w:rPr>
          <w:vertAlign w:val="baseline"/>
        </w:rPr>
        <w:t>advantage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policy </w:t>
      </w:r>
      <w:bookmarkStart w:name="_bookmark995" w:id="997"/>
      <w:bookmarkEnd w:id="997"/>
      <w:r>
        <w:rPr>
          <w:vertAlign w:val="baseline"/>
        </w:rPr>
        <w:t>under</w:t>
      </w:r>
      <w:r>
        <w:rPr>
          <w:spacing w:val="-2"/>
          <w:vertAlign w:val="baseline"/>
        </w:rPr>
        <w:t> </w:t>
      </w:r>
      <w:r>
        <w:rPr>
          <w:vertAlign w:val="baseline"/>
        </w:rPr>
        <w:t>the</w:t>
      </w:r>
      <w:r>
        <w:rPr>
          <w:spacing w:val="-2"/>
          <w:vertAlign w:val="baseline"/>
        </w:rPr>
        <w:t> </w:t>
      </w:r>
      <w:r>
        <w:rPr>
          <w:vertAlign w:val="baseline"/>
        </w:rPr>
        <w:t>trust</w:t>
      </w:r>
      <w:r>
        <w:rPr>
          <w:spacing w:val="-2"/>
          <w:vertAlign w:val="baseline"/>
        </w:rPr>
        <w:t> </w:t>
      </w:r>
      <w:r>
        <w:rPr>
          <w:vertAlign w:val="baseline"/>
        </w:rPr>
        <w:t>device,</w:t>
      </w:r>
      <w:r>
        <w:rPr>
          <w:spacing w:val="-3"/>
          <w:vertAlign w:val="baseline"/>
        </w:rPr>
        <w:t> </w:t>
      </w:r>
      <w:r>
        <w:rPr>
          <w:color w:val="005DA1"/>
          <w:u w:val="single" w:color="005DA1"/>
          <w:vertAlign w:val="superscript"/>
        </w:rPr>
        <w:t>526</w:t>
      </w:r>
      <w:r>
        <w:rPr>
          <w:color w:val="005DA1"/>
          <w:spacing w:val="-2"/>
          <w:vertAlign w:val="baseline"/>
        </w:rPr>
        <w:t> </w:t>
      </w:r>
      <w:r>
        <w:rPr>
          <w:vertAlign w:val="baseline"/>
        </w:rPr>
        <w:t>while</w:t>
      </w:r>
      <w:r>
        <w:rPr>
          <w:spacing w:val="-2"/>
          <w:vertAlign w:val="baseline"/>
        </w:rPr>
        <w:t> </w:t>
      </w:r>
      <w:r>
        <w:rPr>
          <w:vertAlign w:val="baseline"/>
        </w:rPr>
        <w:t>in</w:t>
      </w:r>
      <w:r>
        <w:rPr>
          <w:spacing w:val="-2"/>
          <w:vertAlign w:val="baseline"/>
        </w:rPr>
        <w:t> </w:t>
      </w:r>
      <w:r>
        <w:rPr>
          <w:vertAlign w:val="baseline"/>
        </w:rPr>
        <w:t>others</w:t>
      </w:r>
      <w:r>
        <w:rPr>
          <w:spacing w:val="-2"/>
          <w:vertAlign w:val="baseline"/>
        </w:rPr>
        <w:t> </w:t>
      </w:r>
      <w:r>
        <w:rPr>
          <w:vertAlign w:val="baseline"/>
        </w:rPr>
        <w:t>they</w:t>
      </w:r>
      <w:r>
        <w:rPr>
          <w:spacing w:val="-2"/>
          <w:vertAlign w:val="baseline"/>
        </w:rPr>
        <w:t> </w:t>
      </w:r>
      <w:r>
        <w:rPr>
          <w:vertAlign w:val="baseline"/>
        </w:rPr>
        <w:t>have</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third</w:t>
      </w:r>
      <w:r>
        <w:rPr>
          <w:spacing w:val="-2"/>
          <w:vertAlign w:val="baseline"/>
        </w:rPr>
        <w:t> </w:t>
      </w:r>
      <w:r>
        <w:rPr>
          <w:vertAlign w:val="baseline"/>
        </w:rPr>
        <w:t>parties</w:t>
      </w:r>
      <w:r>
        <w:rPr>
          <w:spacing w:val="-2"/>
          <w:vertAlign w:val="baseline"/>
        </w:rPr>
        <w:t> </w:t>
      </w:r>
      <w:r>
        <w:rPr>
          <w:vertAlign w:val="baseline"/>
        </w:rPr>
        <w:t>had</w:t>
      </w:r>
      <w:r>
        <w:rPr>
          <w:spacing w:val="-2"/>
          <w:vertAlign w:val="baseline"/>
        </w:rPr>
        <w:t> </w:t>
      </w:r>
      <w:r>
        <w:rPr>
          <w:vertAlign w:val="baseline"/>
        </w:rPr>
        <w:t>no</w:t>
      </w:r>
      <w:r>
        <w:rPr>
          <w:spacing w:val="-2"/>
          <w:vertAlign w:val="baseline"/>
        </w:rPr>
        <w:t> </w:t>
      </w:r>
      <w:r>
        <w:rPr>
          <w:vertAlign w:val="baseline"/>
        </w:rPr>
        <w:t>rights</w:t>
      </w:r>
      <w:r>
        <w:rPr>
          <w:spacing w:val="-2"/>
          <w:vertAlign w:val="baseline"/>
        </w:rPr>
        <w:t> </w:t>
      </w:r>
      <w:r>
        <w:rPr>
          <w:vertAlign w:val="baseline"/>
        </w:rPr>
        <w:t>because</w:t>
      </w:r>
      <w:r>
        <w:rPr>
          <w:spacing w:val="-2"/>
          <w:vertAlign w:val="baseline"/>
        </w:rPr>
        <w:t> </w:t>
      </w:r>
      <w:r>
        <w:rPr>
          <w:vertAlign w:val="baseline"/>
        </w:rPr>
        <w:t>of the doctrine of privity. </w:t>
      </w:r>
      <w:r>
        <w:rPr>
          <w:color w:val="005DA1"/>
          <w:u w:val="single" w:color="005DA1"/>
          <w:vertAlign w:val="superscript"/>
        </w:rPr>
        <w:t>527</w:t>
      </w:r>
      <w:r>
        <w:rPr>
          <w:color w:val="005DA1"/>
          <w:vertAlign w:val="baseline"/>
        </w:rPr>
        <w:t> </w:t>
      </w:r>
      <w:r>
        <w:rPr>
          <w:vertAlign w:val="baseline"/>
        </w:rPr>
        <w:t>There is no point in trying to reconcile all these cases. They represent </w:t>
      </w:r>
      <w:bookmarkStart w:name="_bookmark996" w:id="998"/>
      <w:bookmarkEnd w:id="998"/>
      <w:r>
        <w:rPr>
          <w:vertAlign w:val="baseline"/>
        </w:rPr>
        <w:t>different</w:t>
      </w:r>
      <w:r>
        <w:rPr>
          <w:vertAlign w:val="baseline"/>
        </w:rPr>
        <w:t> stages in the development of the law. At one time, the courts were very ready to apply the trust device in order to protect the interests of the third party. </w:t>
      </w:r>
      <w:r>
        <w:rPr>
          <w:color w:val="005DA1"/>
          <w:u w:val="single" w:color="005DA1"/>
          <w:vertAlign w:val="superscript"/>
        </w:rPr>
        <w:t>528</w:t>
      </w:r>
      <w:r>
        <w:rPr>
          <w:color w:val="005DA1"/>
          <w:vertAlign w:val="baseline"/>
        </w:rPr>
        <w:t> </w:t>
      </w:r>
      <w:r>
        <w:rPr>
          <w:vertAlign w:val="baseline"/>
        </w:rPr>
        <w:t>Later, they became more reluctant to </w:t>
      </w:r>
      <w:bookmarkStart w:name="_bookmark997" w:id="999"/>
      <w:bookmarkEnd w:id="999"/>
      <w:r>
        <w:rPr>
          <w:vertAlign w:val="baseline"/>
        </w:rPr>
        <w:t>apply</w:t>
      </w:r>
      <w:r>
        <w:rPr>
          <w:spacing w:val="-2"/>
          <w:vertAlign w:val="baseline"/>
        </w:rPr>
        <w:t> </w:t>
      </w:r>
      <w:r>
        <w:rPr>
          <w:vertAlign w:val="baseline"/>
        </w:rPr>
        <w:t>the</w:t>
      </w:r>
      <w:r>
        <w:rPr>
          <w:spacing w:val="-2"/>
          <w:vertAlign w:val="baseline"/>
        </w:rPr>
        <w:t> </w:t>
      </w:r>
      <w:r>
        <w:rPr>
          <w:vertAlign w:val="baseline"/>
        </w:rPr>
        <w:t>device</w:t>
      </w:r>
      <w:r>
        <w:rPr>
          <w:spacing w:val="-2"/>
          <w:vertAlign w:val="baseline"/>
        </w:rPr>
        <w:t> </w:t>
      </w:r>
      <w:r>
        <w:rPr>
          <w:vertAlign w:val="baseline"/>
        </w:rPr>
        <w:t>because,</w:t>
      </w:r>
      <w:r>
        <w:rPr>
          <w:spacing w:val="-2"/>
          <w:vertAlign w:val="baseline"/>
        </w:rPr>
        <w:t> </w:t>
      </w:r>
      <w:r>
        <w:rPr>
          <w:vertAlign w:val="baseline"/>
        </w:rPr>
        <w:t>once</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created</w:t>
      </w:r>
      <w:r>
        <w:rPr>
          <w:spacing w:val="-2"/>
          <w:vertAlign w:val="baseline"/>
        </w:rPr>
        <w:t> </w:t>
      </w:r>
      <w:r>
        <w:rPr>
          <w:vertAlign w:val="baseline"/>
        </w:rPr>
        <w:t>a</w:t>
      </w:r>
      <w:r>
        <w:rPr>
          <w:spacing w:val="-2"/>
          <w:vertAlign w:val="baseline"/>
        </w:rPr>
        <w:t> </w:t>
      </w:r>
      <w:r>
        <w:rPr>
          <w:vertAlign w:val="baseline"/>
        </w:rPr>
        <w:t>trust</w:t>
      </w:r>
      <w:r>
        <w:rPr>
          <w:spacing w:val="-2"/>
          <w:vertAlign w:val="baseline"/>
        </w:rPr>
        <w:t> </w:t>
      </w:r>
      <w:r>
        <w:rPr>
          <w:vertAlign w:val="baseline"/>
        </w:rPr>
        <w:t>in</w:t>
      </w:r>
      <w:r>
        <w:rPr>
          <w:spacing w:val="-2"/>
          <w:vertAlign w:val="baseline"/>
        </w:rPr>
        <w:t> </w:t>
      </w:r>
      <w:r>
        <w:rPr>
          <w:vertAlign w:val="baseline"/>
        </w:rPr>
        <w:t>favour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third</w:t>
      </w:r>
      <w:r>
        <w:rPr>
          <w:spacing w:val="-2"/>
          <w:vertAlign w:val="baseline"/>
        </w:rPr>
        <w:t> </w:t>
      </w:r>
      <w:r>
        <w:rPr>
          <w:vertAlign w:val="baseline"/>
        </w:rPr>
        <w:t>party, the parties to that contract lost the right to vary it by mutual consent. </w:t>
      </w:r>
      <w:r>
        <w:rPr>
          <w:color w:val="005DA1"/>
          <w:u w:val="single" w:color="005DA1"/>
          <w:vertAlign w:val="superscript"/>
        </w:rPr>
        <w:t>529</w:t>
      </w:r>
      <w:r>
        <w:rPr>
          <w:color w:val="005DA1"/>
          <w:vertAlign w:val="baseline"/>
        </w:rPr>
        <w:t> </w:t>
      </w:r>
      <w:r>
        <w:rPr>
          <w:vertAlign w:val="baseline"/>
        </w:rPr>
        <w:t>Although there are, therefore, no clear rules which determine the existence of a trust in cases of this kind, it is possible to extract from the cases a number of principles which will serve as some guide to the solution of future problems. These principles are discussed in paras 18-082 to 18-084 below.</w:t>
      </w:r>
    </w:p>
    <w:p>
      <w:pPr>
        <w:pStyle w:val="BodyText"/>
      </w:pPr>
    </w:p>
    <w:p>
      <w:pPr>
        <w:pStyle w:val="BodyText"/>
        <w:spacing w:before="30"/>
      </w:pPr>
    </w:p>
    <w:p>
      <w:pPr>
        <w:spacing w:before="1"/>
        <w:ind w:left="164" w:right="0" w:firstLine="0"/>
        <w:jc w:val="both"/>
        <w:rPr>
          <w:rFonts w:ascii="Arial"/>
          <w:b/>
          <w:sz w:val="18"/>
        </w:rPr>
      </w:pPr>
      <w:r>
        <w:rPr>
          <w:rFonts w:ascii="Arial"/>
          <w:b/>
          <w:sz w:val="18"/>
        </w:rPr>
        <w:t>Intention to benefit third party </w:t>
      </w:r>
      <w:r>
        <w:rPr>
          <w:rFonts w:ascii="Arial"/>
          <w:b/>
          <w:spacing w:val="-2"/>
          <w:sz w:val="18"/>
        </w:rPr>
        <w:t>necessary</w:t>
      </w:r>
    </w:p>
    <w:p>
      <w:pPr>
        <w:spacing w:after="0"/>
        <w:jc w:val="both"/>
        <w:rPr>
          <w:rFonts w:ascii="Arial"/>
          <w:b/>
          <w:sz w:val="18"/>
        </w:rPr>
        <w:sectPr>
          <w:pgSz w:w="11900" w:h="16840"/>
          <w:pgMar w:header="992" w:footer="0" w:top="4700" w:bottom="280" w:left="1275" w:right="1275"/>
        </w:sectPr>
      </w:pPr>
    </w:p>
    <w:p>
      <w:pPr>
        <w:pStyle w:val="BodyText"/>
        <w:spacing w:before="130"/>
        <w:rPr>
          <w:rFonts w:ascii="Arial"/>
          <w:b/>
          <w:sz w:val="24"/>
        </w:rPr>
      </w:pPr>
    </w:p>
    <w:p>
      <w:pPr>
        <w:pStyle w:val="Heading2"/>
      </w:pPr>
      <w:r>
        <w:rPr/>
        <w:t>18-</w:t>
      </w:r>
      <w:r>
        <w:rPr>
          <w:spacing w:val="-5"/>
        </w:rPr>
        <w:t>082</w:t>
      </w:r>
    </w:p>
    <w:p>
      <w:pPr>
        <w:pStyle w:val="BodyText"/>
        <w:spacing w:line="235" w:lineRule="auto" w:before="203"/>
        <w:ind w:left="164" w:right="167"/>
        <w:jc w:val="both"/>
      </w:pPr>
      <w:bookmarkStart w:name="_bookmark998" w:id="1000"/>
      <w:bookmarkEnd w:id="1000"/>
      <w:r>
        <w:rPr/>
      </w:r>
      <w:bookmarkStart w:name="_bookmark999" w:id="1001"/>
      <w:bookmarkEnd w:id="1001"/>
      <w:r>
        <w:rPr/>
      </w:r>
      <w:r>
        <w:rPr/>
        <w:t>There must be an intention to benefit the third party. </w:t>
      </w:r>
      <w:r>
        <w:rPr>
          <w:color w:val="005DA1"/>
          <w:u w:val="single" w:color="005DA1"/>
          <w:vertAlign w:val="superscript"/>
        </w:rPr>
        <w:t>530</w:t>
      </w:r>
      <w:r>
        <w:rPr>
          <w:color w:val="005DA1"/>
          <w:vertAlign w:val="baseline"/>
        </w:rPr>
        <w:t> </w:t>
      </w:r>
      <w:r>
        <w:rPr>
          <w:vertAlign w:val="baseline"/>
        </w:rPr>
        <w:t>If the promisee took the promise for his </w:t>
      </w:r>
      <w:r>
        <w:rPr>
          <w:vertAlign w:val="baseline"/>
        </w:rPr>
        <w:t>own benefit there will be no trust in favour of the third party. </w:t>
      </w:r>
      <w:r>
        <w:rPr>
          <w:color w:val="005DA1"/>
          <w:u w:val="single" w:color="005DA1"/>
          <w:vertAlign w:val="superscript"/>
        </w:rPr>
        <w:t>531</w:t>
      </w:r>
      <w:r>
        <w:rPr>
          <w:color w:val="005DA1"/>
          <w:vertAlign w:val="baseline"/>
        </w:rPr>
        <w:t> </w:t>
      </w:r>
      <w:r>
        <w:rPr>
          <w:vertAlign w:val="baseline"/>
        </w:rPr>
        <w:t>The same may be true if it is as consistent </w:t>
      </w:r>
      <w:bookmarkStart w:name="_bookmark1000" w:id="1002"/>
      <w:bookmarkEnd w:id="1002"/>
      <w:r>
        <w:rPr>
          <w:vertAlign w:val="baseline"/>
        </w:rPr>
        <w:t>with</w:t>
      </w:r>
      <w:r>
        <w:rPr>
          <w:spacing w:val="-2"/>
          <w:vertAlign w:val="baseline"/>
        </w:rPr>
        <w:t> </w:t>
      </w:r>
      <w:r>
        <w:rPr>
          <w:vertAlign w:val="baseline"/>
        </w:rPr>
        <w:t>the</w:t>
      </w:r>
      <w:r>
        <w:rPr>
          <w:spacing w:val="-2"/>
          <w:vertAlign w:val="baseline"/>
        </w:rPr>
        <w:t> </w:t>
      </w:r>
      <w:r>
        <w:rPr>
          <w:vertAlign w:val="baseline"/>
        </w:rPr>
        <w:t>facts</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promisee</w:t>
      </w:r>
      <w:r>
        <w:rPr>
          <w:spacing w:val="-2"/>
          <w:vertAlign w:val="baseline"/>
        </w:rPr>
        <w:t> </w:t>
      </w:r>
      <w:r>
        <w:rPr>
          <w:vertAlign w:val="baseline"/>
        </w:rPr>
        <w:t>took</w:t>
      </w:r>
      <w:r>
        <w:rPr>
          <w:spacing w:val="-2"/>
          <w:vertAlign w:val="baseline"/>
        </w:rPr>
        <w:t> </w:t>
      </w:r>
      <w:r>
        <w:rPr>
          <w:vertAlign w:val="baseline"/>
        </w:rPr>
        <w:t>the</w:t>
      </w:r>
      <w:r>
        <w:rPr>
          <w:spacing w:val="-2"/>
          <w:vertAlign w:val="baseline"/>
        </w:rPr>
        <w:t> </w:t>
      </w:r>
      <w:r>
        <w:rPr>
          <w:vertAlign w:val="baseline"/>
        </w:rPr>
        <w:t>promise</w:t>
      </w:r>
      <w:r>
        <w:rPr>
          <w:spacing w:val="-2"/>
          <w:vertAlign w:val="baseline"/>
        </w:rPr>
        <w:t> </w:t>
      </w:r>
      <w:r>
        <w:rPr>
          <w:vertAlign w:val="baseline"/>
        </w:rPr>
        <w:t>for</w:t>
      </w:r>
      <w:r>
        <w:rPr>
          <w:spacing w:val="-2"/>
          <w:vertAlign w:val="baseline"/>
        </w:rPr>
        <w:t> </w:t>
      </w:r>
      <w:r>
        <w:rPr>
          <w:vertAlign w:val="baseline"/>
        </w:rPr>
        <w:t>his</w:t>
      </w:r>
      <w:r>
        <w:rPr>
          <w:spacing w:val="-2"/>
          <w:vertAlign w:val="baseline"/>
        </w:rPr>
        <w:t> </w:t>
      </w:r>
      <w:r>
        <w:rPr>
          <w:vertAlign w:val="baseline"/>
        </w:rPr>
        <w:t>own</w:t>
      </w:r>
      <w:r>
        <w:rPr>
          <w:spacing w:val="-2"/>
          <w:vertAlign w:val="baseline"/>
        </w:rPr>
        <w:t> </w:t>
      </w:r>
      <w:r>
        <w:rPr>
          <w:vertAlign w:val="baseline"/>
        </w:rPr>
        <w:t>benefit</w:t>
      </w:r>
      <w:r>
        <w:rPr>
          <w:spacing w:val="-2"/>
          <w:vertAlign w:val="baseline"/>
        </w:rPr>
        <w:t> </w:t>
      </w:r>
      <w:r>
        <w:rPr>
          <w:vertAlign w:val="baseline"/>
        </w:rPr>
        <w:t>as</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took</w:t>
      </w:r>
      <w:r>
        <w:rPr>
          <w:spacing w:val="-2"/>
          <w:vertAlign w:val="baseline"/>
        </w:rPr>
        <w:t> </w:t>
      </w:r>
      <w:r>
        <w:rPr>
          <w:vertAlign w:val="baseline"/>
        </w:rPr>
        <w:t>it</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benefit</w:t>
      </w:r>
      <w:r>
        <w:rPr>
          <w:spacing w:val="-2"/>
          <w:vertAlign w:val="baseline"/>
        </w:rPr>
        <w:t> </w:t>
      </w:r>
      <w:r>
        <w:rPr>
          <w:vertAlign w:val="baseline"/>
        </w:rPr>
        <w:t>of the third party. </w:t>
      </w:r>
      <w:r>
        <w:rPr>
          <w:color w:val="005DA1"/>
          <w:u w:val="single" w:color="005DA1"/>
          <w:vertAlign w:val="superscript"/>
        </w:rPr>
        <w:t>532</w:t>
      </w:r>
      <w:r>
        <w:rPr>
          <w:color w:val="005DA1"/>
          <w:vertAlign w:val="baseline"/>
        </w:rPr>
        <w:t> </w:t>
      </w:r>
      <w:r>
        <w:rPr>
          <w:vertAlign w:val="baseline"/>
        </w:rPr>
        <w:t>Conversely, the fact that the promisee had </w:t>
      </w:r>
      <w:r>
        <w:rPr>
          <w:rFonts w:ascii="Arial"/>
          <w:i/>
          <w:vertAlign w:val="baseline"/>
        </w:rPr>
        <w:t>not </w:t>
      </w:r>
      <w:r>
        <w:rPr>
          <w:vertAlign w:val="baseline"/>
        </w:rPr>
        <w:t>intended to take the promise for his </w:t>
      </w:r>
      <w:bookmarkStart w:name="_bookmark1001" w:id="1003"/>
      <w:bookmarkEnd w:id="1003"/>
      <w:r>
        <w:rPr>
          <w:vertAlign w:val="baseline"/>
        </w:rPr>
        <w:t>own</w:t>
      </w:r>
      <w:r>
        <w:rPr>
          <w:vertAlign w:val="baseline"/>
        </w:rPr>
        <w:t> benefit can be relied on to support the conclusion that there was a trust in favour of the third party. </w:t>
      </w:r>
      <w:r>
        <w:rPr>
          <w:color w:val="005DA1"/>
          <w:u w:val="single" w:color="005DA1"/>
          <w:vertAlign w:val="superscript"/>
        </w:rPr>
        <w:t>533</w:t>
      </w:r>
    </w:p>
    <w:p>
      <w:pPr>
        <w:pStyle w:val="BodyText"/>
      </w:pPr>
    </w:p>
    <w:p>
      <w:pPr>
        <w:pStyle w:val="BodyText"/>
        <w:spacing w:before="36"/>
      </w:pPr>
    </w:p>
    <w:p>
      <w:pPr>
        <w:spacing w:before="0"/>
        <w:ind w:left="165" w:right="0" w:firstLine="0"/>
        <w:jc w:val="left"/>
        <w:rPr>
          <w:rFonts w:ascii="Arial"/>
          <w:b/>
          <w:sz w:val="18"/>
        </w:rPr>
      </w:pPr>
      <w:r>
        <w:rPr>
          <w:rFonts w:ascii="Arial"/>
          <w:b/>
          <w:sz w:val="18"/>
        </w:rPr>
        <w:t>Irrevocability of intention to benefit third </w:t>
      </w:r>
      <w:r>
        <w:rPr>
          <w:rFonts w:ascii="Arial"/>
          <w:b/>
          <w:spacing w:val="-2"/>
          <w:sz w:val="18"/>
        </w:rPr>
        <w:t>party</w:t>
      </w:r>
    </w:p>
    <w:p>
      <w:pPr>
        <w:pStyle w:val="BodyText"/>
        <w:spacing w:before="41"/>
        <w:rPr>
          <w:rFonts w:ascii="Arial"/>
          <w:b/>
          <w:sz w:val="18"/>
        </w:rPr>
      </w:pPr>
    </w:p>
    <w:p>
      <w:pPr>
        <w:pStyle w:val="Heading2"/>
      </w:pPr>
      <w:r>
        <w:rPr/>
        <w:t>18-</w:t>
      </w:r>
      <w:r>
        <w:rPr>
          <w:spacing w:val="-5"/>
        </w:rPr>
        <w:t>083</w:t>
      </w:r>
    </w:p>
    <w:p>
      <w:pPr>
        <w:pStyle w:val="BodyText"/>
        <w:spacing w:line="235" w:lineRule="auto" w:before="203"/>
        <w:ind w:left="165" w:right="167"/>
        <w:jc w:val="both"/>
      </w:pPr>
      <w:bookmarkStart w:name="_bookmark1002" w:id="1004"/>
      <w:bookmarkEnd w:id="1004"/>
      <w:r>
        <w:rPr/>
      </w:r>
      <w:r>
        <w:rPr/>
        <w:t>As a general rule, </w:t>
      </w:r>
      <w:r>
        <w:rPr>
          <w:color w:val="005DA1"/>
          <w:u w:val="single" w:color="005DA1"/>
          <w:vertAlign w:val="superscript"/>
        </w:rPr>
        <w:t>534</w:t>
      </w:r>
      <w:r>
        <w:rPr>
          <w:color w:val="005DA1"/>
          <w:vertAlign w:val="baseline"/>
        </w:rPr>
        <w:t> </w:t>
      </w:r>
      <w:r>
        <w:rPr>
          <w:vertAlign w:val="baseline"/>
        </w:rPr>
        <w:t>the intention to benefit the third party must be irrevocable; so that a contract will not normally give rise to a trust in favour of the third party if, under the terms of the contract, the </w:t>
      </w:r>
      <w:bookmarkStart w:name="_bookmark1003" w:id="1005"/>
      <w:bookmarkEnd w:id="1005"/>
      <w:r>
        <w:rPr>
          <w:vertAlign w:val="baseline"/>
        </w:rPr>
        <w:t>promisee</w:t>
      </w:r>
      <w:r>
        <w:rPr>
          <w:vertAlign w:val="baseline"/>
        </w:rPr>
        <w:t> is entitled to deprive the third party of the benefit by diverting it to himself or to </w:t>
      </w:r>
      <w:r>
        <w:rPr>
          <w:vertAlign w:val="baseline"/>
        </w:rPr>
        <w:t>other beneficiaries not mentioned in the contract. </w:t>
      </w:r>
      <w:r>
        <w:rPr>
          <w:color w:val="005DA1"/>
          <w:u w:val="single" w:color="005DA1"/>
          <w:vertAlign w:val="superscript"/>
        </w:rPr>
        <w:t>535</w:t>
      </w:r>
      <w:r>
        <w:rPr>
          <w:color w:val="005DA1"/>
          <w:vertAlign w:val="baseline"/>
        </w:rPr>
        <w:t> </w:t>
      </w:r>
      <w:r>
        <w:rPr>
          <w:vertAlign w:val="baseline"/>
        </w:rPr>
        <w:t>On the other hand, the existence of such a power to </w:t>
      </w:r>
      <w:bookmarkStart w:name="_bookmark1004" w:id="1006"/>
      <w:bookmarkEnd w:id="1006"/>
      <w:r>
        <w:rPr>
          <w:vertAlign w:val="baseline"/>
        </w:rPr>
        <w:t>divert</w:t>
      </w:r>
      <w:r>
        <w:rPr>
          <w:vertAlign w:val="baseline"/>
        </w:rPr>
        <w:t> the benefit will not negative the intention to create a trust where the power is expressed to be exercisable only for a limited period and is not in fact exercised within that period. </w:t>
      </w:r>
      <w:r>
        <w:rPr>
          <w:color w:val="005DA1"/>
          <w:u w:val="single" w:color="005DA1"/>
          <w:vertAlign w:val="superscript"/>
        </w:rPr>
        <w:t>536</w:t>
      </w:r>
      <w:r>
        <w:rPr>
          <w:color w:val="005DA1"/>
          <w:vertAlign w:val="baseline"/>
        </w:rPr>
        <w:t> </w:t>
      </w:r>
      <w:r>
        <w:rPr>
          <w:vertAlign w:val="baseline"/>
        </w:rPr>
        <w:t>Nor will the existence of a trust necessarily be negatived where a contract names a group of beneficiaries, but </w:t>
      </w:r>
      <w:bookmarkStart w:name="_bookmark1005" w:id="1007"/>
      <w:bookmarkEnd w:id="1007"/>
      <w:r>
        <w:rPr>
          <w:vertAlign w:val="baseline"/>
        </w:rPr>
        <w:t>reserves</w:t>
      </w:r>
      <w:r>
        <w:rPr>
          <w:vertAlign w:val="baseline"/>
        </w:rPr>
        <w:t> to the promisee a power to redistribute the intended benefits among them in variation of the terms of the original contract. </w:t>
      </w:r>
      <w:r>
        <w:rPr>
          <w:color w:val="005DA1"/>
          <w:u w:val="single" w:color="005DA1"/>
          <w:vertAlign w:val="superscript"/>
        </w:rPr>
        <w:t>537</w:t>
      </w:r>
      <w:r>
        <w:rPr>
          <w:color w:val="005DA1"/>
          <w:vertAlign w:val="baseline"/>
        </w:rPr>
        <w:t> </w:t>
      </w:r>
      <w:r>
        <w:rPr>
          <w:vertAlign w:val="baseline"/>
        </w:rPr>
        <w:t>And where a contract </w:t>
      </w:r>
      <w:r>
        <w:rPr>
          <w:rFonts w:ascii="Arial" w:hAnsi="Arial"/>
          <w:i/>
          <w:vertAlign w:val="baseline"/>
        </w:rPr>
        <w:t>by statute </w:t>
      </w:r>
      <w:r>
        <w:rPr>
          <w:vertAlign w:val="baseline"/>
        </w:rPr>
        <w:t>creates a trust, </w:t>
      </w:r>
      <w:r>
        <w:rPr>
          <w:color w:val="005DA1"/>
          <w:u w:val="single" w:color="005DA1"/>
          <w:vertAlign w:val="superscript"/>
        </w:rPr>
        <w:t>538</w:t>
      </w:r>
      <w:r>
        <w:rPr>
          <w:color w:val="005DA1"/>
          <w:vertAlign w:val="baseline"/>
        </w:rPr>
        <w:t> </w:t>
      </w:r>
      <w:r>
        <w:rPr>
          <w:vertAlign w:val="baseline"/>
        </w:rPr>
        <w:t>a general </w:t>
      </w:r>
      <w:bookmarkStart w:name="_bookmark1006" w:id="1008"/>
      <w:bookmarkEnd w:id="1008"/>
      <w:r>
        <w:rPr>
          <w:vertAlign w:val="baseline"/>
        </w:rPr>
        <w:t>provision</w:t>
      </w:r>
      <w:r>
        <w:rPr>
          <w:spacing w:val="-1"/>
          <w:vertAlign w:val="baseline"/>
        </w:rPr>
        <w:t> </w:t>
      </w:r>
      <w:r>
        <w:rPr>
          <w:vertAlign w:val="baseline"/>
        </w:rPr>
        <w:t>purporting</w:t>
      </w:r>
      <w:r>
        <w:rPr>
          <w:spacing w:val="-1"/>
          <w:vertAlign w:val="baseline"/>
        </w:rPr>
        <w:t> </w:t>
      </w:r>
      <w:r>
        <w:rPr>
          <w:vertAlign w:val="baseline"/>
        </w:rPr>
        <w:t>to</w:t>
      </w:r>
      <w:r>
        <w:rPr>
          <w:spacing w:val="-1"/>
          <w:vertAlign w:val="baseline"/>
        </w:rPr>
        <w:t> </w:t>
      </w:r>
      <w:r>
        <w:rPr>
          <w:vertAlign w:val="baseline"/>
        </w:rPr>
        <w:t>entitle</w:t>
      </w:r>
      <w:r>
        <w:rPr>
          <w:spacing w:val="-1"/>
          <w:vertAlign w:val="baseline"/>
        </w:rPr>
        <w:t> </w:t>
      </w:r>
      <w:r>
        <w:rPr>
          <w:vertAlign w:val="baseline"/>
        </w:rPr>
        <w:t>the</w:t>
      </w:r>
      <w:r>
        <w:rPr>
          <w:spacing w:val="-1"/>
          <w:vertAlign w:val="baseline"/>
        </w:rPr>
        <w:t> </w:t>
      </w:r>
      <w:r>
        <w:rPr>
          <w:vertAlign w:val="baseline"/>
        </w:rPr>
        <w:t>promisee</w:t>
      </w:r>
      <w:r>
        <w:rPr>
          <w:spacing w:val="-1"/>
          <w:vertAlign w:val="baseline"/>
        </w:rPr>
        <w:t> </w:t>
      </w:r>
      <w:r>
        <w:rPr>
          <w:vertAlign w:val="baseline"/>
        </w:rPr>
        <w:t>to</w:t>
      </w:r>
      <w:r>
        <w:rPr>
          <w:spacing w:val="-1"/>
          <w:vertAlign w:val="baseline"/>
        </w:rPr>
        <w:t> </w:t>
      </w:r>
      <w:r>
        <w:rPr>
          <w:vertAlign w:val="baseline"/>
        </w:rPr>
        <w:t>divert</w:t>
      </w:r>
      <w:r>
        <w:rPr>
          <w:spacing w:val="-1"/>
          <w:vertAlign w:val="baseline"/>
        </w:rPr>
        <w:t> </w:t>
      </w:r>
      <w:r>
        <w:rPr>
          <w:vertAlign w:val="baseline"/>
        </w:rPr>
        <w:t>the</w:t>
      </w:r>
      <w:r>
        <w:rPr>
          <w:spacing w:val="-1"/>
          <w:vertAlign w:val="baseline"/>
        </w:rPr>
        <w:t> </w:t>
      </w:r>
      <w:r>
        <w:rPr>
          <w:vertAlign w:val="baseline"/>
        </w:rPr>
        <w:t>benefit</w:t>
      </w:r>
      <w:r>
        <w:rPr>
          <w:spacing w:val="-1"/>
          <w:vertAlign w:val="baseline"/>
        </w:rPr>
        <w:t> </w:t>
      </w:r>
      <w:r>
        <w:rPr>
          <w:vertAlign w:val="baseline"/>
        </w:rPr>
        <w:t>to</w:t>
      </w:r>
      <w:r>
        <w:rPr>
          <w:spacing w:val="-1"/>
          <w:vertAlign w:val="baseline"/>
        </w:rPr>
        <w:t> </w:t>
      </w:r>
      <w:r>
        <w:rPr>
          <w:vertAlign w:val="baseline"/>
        </w:rPr>
        <w:t>whom</w:t>
      </w:r>
      <w:r>
        <w:rPr>
          <w:spacing w:val="-1"/>
          <w:vertAlign w:val="baseline"/>
        </w:rPr>
        <w:t> </w:t>
      </w:r>
      <w:r>
        <w:rPr>
          <w:vertAlign w:val="baseline"/>
        </w:rPr>
        <w:t>he</w:t>
      </w:r>
      <w:r>
        <w:rPr>
          <w:spacing w:val="-1"/>
          <w:vertAlign w:val="baseline"/>
        </w:rPr>
        <w:t> </w:t>
      </w:r>
      <w:r>
        <w:rPr>
          <w:vertAlign w:val="baseline"/>
        </w:rPr>
        <w:t>pleases</w:t>
      </w:r>
      <w:r>
        <w:rPr>
          <w:spacing w:val="-1"/>
          <w:vertAlign w:val="baseline"/>
        </w:rPr>
        <w:t> </w:t>
      </w:r>
      <w:r>
        <w:rPr>
          <w:vertAlign w:val="baseline"/>
        </w:rPr>
        <w:t>will</w:t>
      </w:r>
      <w:r>
        <w:rPr>
          <w:spacing w:val="-1"/>
          <w:vertAlign w:val="baseline"/>
        </w:rPr>
        <w:t> </w:t>
      </w:r>
      <w:r>
        <w:rPr>
          <w:vertAlign w:val="baseline"/>
        </w:rPr>
        <w:t>not</w:t>
      </w:r>
      <w:r>
        <w:rPr>
          <w:spacing w:val="-1"/>
          <w:vertAlign w:val="baseline"/>
        </w:rPr>
        <w:t> </w:t>
      </w:r>
      <w:r>
        <w:rPr>
          <w:vertAlign w:val="baseline"/>
        </w:rPr>
        <w:t>defeat</w:t>
      </w:r>
      <w:r>
        <w:rPr>
          <w:spacing w:val="-1"/>
          <w:vertAlign w:val="baseline"/>
        </w:rPr>
        <w:t> </w:t>
      </w:r>
      <w:r>
        <w:rPr>
          <w:vertAlign w:val="baseline"/>
        </w:rPr>
        <w:t>the trust: on the contrary, such a power can be used only for the benefit of the objects of the trust. </w:t>
      </w:r>
      <w:r>
        <w:rPr>
          <w:color w:val="005DA1"/>
          <w:u w:val="single" w:color="005DA1"/>
          <w:vertAlign w:val="superscript"/>
        </w:rPr>
        <w:t>539</w:t>
      </w:r>
      <w:r>
        <w:rPr>
          <w:color w:val="005DA1"/>
          <w:vertAlign w:val="baseline"/>
        </w:rPr>
        <w:t> </w:t>
      </w:r>
      <w:r>
        <w:rPr>
          <w:vertAlign w:val="baseline"/>
        </w:rPr>
        <w:t>The court may conclude that there was no intention irrevocably to benefit the third party even though the contract contains no express provision entitling the promisee to divert the benefit away from the third party. It may do so on the ground that the contract would, if it were held to give rise to a trust, unduly </w:t>
      </w:r>
      <w:bookmarkStart w:name="_bookmark1007" w:id="1009"/>
      <w:bookmarkEnd w:id="1009"/>
      <w:r>
        <w:rPr>
          <w:vertAlign w:val="baseline"/>
        </w:rPr>
        <w:t>limit</w:t>
      </w:r>
      <w:r>
        <w:rPr>
          <w:vertAlign w:val="baseline"/>
        </w:rPr>
        <w:t> the freedom of action of the parties or of one of them: e.g. by restricting the promisee’s freedom of</w:t>
      </w:r>
      <w:r>
        <w:rPr>
          <w:spacing w:val="-1"/>
          <w:vertAlign w:val="baseline"/>
        </w:rPr>
        <w:t> </w:t>
      </w:r>
      <w:r>
        <w:rPr>
          <w:vertAlign w:val="baseline"/>
        </w:rPr>
        <w:t>movement</w:t>
      </w:r>
      <w:r>
        <w:rPr>
          <w:spacing w:val="-2"/>
          <w:vertAlign w:val="baseline"/>
        </w:rPr>
        <w:t> </w:t>
      </w:r>
      <w:r>
        <w:rPr>
          <w:color w:val="005DA1"/>
          <w:u w:val="single" w:color="005DA1"/>
          <w:vertAlign w:val="superscript"/>
        </w:rPr>
        <w:t>540</w:t>
      </w:r>
      <w:r>
        <w:rPr>
          <w:color w:val="005DA1"/>
          <w:spacing w:val="-2"/>
          <w:vertAlign w:val="baseline"/>
        </w:rPr>
        <w:t> </w:t>
      </w:r>
      <w:r>
        <w:rPr>
          <w:vertAlign w:val="baseline"/>
        </w:rPr>
        <w:t>or</w:t>
      </w:r>
      <w:r>
        <w:rPr>
          <w:spacing w:val="-1"/>
          <w:vertAlign w:val="baseline"/>
        </w:rPr>
        <w:t> </w:t>
      </w:r>
      <w:r>
        <w:rPr>
          <w:vertAlign w:val="baseline"/>
        </w:rPr>
        <w:t>by</w:t>
      </w:r>
      <w:r>
        <w:rPr>
          <w:spacing w:val="-1"/>
          <w:vertAlign w:val="baseline"/>
        </w:rPr>
        <w:t> </w:t>
      </w:r>
      <w:r>
        <w:rPr>
          <w:vertAlign w:val="baseline"/>
        </w:rPr>
        <w:t>depriving</w:t>
      </w:r>
      <w:r>
        <w:rPr>
          <w:spacing w:val="-1"/>
          <w:vertAlign w:val="baseline"/>
        </w:rPr>
        <w:t> </w:t>
      </w:r>
      <w:r>
        <w:rPr>
          <w:vertAlign w:val="baseline"/>
        </w:rPr>
        <w:t>the</w:t>
      </w:r>
      <w:r>
        <w:rPr>
          <w:spacing w:val="-1"/>
          <w:vertAlign w:val="baseline"/>
        </w:rPr>
        <w:t> </w:t>
      </w:r>
      <w:r>
        <w:rPr>
          <w:vertAlign w:val="baseline"/>
        </w:rPr>
        <w:t>parties to</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of</w:t>
      </w:r>
      <w:r>
        <w:rPr>
          <w:spacing w:val="-1"/>
          <w:vertAlign w:val="baseline"/>
        </w:rPr>
        <w:t> </w:t>
      </w:r>
      <w:r>
        <w:rPr>
          <w:vertAlign w:val="baseline"/>
        </w:rPr>
        <w:t>their</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vary it</w:t>
      </w:r>
      <w:r>
        <w:rPr>
          <w:spacing w:val="-1"/>
          <w:vertAlign w:val="baseline"/>
        </w:rPr>
        <w:t> </w:t>
      </w:r>
      <w:r>
        <w:rPr>
          <w:vertAlign w:val="baseline"/>
        </w:rPr>
        <w:t>by</w:t>
      </w:r>
      <w:r>
        <w:rPr>
          <w:spacing w:val="-1"/>
          <w:vertAlign w:val="baseline"/>
        </w:rPr>
        <w:t> </w:t>
      </w:r>
      <w:r>
        <w:rPr>
          <w:vertAlign w:val="baseline"/>
        </w:rPr>
        <w:t>mutual</w:t>
      </w:r>
      <w:r>
        <w:rPr>
          <w:spacing w:val="-1"/>
          <w:vertAlign w:val="baseline"/>
        </w:rPr>
        <w:t> </w:t>
      </w:r>
      <w:r>
        <w:rPr>
          <w:vertAlign w:val="baseline"/>
        </w:rPr>
        <w:t>consent.</w:t>
      </w:r>
      <w:r>
        <w:rPr>
          <w:spacing w:val="-2"/>
          <w:vertAlign w:val="baseline"/>
        </w:rPr>
        <w:t> </w:t>
      </w:r>
      <w:r>
        <w:rPr>
          <w:color w:val="005DA1"/>
          <w:spacing w:val="-5"/>
          <w:u w:val="single" w:color="005DA1"/>
          <w:vertAlign w:val="superscript"/>
        </w:rPr>
        <w:t>541</w:t>
      </w:r>
    </w:p>
    <w:p>
      <w:pPr>
        <w:pStyle w:val="BodyText"/>
      </w:pPr>
    </w:p>
    <w:p>
      <w:pPr>
        <w:pStyle w:val="BodyText"/>
        <w:spacing w:before="32"/>
      </w:pPr>
    </w:p>
    <w:p>
      <w:pPr>
        <w:spacing w:before="1"/>
        <w:ind w:left="164" w:right="0" w:firstLine="0"/>
        <w:jc w:val="left"/>
        <w:rPr>
          <w:rFonts w:ascii="Arial"/>
          <w:b/>
          <w:sz w:val="18"/>
        </w:rPr>
      </w:pPr>
      <w:r>
        <w:rPr>
          <w:rFonts w:ascii="Arial"/>
          <w:b/>
          <w:sz w:val="18"/>
        </w:rPr>
        <w:t>Intention to benefit third party not </w:t>
      </w:r>
      <w:r>
        <w:rPr>
          <w:rFonts w:ascii="Arial"/>
          <w:b/>
          <w:spacing w:val="-2"/>
          <w:sz w:val="18"/>
        </w:rPr>
        <w:t>sufficient</w:t>
      </w:r>
    </w:p>
    <w:p>
      <w:pPr>
        <w:pStyle w:val="BodyText"/>
        <w:spacing w:before="41"/>
        <w:rPr>
          <w:rFonts w:ascii="Arial"/>
          <w:b/>
          <w:sz w:val="18"/>
        </w:rPr>
      </w:pPr>
    </w:p>
    <w:p>
      <w:pPr>
        <w:pStyle w:val="Heading2"/>
        <w:ind w:left="164"/>
      </w:pPr>
      <w:r>
        <w:rPr/>
        <w:t>18-</w:t>
      </w:r>
      <w:r>
        <w:rPr>
          <w:spacing w:val="-5"/>
        </w:rPr>
        <w:t>084</w:t>
      </w:r>
    </w:p>
    <w:p>
      <w:pPr>
        <w:pStyle w:val="BodyText"/>
        <w:spacing w:line="235" w:lineRule="auto" w:before="203"/>
        <w:ind w:left="164" w:right="167"/>
        <w:jc w:val="both"/>
      </w:pPr>
      <w:bookmarkStart w:name="_bookmark1008" w:id="1010"/>
      <w:bookmarkEnd w:id="1010"/>
      <w:r>
        <w:rPr/>
      </w:r>
      <w:r>
        <w:rPr/>
        <w:t>The intention to benefit the third party is not, without more, sufficient, since an intention to make a gift must</w:t>
      </w:r>
      <w:r>
        <w:rPr>
          <w:spacing w:val="-2"/>
        </w:rPr>
        <w:t> </w:t>
      </w:r>
      <w:r>
        <w:rPr/>
        <w:t>be</w:t>
      </w:r>
      <w:r>
        <w:rPr>
          <w:spacing w:val="-2"/>
        </w:rPr>
        <w:t> </w:t>
      </w:r>
      <w:r>
        <w:rPr/>
        <w:t>distinguished</w:t>
      </w:r>
      <w:r>
        <w:rPr>
          <w:spacing w:val="-2"/>
        </w:rPr>
        <w:t> </w:t>
      </w:r>
      <w:r>
        <w:rPr/>
        <w:t>from</w:t>
      </w:r>
      <w:r>
        <w:rPr>
          <w:spacing w:val="-2"/>
        </w:rPr>
        <w:t> </w:t>
      </w:r>
      <w:r>
        <w:rPr/>
        <w:t>an</w:t>
      </w:r>
      <w:r>
        <w:rPr>
          <w:spacing w:val="-2"/>
        </w:rPr>
        <w:t> </w:t>
      </w:r>
      <w:r>
        <w:rPr/>
        <w:t>intention</w:t>
      </w:r>
      <w:r>
        <w:rPr>
          <w:spacing w:val="-2"/>
        </w:rPr>
        <w:t> </w:t>
      </w:r>
      <w:r>
        <w:rPr/>
        <w:t>to</w:t>
      </w:r>
      <w:r>
        <w:rPr>
          <w:spacing w:val="-2"/>
        </w:rPr>
        <w:t> </w:t>
      </w:r>
      <w:r>
        <w:rPr/>
        <w:t>create</w:t>
      </w:r>
      <w:r>
        <w:rPr>
          <w:spacing w:val="-2"/>
        </w:rPr>
        <w:t> </w:t>
      </w:r>
      <w:r>
        <w:rPr/>
        <w:t>a</w:t>
      </w:r>
      <w:r>
        <w:rPr>
          <w:spacing w:val="-2"/>
        </w:rPr>
        <w:t> </w:t>
      </w:r>
      <w:r>
        <w:rPr/>
        <w:t>trust.</w:t>
      </w:r>
      <w:r>
        <w:rPr>
          <w:spacing w:val="-3"/>
        </w:rPr>
        <w:t> </w:t>
      </w:r>
      <w:r>
        <w:rPr>
          <w:color w:val="005DA1"/>
          <w:u w:val="single" w:color="005DA1"/>
          <w:vertAlign w:val="superscript"/>
        </w:rPr>
        <w:t>542</w:t>
      </w:r>
      <w:r>
        <w:rPr>
          <w:color w:val="005DA1"/>
          <w:spacing w:val="-2"/>
          <w:vertAlign w:val="baseline"/>
        </w:rPr>
        <w:t> </w:t>
      </w:r>
      <w:r>
        <w:rPr>
          <w:vertAlign w:val="baseline"/>
        </w:rPr>
        <w:t>There</w:t>
      </w:r>
      <w:r>
        <w:rPr>
          <w:spacing w:val="-2"/>
          <w:vertAlign w:val="baseline"/>
        </w:rPr>
        <w:t> </w:t>
      </w:r>
      <w:r>
        <w:rPr>
          <w:vertAlign w:val="baseline"/>
        </w:rPr>
        <w:t>are</w:t>
      </w:r>
      <w:r>
        <w:rPr>
          <w:spacing w:val="-2"/>
          <w:vertAlign w:val="baseline"/>
        </w:rPr>
        <w:t> </w:t>
      </w:r>
      <w:r>
        <w:rPr>
          <w:vertAlign w:val="baseline"/>
        </w:rPr>
        <w:t>many</w:t>
      </w:r>
      <w:r>
        <w:rPr>
          <w:spacing w:val="-2"/>
          <w:vertAlign w:val="baseline"/>
        </w:rPr>
        <w:t> </w:t>
      </w:r>
      <w:r>
        <w:rPr>
          <w:vertAlign w:val="baseline"/>
        </w:rPr>
        <w:t>cases</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courts </w:t>
      </w:r>
      <w:bookmarkStart w:name="_bookmark1009" w:id="1011"/>
      <w:bookmarkEnd w:id="1011"/>
      <w:r>
        <w:rPr>
          <w:vertAlign w:val="baseline"/>
        </w:rPr>
        <w:t>have</w:t>
      </w:r>
      <w:r>
        <w:rPr>
          <w:vertAlign w:val="baseline"/>
        </w:rPr>
        <w:t> refused to apply the trust device although the promisee clearly, irrevocably and without qualification intended to benefit the third party. </w:t>
      </w:r>
      <w:r>
        <w:rPr>
          <w:color w:val="005DA1"/>
          <w:u w:val="single" w:color="005DA1"/>
          <w:vertAlign w:val="superscript"/>
        </w:rPr>
        <w:t>543</w:t>
      </w:r>
      <w:r>
        <w:rPr>
          <w:color w:val="005DA1"/>
          <w:vertAlign w:val="baseline"/>
        </w:rPr>
        <w:t> </w:t>
      </w:r>
      <w:r>
        <w:rPr>
          <w:vertAlign w:val="baseline"/>
        </w:rPr>
        <w:t>There must be an intention to create a trust; and it </w:t>
      </w:r>
      <w:bookmarkStart w:name="_bookmark1010" w:id="1012"/>
      <w:bookmarkEnd w:id="1012"/>
      <w:r>
        <w:rPr>
          <w:vertAlign w:val="baseline"/>
        </w:rPr>
        <w:t>seems</w:t>
      </w:r>
      <w:r>
        <w:rPr>
          <w:vertAlign w:val="baseline"/>
        </w:rPr>
        <w:t> that such an intention will readily be found where the contract in favour of the third party is made</w:t>
      </w:r>
      <w:r>
        <w:rPr>
          <w:spacing w:val="-2"/>
          <w:vertAlign w:val="baseline"/>
        </w:rPr>
        <w:t> </w:t>
      </w:r>
      <w:r>
        <w:rPr>
          <w:vertAlign w:val="baseline"/>
        </w:rPr>
        <w:t>in</w:t>
      </w:r>
      <w:r>
        <w:rPr>
          <w:spacing w:val="-2"/>
          <w:vertAlign w:val="baseline"/>
        </w:rPr>
        <w:t> </w:t>
      </w:r>
      <w:r>
        <w:rPr>
          <w:vertAlign w:val="baseline"/>
        </w:rPr>
        <w:t>pursuance</w:t>
      </w:r>
      <w:r>
        <w:rPr>
          <w:spacing w:val="-2"/>
          <w:vertAlign w:val="baseline"/>
        </w:rPr>
        <w:t> </w:t>
      </w:r>
      <w:r>
        <w:rPr>
          <w:vertAlign w:val="baseline"/>
        </w:rPr>
        <w:t>of</w:t>
      </w:r>
      <w:r>
        <w:rPr>
          <w:spacing w:val="-2"/>
          <w:vertAlign w:val="baseline"/>
        </w:rPr>
        <w:t> </w:t>
      </w:r>
      <w:r>
        <w:rPr>
          <w:vertAlign w:val="baseline"/>
        </w:rPr>
        <w:t>some</w:t>
      </w:r>
      <w:r>
        <w:rPr>
          <w:spacing w:val="-2"/>
          <w:vertAlign w:val="baseline"/>
        </w:rPr>
        <w:t> </w:t>
      </w:r>
      <w:r>
        <w:rPr>
          <w:vertAlign w:val="baseline"/>
        </w:rPr>
        <w:t>contractual</w:t>
      </w:r>
      <w:r>
        <w:rPr>
          <w:spacing w:val="-2"/>
          <w:vertAlign w:val="baseline"/>
        </w:rPr>
        <w:t> </w:t>
      </w:r>
      <w:r>
        <w:rPr>
          <w:color w:val="005DA1"/>
          <w:u w:val="single" w:color="005DA1"/>
          <w:vertAlign w:val="superscript"/>
        </w:rPr>
        <w:t>544</w:t>
      </w:r>
      <w:r>
        <w:rPr>
          <w:color w:val="005DA1"/>
          <w:spacing w:val="-2"/>
          <w:vertAlign w:val="baseline"/>
        </w:rPr>
        <w:t> </w:t>
      </w:r>
      <w:r>
        <w:rPr>
          <w:vertAlign w:val="baseline"/>
        </w:rPr>
        <w:t>or</w:t>
      </w:r>
      <w:r>
        <w:rPr>
          <w:spacing w:val="-2"/>
          <w:vertAlign w:val="baseline"/>
        </w:rPr>
        <w:t> </w:t>
      </w:r>
      <w:r>
        <w:rPr>
          <w:vertAlign w:val="baseline"/>
        </w:rPr>
        <w:t>fiduciary</w:t>
      </w:r>
      <w:r>
        <w:rPr>
          <w:spacing w:val="-2"/>
          <w:vertAlign w:val="baseline"/>
        </w:rPr>
        <w:t> </w:t>
      </w:r>
      <w:r>
        <w:rPr>
          <w:color w:val="005DA1"/>
          <w:u w:val="single" w:color="005DA1"/>
          <w:vertAlign w:val="superscript"/>
        </w:rPr>
        <w:t>545</w:t>
      </w:r>
      <w:r>
        <w:rPr>
          <w:color w:val="005DA1"/>
          <w:spacing w:val="-2"/>
          <w:vertAlign w:val="baseline"/>
        </w:rPr>
        <w:t> </w:t>
      </w:r>
      <w:r>
        <w:rPr>
          <w:vertAlign w:val="baseline"/>
        </w:rPr>
        <w:t>obligation</w:t>
      </w:r>
      <w:r>
        <w:rPr>
          <w:spacing w:val="-2"/>
          <w:vertAlign w:val="baseline"/>
        </w:rPr>
        <w:t> </w:t>
      </w:r>
      <w:r>
        <w:rPr>
          <w:vertAlign w:val="baseline"/>
        </w:rPr>
        <w:t>owed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promisee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third party. But the trust device has not been wholly confined to such cases—probably because the courts did not formerly insist very strictly on proof of intention to create a trust. The fact that they later came to do so accounts for the present more restricted scope of the trust device.</w:t>
      </w:r>
    </w:p>
    <w:p>
      <w:pPr>
        <w:pStyle w:val="BodyText"/>
        <w:spacing w:before="86"/>
      </w:pPr>
    </w:p>
    <w:p>
      <w:pPr>
        <w:pStyle w:val="BodyText"/>
        <w:spacing w:line="235" w:lineRule="auto"/>
        <w:ind w:left="165" w:right="167"/>
        <w:jc w:val="both"/>
      </w:pPr>
      <w:r>
        <w:rPr/>
        <w:t>The intention to create a trust may, finally, be negatived on the ground that a trust is not necessary to </w:t>
      </w:r>
      <w:bookmarkStart w:name="_bookmark1011" w:id="1013"/>
      <w:bookmarkEnd w:id="1013"/>
      <w:r>
        <w:rPr/>
        <w:t>give</w:t>
      </w:r>
      <w:r>
        <w:rPr/>
        <w:t> rights to the third party because that party is entitled to enforce the contract (even in the absence of a trust) under a statutory exception to the doctrine of privity. </w:t>
      </w:r>
      <w:r>
        <w:rPr>
          <w:color w:val="005DA1"/>
          <w:u w:val="single" w:color="005DA1"/>
          <w:vertAlign w:val="superscript"/>
        </w:rPr>
        <w:t>546</w:t>
      </w:r>
    </w:p>
    <w:p>
      <w:pPr>
        <w:pStyle w:val="BodyText"/>
      </w:pPr>
    </w:p>
    <w:p>
      <w:pPr>
        <w:pStyle w:val="BodyText"/>
        <w:spacing w:before="37"/>
      </w:pPr>
    </w:p>
    <w:p>
      <w:pPr>
        <w:spacing w:before="1"/>
        <w:ind w:left="165" w:right="0" w:firstLine="0"/>
        <w:jc w:val="left"/>
        <w:rPr>
          <w:rFonts w:ascii="Arial"/>
          <w:b/>
          <w:sz w:val="18"/>
        </w:rPr>
      </w:pPr>
      <w:r>
        <w:rPr>
          <w:rFonts w:ascii="Arial"/>
          <w:b/>
          <w:sz w:val="18"/>
        </w:rPr>
        <w:t>Effects of the </w:t>
      </w:r>
      <w:r>
        <w:rPr>
          <w:rFonts w:ascii="Arial"/>
          <w:b/>
          <w:spacing w:val="-2"/>
          <w:sz w:val="18"/>
        </w:rPr>
        <w:t>trust</w:t>
      </w:r>
    </w:p>
    <w:p>
      <w:pPr>
        <w:pStyle w:val="BodyText"/>
        <w:spacing w:before="41"/>
        <w:rPr>
          <w:rFonts w:ascii="Arial"/>
          <w:b/>
          <w:sz w:val="18"/>
        </w:rPr>
      </w:pPr>
    </w:p>
    <w:p>
      <w:pPr>
        <w:pStyle w:val="Heading2"/>
      </w:pPr>
      <w:r>
        <w:rPr/>
        <w:t>18-</w:t>
      </w:r>
      <w:r>
        <w:rPr>
          <w:spacing w:val="-5"/>
        </w:rPr>
        <w:t>085</w:t>
      </w:r>
    </w:p>
    <w:p>
      <w:pPr>
        <w:pStyle w:val="BodyText"/>
        <w:spacing w:line="235" w:lineRule="auto" w:before="203"/>
        <w:ind w:left="165" w:right="167"/>
        <w:jc w:val="both"/>
      </w:pPr>
      <w:r>
        <w:rPr/>
        <w:t>Two consequences generally flow from a finding that there is a trust in favour of a third party. First,</w:t>
      </w:r>
      <w:r>
        <w:rPr>
          <w:spacing w:val="40"/>
        </w:rPr>
        <w:t> </w:t>
      </w:r>
      <w:bookmarkStart w:name="_bookmark1012" w:id="1014"/>
      <w:bookmarkEnd w:id="1014"/>
      <w:r>
        <w:rPr/>
        <w:t>the</w:t>
      </w:r>
      <w:r>
        <w:rPr/>
        <w:t> third party is entitled to sue the promisor for the money or property which the promisor had promised to pay or to transfer to him. </w:t>
      </w:r>
      <w:r>
        <w:rPr>
          <w:color w:val="005DA1"/>
          <w:u w:val="single" w:color="005DA1"/>
          <w:vertAlign w:val="superscript"/>
        </w:rPr>
        <w:t>547</w:t>
      </w:r>
      <w:r>
        <w:rPr>
          <w:color w:val="005DA1"/>
          <w:vertAlign w:val="baseline"/>
        </w:rPr>
        <w:t> </w:t>
      </w:r>
      <w:r>
        <w:rPr>
          <w:vertAlign w:val="baseline"/>
        </w:rPr>
        <w:t>He must join the promisee as a party to the action </w:t>
      </w:r>
      <w:r>
        <w:rPr>
          <w:color w:val="005DA1"/>
          <w:u w:val="single" w:color="005DA1"/>
          <w:vertAlign w:val="superscript"/>
        </w:rPr>
        <w:t>548</w:t>
      </w:r>
      <w:r>
        <w:rPr>
          <w:color w:val="005DA1"/>
          <w:vertAlign w:val="baseline"/>
        </w:rPr>
        <w:t> </w:t>
      </w:r>
      <w:r>
        <w:rPr>
          <w:vertAlign w:val="baseline"/>
        </w:rPr>
        <w:t>since if this</w:t>
      </w:r>
      <w:r>
        <w:rPr>
          <w:spacing w:val="27"/>
          <w:vertAlign w:val="baseline"/>
        </w:rPr>
        <w:t> </w:t>
      </w:r>
      <w:r>
        <w:rPr>
          <w:vertAlign w:val="baseline"/>
        </w:rPr>
        <w:t>were</w:t>
      </w:r>
      <w:r>
        <w:rPr>
          <w:spacing w:val="27"/>
          <w:vertAlign w:val="baseline"/>
        </w:rPr>
        <w:t> </w:t>
      </w:r>
      <w:r>
        <w:rPr>
          <w:vertAlign w:val="baseline"/>
        </w:rPr>
        <w:t>not</w:t>
      </w:r>
      <w:r>
        <w:rPr>
          <w:spacing w:val="27"/>
          <w:vertAlign w:val="baseline"/>
        </w:rPr>
        <w:t> </w:t>
      </w:r>
      <w:r>
        <w:rPr>
          <w:vertAlign w:val="baseline"/>
        </w:rPr>
        <w:t>done</w:t>
      </w:r>
      <w:r>
        <w:rPr>
          <w:spacing w:val="27"/>
          <w:vertAlign w:val="baseline"/>
        </w:rPr>
        <w:t> </w:t>
      </w:r>
      <w:r>
        <w:rPr>
          <w:vertAlign w:val="baseline"/>
        </w:rPr>
        <w:t>the</w:t>
      </w:r>
      <w:r>
        <w:rPr>
          <w:spacing w:val="27"/>
          <w:vertAlign w:val="baseline"/>
        </w:rPr>
        <w:t> </w:t>
      </w:r>
      <w:r>
        <w:rPr>
          <w:vertAlign w:val="baseline"/>
        </w:rPr>
        <w:t>promisor</w:t>
      </w:r>
      <w:r>
        <w:rPr>
          <w:spacing w:val="27"/>
          <w:vertAlign w:val="baseline"/>
        </w:rPr>
        <w:t> </w:t>
      </w:r>
      <w:r>
        <w:rPr>
          <w:vertAlign w:val="baseline"/>
        </w:rPr>
        <w:t>might</w:t>
      </w:r>
      <w:r>
        <w:rPr>
          <w:spacing w:val="27"/>
          <w:vertAlign w:val="baseline"/>
        </w:rPr>
        <w:t> </w:t>
      </w:r>
      <w:r>
        <w:rPr>
          <w:vertAlign w:val="baseline"/>
        </w:rPr>
        <w:t>be</w:t>
      </w:r>
      <w:r>
        <w:rPr>
          <w:spacing w:val="27"/>
          <w:vertAlign w:val="baseline"/>
        </w:rPr>
        <w:t> </w:t>
      </w:r>
      <w:r>
        <w:rPr>
          <w:vertAlign w:val="baseline"/>
        </w:rPr>
        <w:t>sued</w:t>
      </w:r>
      <w:r>
        <w:rPr>
          <w:spacing w:val="27"/>
          <w:vertAlign w:val="baseline"/>
        </w:rPr>
        <w:t> </w:t>
      </w:r>
      <w:r>
        <w:rPr>
          <w:vertAlign w:val="baseline"/>
        </w:rPr>
        <w:t>a</w:t>
      </w:r>
      <w:r>
        <w:rPr>
          <w:spacing w:val="27"/>
          <w:vertAlign w:val="baseline"/>
        </w:rPr>
        <w:t> </w:t>
      </w:r>
      <w:r>
        <w:rPr>
          <w:vertAlign w:val="baseline"/>
        </w:rPr>
        <w:t>second</w:t>
      </w:r>
      <w:r>
        <w:rPr>
          <w:spacing w:val="27"/>
          <w:vertAlign w:val="baseline"/>
        </w:rPr>
        <w:t> </w:t>
      </w:r>
      <w:r>
        <w:rPr>
          <w:vertAlign w:val="baseline"/>
        </w:rPr>
        <w:t>time</w:t>
      </w:r>
      <w:r>
        <w:rPr>
          <w:spacing w:val="27"/>
          <w:vertAlign w:val="baseline"/>
        </w:rPr>
        <w:t> </w:t>
      </w:r>
      <w:r>
        <w:rPr>
          <w:vertAlign w:val="baseline"/>
        </w:rPr>
        <w:t>by</w:t>
      </w:r>
      <w:r>
        <w:rPr>
          <w:spacing w:val="27"/>
          <w:vertAlign w:val="baseline"/>
        </w:rPr>
        <w:t> </w:t>
      </w:r>
      <w:r>
        <w:rPr>
          <w:vertAlign w:val="baseline"/>
        </w:rPr>
        <w:t>the</w:t>
      </w:r>
      <w:r>
        <w:rPr>
          <w:spacing w:val="27"/>
          <w:vertAlign w:val="baseline"/>
        </w:rPr>
        <w:t> </w:t>
      </w:r>
      <w:r>
        <w:rPr>
          <w:vertAlign w:val="baseline"/>
        </w:rPr>
        <w:t>promisee.</w:t>
      </w:r>
      <w:r>
        <w:rPr>
          <w:spacing w:val="27"/>
          <w:vertAlign w:val="baseline"/>
        </w:rPr>
        <w:t> </w:t>
      </w:r>
      <w:r>
        <w:rPr>
          <w:vertAlign w:val="baseline"/>
        </w:rPr>
        <w:t>As</w:t>
      </w:r>
      <w:r>
        <w:rPr>
          <w:spacing w:val="27"/>
          <w:vertAlign w:val="baseline"/>
        </w:rPr>
        <w:t> </w:t>
      </w:r>
      <w:r>
        <w:rPr>
          <w:vertAlign w:val="baseline"/>
        </w:rPr>
        <w:t>this</w:t>
      </w:r>
      <w:r>
        <w:rPr>
          <w:spacing w:val="27"/>
          <w:vertAlign w:val="baseline"/>
        </w:rPr>
        <w:t> </w:t>
      </w:r>
      <w:r>
        <w:rPr>
          <w:vertAlign w:val="baseline"/>
        </w:rPr>
        <w:t>rule</w:t>
      </w:r>
      <w:r>
        <w:rPr>
          <w:spacing w:val="27"/>
          <w:vertAlign w:val="baseline"/>
        </w:rPr>
        <w:t> </w:t>
      </w:r>
      <w:r>
        <w:rPr>
          <w:vertAlign w:val="baseline"/>
        </w:rPr>
        <w:t>as</w:t>
      </w:r>
      <w:r>
        <w:rPr>
          <w:spacing w:val="27"/>
          <w:vertAlign w:val="baseline"/>
        </w:rPr>
        <w:t> </w:t>
      </w:r>
      <w:r>
        <w:rPr>
          <w:spacing w:val="-5"/>
          <w:vertAlign w:val="baseline"/>
        </w:rPr>
        <w:t>to</w:t>
      </w:r>
    </w:p>
    <w:p>
      <w:pPr>
        <w:pStyle w:val="BodyText"/>
        <w:spacing w:after="0" w:line="235" w:lineRule="auto"/>
        <w:jc w:val="both"/>
        <w:sectPr>
          <w:headerReference w:type="default" r:id="rId19"/>
          <w:pgSz w:w="11900" w:h="16840"/>
          <w:pgMar w:header="971" w:footer="0" w:top="1160" w:bottom="280" w:left="1275" w:right="1275"/>
          <w:pgNumType w:start="2"/>
        </w:sectPr>
      </w:pPr>
    </w:p>
    <w:p>
      <w:pPr>
        <w:pStyle w:val="BodyText"/>
        <w:spacing w:before="24"/>
      </w:pPr>
    </w:p>
    <w:p>
      <w:pPr>
        <w:pStyle w:val="BodyText"/>
        <w:spacing w:line="235" w:lineRule="auto" w:before="1"/>
        <w:ind w:left="165" w:right="167"/>
        <w:jc w:val="both"/>
      </w:pPr>
      <w:bookmarkStart w:name="_bookmark1013" w:id="1015"/>
      <w:bookmarkEnd w:id="1015"/>
      <w:r>
        <w:rPr/>
      </w:r>
      <w:bookmarkStart w:name="_bookmark1014" w:id="1016"/>
      <w:bookmarkEnd w:id="1016"/>
      <w:r>
        <w:rPr/>
      </w:r>
      <w:r>
        <w:rPr/>
        <w:t>joinder of parties exists for the benefit of the promisor, it can be waived by him. </w:t>
      </w:r>
      <w:r>
        <w:rPr>
          <w:color w:val="005DA1"/>
          <w:u w:val="single" w:color="005DA1"/>
          <w:vertAlign w:val="superscript"/>
        </w:rPr>
        <w:t>549</w:t>
      </w:r>
      <w:r>
        <w:rPr>
          <w:color w:val="005DA1"/>
          <w:vertAlign w:val="baseline"/>
        </w:rPr>
        <w:t> </w:t>
      </w:r>
      <w:r>
        <w:rPr>
          <w:vertAlign w:val="baseline"/>
        </w:rPr>
        <w:t>Secondly, the third </w:t>
      </w:r>
      <w:bookmarkStart w:name="_bookmark1015" w:id="1017"/>
      <w:bookmarkEnd w:id="1017"/>
      <w:r>
        <w:rPr>
          <w:vertAlign w:val="baseline"/>
        </w:rPr>
        <w:t>party</w:t>
      </w:r>
      <w:r>
        <w:rPr>
          <w:vertAlign w:val="baseline"/>
        </w:rPr>
        <w:t> is (as a general rule </w:t>
      </w:r>
      <w:r>
        <w:rPr>
          <w:color w:val="005DA1"/>
          <w:u w:val="single" w:color="005DA1"/>
          <w:vertAlign w:val="superscript"/>
        </w:rPr>
        <w:t>550</w:t>
      </w:r>
      <w:r>
        <w:rPr>
          <w:vertAlign w:val="baseline"/>
        </w:rPr>
        <w:t>) beneficially entitled to any money paid or payable under the contract; </w:t>
      </w:r>
      <w:bookmarkStart w:name="_bookmark1016" w:id="1018"/>
      <w:bookmarkEnd w:id="1018"/>
      <w:r>
        <w:rPr>
          <w:vertAlign w:val="baseline"/>
        </w:rPr>
        <w:t>the</w:t>
      </w:r>
      <w:r>
        <w:rPr>
          <w:vertAlign w:val="baseline"/>
        </w:rPr>
        <w:t> promisee has no right to such money. </w:t>
      </w:r>
      <w:r>
        <w:rPr>
          <w:color w:val="005DA1"/>
          <w:u w:val="single" w:color="005DA1"/>
          <w:vertAlign w:val="superscript"/>
        </w:rPr>
        <w:t>551</w:t>
      </w:r>
      <w:r>
        <w:rPr>
          <w:color w:val="005DA1"/>
          <w:vertAlign w:val="baseline"/>
        </w:rPr>
        <w:t> </w:t>
      </w:r>
      <w:r>
        <w:rPr>
          <w:vertAlign w:val="baseline"/>
        </w:rPr>
        <w:t>After </w:t>
      </w:r>
      <w:r>
        <w:rPr>
          <w:rFonts w:ascii="Arial"/>
          <w:i/>
          <w:vertAlign w:val="baseline"/>
        </w:rPr>
        <w:t>Beswick v Beswick </w:t>
      </w:r>
      <w:r>
        <w:rPr>
          <w:color w:val="005DA1"/>
          <w:u w:val="single" w:color="005DA1"/>
          <w:vertAlign w:val="superscript"/>
        </w:rPr>
        <w:t>552</w:t>
      </w:r>
      <w:r>
        <w:rPr>
          <w:color w:val="005DA1"/>
          <w:vertAlign w:val="baseline"/>
        </w:rPr>
        <w:t> </w:t>
      </w:r>
      <w:r>
        <w:rPr>
          <w:vertAlign w:val="baseline"/>
        </w:rPr>
        <w:t>the third party can generally keep money so paid to him even if there is no trust. </w:t>
      </w:r>
      <w:r>
        <w:rPr>
          <w:color w:val="005DA1"/>
          <w:u w:val="single" w:color="005DA1"/>
          <w:vertAlign w:val="superscript"/>
        </w:rPr>
        <w:t>553</w:t>
      </w:r>
    </w:p>
    <w:p>
      <w:pPr>
        <w:pStyle w:val="BodyText"/>
      </w:pPr>
    </w:p>
    <w:p>
      <w:pPr>
        <w:pStyle w:val="BodyText"/>
        <w:spacing w:before="37"/>
      </w:pPr>
    </w:p>
    <w:p>
      <w:pPr>
        <w:spacing w:before="0"/>
        <w:ind w:left="165" w:right="0" w:firstLine="0"/>
        <w:jc w:val="left"/>
        <w:rPr>
          <w:rFonts w:ascii="Arial"/>
          <w:b/>
          <w:sz w:val="18"/>
        </w:rPr>
      </w:pPr>
      <w:r>
        <w:rPr>
          <w:rFonts w:ascii="Arial"/>
          <w:b/>
          <w:sz w:val="18"/>
        </w:rPr>
        <w:t>Failure of the </w:t>
      </w:r>
      <w:r>
        <w:rPr>
          <w:rFonts w:ascii="Arial"/>
          <w:b/>
          <w:spacing w:val="-2"/>
          <w:sz w:val="18"/>
        </w:rPr>
        <w:t>trust</w:t>
      </w:r>
    </w:p>
    <w:p>
      <w:pPr>
        <w:pStyle w:val="BodyText"/>
        <w:spacing w:before="41"/>
        <w:rPr>
          <w:rFonts w:ascii="Arial"/>
          <w:b/>
          <w:sz w:val="18"/>
        </w:rPr>
      </w:pPr>
    </w:p>
    <w:p>
      <w:pPr>
        <w:pStyle w:val="Heading2"/>
      </w:pPr>
      <w:r>
        <w:rPr/>
        <w:t>18-</w:t>
      </w:r>
      <w:r>
        <w:rPr>
          <w:spacing w:val="-5"/>
        </w:rPr>
        <w:t>086</w:t>
      </w:r>
    </w:p>
    <w:p>
      <w:pPr>
        <w:pStyle w:val="BodyText"/>
        <w:spacing w:line="235" w:lineRule="auto" w:before="203"/>
        <w:ind w:left="164" w:right="168"/>
        <w:jc w:val="both"/>
      </w:pPr>
      <w:bookmarkStart w:name="_bookmark1017" w:id="1019"/>
      <w:bookmarkEnd w:id="1019"/>
      <w:r>
        <w:rPr/>
      </w:r>
      <w:r>
        <w:rPr/>
        <w:t>There are exceptional cases in which the promisee may be entitled to the money even though there </w:t>
      </w:r>
      <w:bookmarkStart w:name="_bookmark1018" w:id="1020"/>
      <w:bookmarkEnd w:id="1020"/>
      <w:r>
        <w:rPr/>
        <w:t>was</w:t>
      </w:r>
      <w:r>
        <w:rPr/>
        <w:t> a trust. In </w:t>
      </w:r>
      <w:r>
        <w:rPr>
          <w:rFonts w:ascii="Arial" w:hAnsi="Arial"/>
          <w:i/>
        </w:rPr>
        <w:t>Cleaver v Mutual Reserve Fund Life Association </w:t>
      </w:r>
      <w:r>
        <w:rPr>
          <w:color w:val="005DA1"/>
          <w:u w:val="single" w:color="005DA1"/>
          <w:vertAlign w:val="superscript"/>
        </w:rPr>
        <w:t>554</w:t>
      </w:r>
      <w:r>
        <w:rPr>
          <w:color w:val="005DA1"/>
          <w:vertAlign w:val="baseline"/>
        </w:rPr>
        <w:t> </w:t>
      </w:r>
      <w:r>
        <w:rPr>
          <w:vertAlign w:val="baseline"/>
        </w:rPr>
        <w:t>a husband insured his life for the benefit of his wife by a policy which, by statute, created a trust in her favour. </w:t>
      </w:r>
      <w:r>
        <w:rPr>
          <w:color w:val="005DA1"/>
          <w:u w:val="single" w:color="005DA1"/>
          <w:vertAlign w:val="superscript"/>
        </w:rPr>
        <w:t>555</w:t>
      </w:r>
      <w:r>
        <w:rPr>
          <w:color w:val="005DA1"/>
          <w:vertAlign w:val="baseline"/>
        </w:rPr>
        <w:t> </w:t>
      </w:r>
      <w:r>
        <w:rPr>
          <w:vertAlign w:val="baseline"/>
        </w:rPr>
        <w:t>The wife </w:t>
      </w:r>
      <w:r>
        <w:rPr>
          <w:vertAlign w:val="baseline"/>
        </w:rPr>
        <w:t>was convicted of murdering the husband and was therefore disqualified from enforcing the trust. It was held that the executors of the husband were entitled to the policy moneys. The decision can be </w:t>
      </w:r>
      <w:bookmarkStart w:name="_bookmark1019" w:id="1021"/>
      <w:bookmarkEnd w:id="1021"/>
      <w:r>
        <w:rPr>
          <w:vertAlign w:val="baseline"/>
        </w:rPr>
        <w:t>criticised</w:t>
      </w:r>
      <w:r>
        <w:rPr>
          <w:vertAlign w:val="baseline"/>
        </w:rPr>
        <w:t> on the ground that the promisor should not have been held liable to pay the promisee when its promise was one to pay the third party. </w:t>
      </w:r>
      <w:r>
        <w:rPr>
          <w:color w:val="005DA1"/>
          <w:u w:val="single" w:color="005DA1"/>
          <w:vertAlign w:val="superscript"/>
        </w:rPr>
        <w:t>556</w:t>
      </w:r>
      <w:r>
        <w:rPr>
          <w:color w:val="005DA1"/>
          <w:vertAlign w:val="baseline"/>
        </w:rPr>
        <w:t> </w:t>
      </w:r>
      <w:r>
        <w:rPr>
          <w:vertAlign w:val="baseline"/>
        </w:rPr>
        <w:t>But it seems that the destination of the payments was a matter of indifference to the insurance company and that there was nothing to show that the company </w:t>
      </w:r>
      <w:bookmarkStart w:name="_bookmark1020" w:id="1022"/>
      <w:bookmarkEnd w:id="1022"/>
      <w:r>
        <w:rPr>
          <w:vertAlign w:val="baseline"/>
        </w:rPr>
        <w:t>would</w:t>
      </w:r>
      <w:r>
        <w:rPr>
          <w:vertAlign w:val="baseline"/>
        </w:rPr>
        <w:t> (even if there had been no conviction) have been in any way prejudiced by paying the </w:t>
      </w:r>
      <w:bookmarkStart w:name="_bookmark1021" w:id="1023"/>
      <w:bookmarkEnd w:id="1023"/>
      <w:r>
        <w:rPr>
          <w:vertAlign w:val="baseline"/>
        </w:rPr>
        <w:t>husband’s</w:t>
      </w:r>
      <w:r>
        <w:rPr>
          <w:spacing w:val="-3"/>
          <w:vertAlign w:val="baseline"/>
        </w:rPr>
        <w:t> </w:t>
      </w:r>
      <w:r>
        <w:rPr>
          <w:vertAlign w:val="baseline"/>
        </w:rPr>
        <w:t>executors</w:t>
      </w:r>
      <w:r>
        <w:rPr>
          <w:spacing w:val="-3"/>
          <w:vertAlign w:val="baseline"/>
        </w:rPr>
        <w:t> </w:t>
      </w:r>
      <w:r>
        <w:rPr>
          <w:vertAlign w:val="baseline"/>
        </w:rPr>
        <w:t>rather</w:t>
      </w:r>
      <w:r>
        <w:rPr>
          <w:spacing w:val="-3"/>
          <w:vertAlign w:val="baseline"/>
        </w:rPr>
        <w:t> </w:t>
      </w:r>
      <w:r>
        <w:rPr>
          <w:vertAlign w:val="baseline"/>
        </w:rPr>
        <w:t>than</w:t>
      </w:r>
      <w:r>
        <w:rPr>
          <w:spacing w:val="-3"/>
          <w:vertAlign w:val="baseline"/>
        </w:rPr>
        <w:t> </w:t>
      </w:r>
      <w:r>
        <w:rPr>
          <w:vertAlign w:val="baseline"/>
        </w:rPr>
        <w:t>the</w:t>
      </w:r>
      <w:r>
        <w:rPr>
          <w:spacing w:val="-3"/>
          <w:vertAlign w:val="baseline"/>
        </w:rPr>
        <w:t> </w:t>
      </w:r>
      <w:r>
        <w:rPr>
          <w:vertAlign w:val="baseline"/>
        </w:rPr>
        <w:t>wife.</w:t>
      </w:r>
      <w:r>
        <w:rPr>
          <w:spacing w:val="-3"/>
          <w:vertAlign w:val="baseline"/>
        </w:rPr>
        <w:t> </w:t>
      </w:r>
      <w:r>
        <w:rPr>
          <w:color w:val="005DA1"/>
          <w:u w:val="single" w:color="005DA1"/>
          <w:vertAlign w:val="superscript"/>
        </w:rPr>
        <w:t>557</w:t>
      </w:r>
      <w:r>
        <w:rPr>
          <w:color w:val="005DA1"/>
          <w:spacing w:val="-3"/>
          <w:vertAlign w:val="baseline"/>
        </w:rPr>
        <w:t> </w:t>
      </w:r>
      <w:r>
        <w:rPr>
          <w:vertAlign w:val="baseline"/>
        </w:rPr>
        <w:t>The</w:t>
      </w:r>
      <w:r>
        <w:rPr>
          <w:spacing w:val="-3"/>
          <w:vertAlign w:val="baseline"/>
        </w:rPr>
        <w:t> </w:t>
      </w:r>
      <w:r>
        <w:rPr>
          <w:vertAlign w:val="baseline"/>
        </w:rPr>
        <w:t>actual</w:t>
      </w:r>
      <w:r>
        <w:rPr>
          <w:spacing w:val="-3"/>
          <w:vertAlign w:val="baseline"/>
        </w:rPr>
        <w:t> </w:t>
      </w:r>
      <w:r>
        <w:rPr>
          <w:vertAlign w:val="baseline"/>
        </w:rPr>
        <w:t>decision</w:t>
      </w:r>
      <w:r>
        <w:rPr>
          <w:spacing w:val="-3"/>
          <w:vertAlign w:val="baseline"/>
        </w:rPr>
        <w:t> </w:t>
      </w:r>
      <w:r>
        <w:rPr>
          <w:vertAlign w:val="baseline"/>
        </w:rPr>
        <w:t>may</w:t>
      </w:r>
      <w:r>
        <w:rPr>
          <w:spacing w:val="-3"/>
          <w:vertAlign w:val="baseline"/>
        </w:rPr>
        <w:t> </w:t>
      </w:r>
      <w:r>
        <w:rPr>
          <w:vertAlign w:val="baseline"/>
        </w:rPr>
        <w:t>also</w:t>
      </w:r>
      <w:r>
        <w:rPr>
          <w:spacing w:val="-3"/>
          <w:vertAlign w:val="baseline"/>
        </w:rPr>
        <w:t> </w:t>
      </w:r>
      <w:r>
        <w:rPr>
          <w:vertAlign w:val="baseline"/>
        </w:rPr>
        <w:t>turn</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interpretation</w:t>
      </w:r>
      <w:r>
        <w:rPr>
          <w:spacing w:val="-3"/>
          <w:vertAlign w:val="baseline"/>
        </w:rPr>
        <w:t> </w:t>
      </w:r>
      <w:r>
        <w:rPr>
          <w:vertAlign w:val="baseline"/>
        </w:rPr>
        <w:t>of the statute creating the trust. </w:t>
      </w:r>
      <w:r>
        <w:rPr>
          <w:color w:val="005DA1"/>
          <w:u w:val="single" w:color="005DA1"/>
          <w:vertAlign w:val="superscript"/>
        </w:rPr>
        <w:t>558</w:t>
      </w:r>
    </w:p>
    <w:p>
      <w:pPr>
        <w:pStyle w:val="BodyText"/>
      </w:pPr>
    </w:p>
    <w:p>
      <w:pPr>
        <w:pStyle w:val="BodyText"/>
        <w:spacing w:before="34"/>
      </w:pPr>
    </w:p>
    <w:p>
      <w:pPr>
        <w:spacing w:before="0"/>
        <w:ind w:left="165" w:right="0" w:firstLine="0"/>
        <w:jc w:val="left"/>
        <w:rPr>
          <w:rFonts w:ascii="Arial"/>
          <w:b/>
          <w:sz w:val="18"/>
        </w:rPr>
      </w:pPr>
      <w:r>
        <w:rPr>
          <w:rFonts w:ascii="Arial"/>
          <w:b/>
          <w:sz w:val="18"/>
        </w:rPr>
        <w:t>Kinds of promises which can be held on </w:t>
      </w:r>
      <w:r>
        <w:rPr>
          <w:rFonts w:ascii="Arial"/>
          <w:b/>
          <w:spacing w:val="-2"/>
          <w:sz w:val="18"/>
        </w:rPr>
        <w:t>trust</w:t>
      </w:r>
    </w:p>
    <w:p>
      <w:pPr>
        <w:pStyle w:val="BodyText"/>
        <w:spacing w:before="41"/>
        <w:rPr>
          <w:rFonts w:ascii="Arial"/>
          <w:b/>
          <w:sz w:val="18"/>
        </w:rPr>
      </w:pPr>
    </w:p>
    <w:p>
      <w:pPr>
        <w:pStyle w:val="Heading2"/>
        <w:spacing w:before="1"/>
      </w:pPr>
      <w:r>
        <w:rPr/>
        <w:t>18-</w:t>
      </w:r>
      <w:r>
        <w:rPr>
          <w:spacing w:val="-5"/>
        </w:rPr>
        <w:t>087</w:t>
      </w:r>
    </w:p>
    <w:p>
      <w:pPr>
        <w:pStyle w:val="BodyText"/>
        <w:spacing w:line="235" w:lineRule="auto" w:before="202"/>
        <w:ind w:left="165" w:right="167"/>
        <w:jc w:val="both"/>
      </w:pPr>
      <w:r>
        <w:rPr/>
        <w:t>The trust device has so far been applied only to promises to pay money or to transfer property. It </w:t>
      </w:r>
      <w:r>
        <w:rPr/>
        <w:t>is </w:t>
      </w:r>
      <w:bookmarkStart w:name="_bookmark1022" w:id="1024"/>
      <w:bookmarkEnd w:id="1024"/>
      <w:r>
        <w:rPr/>
        <w:t>sometimes</w:t>
      </w:r>
      <w:r>
        <w:rPr/>
        <w:t> suggested that it might be applied to other kinds of promises, e.g. that an employer might </w:t>
      </w:r>
      <w:bookmarkStart w:name="_bookmark1023" w:id="1025"/>
      <w:bookmarkEnd w:id="1025"/>
      <w:r>
        <w:rPr/>
        <w:t>hold</w:t>
      </w:r>
      <w:r>
        <w:rPr>
          <w:spacing w:val="-2"/>
        </w:rPr>
        <w:t> </w:t>
      </w:r>
      <w:r>
        <w:rPr/>
        <w:t>the</w:t>
      </w:r>
      <w:r>
        <w:rPr>
          <w:spacing w:val="-2"/>
        </w:rPr>
        <w:t> </w:t>
      </w:r>
      <w:r>
        <w:rPr/>
        <w:t>benefit</w:t>
      </w:r>
      <w:r>
        <w:rPr>
          <w:spacing w:val="-2"/>
        </w:rPr>
        <w:t> </w:t>
      </w:r>
      <w:r>
        <w:rPr/>
        <w:t>of</w:t>
      </w:r>
      <w:r>
        <w:rPr>
          <w:spacing w:val="-2"/>
        </w:rPr>
        <w:t> </w:t>
      </w:r>
      <w:r>
        <w:rPr/>
        <w:t>an</w:t>
      </w:r>
      <w:r>
        <w:rPr>
          <w:spacing w:val="-2"/>
        </w:rPr>
        <w:t> </w:t>
      </w:r>
      <w:r>
        <w:rPr/>
        <w:t>exemption</w:t>
      </w:r>
      <w:r>
        <w:rPr>
          <w:spacing w:val="-2"/>
        </w:rPr>
        <w:t> </w:t>
      </w:r>
      <w:r>
        <w:rPr/>
        <w:t>clause</w:t>
      </w:r>
      <w:r>
        <w:rPr>
          <w:spacing w:val="-2"/>
        </w:rPr>
        <w:t> </w:t>
      </w:r>
      <w:r>
        <w:rPr/>
        <w:t>on</w:t>
      </w:r>
      <w:r>
        <w:rPr>
          <w:spacing w:val="-2"/>
        </w:rPr>
        <w:t> </w:t>
      </w:r>
      <w:r>
        <w:rPr/>
        <w:t>trust</w:t>
      </w:r>
      <w:r>
        <w:rPr>
          <w:spacing w:val="-2"/>
        </w:rPr>
        <w:t> </w:t>
      </w:r>
      <w:r>
        <w:rPr/>
        <w:t>for</w:t>
      </w:r>
      <w:r>
        <w:rPr>
          <w:spacing w:val="-2"/>
        </w:rPr>
        <w:t> </w:t>
      </w:r>
      <w:r>
        <w:rPr/>
        <w:t>his</w:t>
      </w:r>
      <w:r>
        <w:rPr>
          <w:spacing w:val="-2"/>
        </w:rPr>
        <w:t> </w:t>
      </w:r>
      <w:r>
        <w:rPr/>
        <w:t>employee.</w:t>
      </w:r>
      <w:r>
        <w:rPr>
          <w:spacing w:val="-2"/>
        </w:rPr>
        <w:t> </w:t>
      </w:r>
      <w:r>
        <w:rPr>
          <w:color w:val="005DA1"/>
          <w:u w:val="single" w:color="005DA1"/>
          <w:vertAlign w:val="superscript"/>
        </w:rPr>
        <w:t>559</w:t>
      </w:r>
      <w:r>
        <w:rPr>
          <w:color w:val="005DA1"/>
          <w:spacing w:val="-2"/>
          <w:vertAlign w:val="baseline"/>
        </w:rPr>
        <w:t> </w:t>
      </w:r>
      <w:r>
        <w:rPr>
          <w:vertAlign w:val="baseline"/>
        </w:rPr>
        <w:t>But</w:t>
      </w:r>
      <w:r>
        <w:rPr>
          <w:spacing w:val="-2"/>
          <w:vertAlign w:val="baseline"/>
        </w:rPr>
        <w:t> </w:t>
      </w:r>
      <w:r>
        <w:rPr>
          <w:vertAlign w:val="baseline"/>
        </w:rPr>
        <w:t>the</w:t>
      </w:r>
      <w:r>
        <w:rPr>
          <w:spacing w:val="-2"/>
          <w:vertAlign w:val="baseline"/>
        </w:rPr>
        <w:t> </w:t>
      </w:r>
      <w:r>
        <w:rPr>
          <w:vertAlign w:val="baseline"/>
        </w:rPr>
        <w:t>present</w:t>
      </w:r>
      <w:r>
        <w:rPr>
          <w:spacing w:val="-2"/>
          <w:vertAlign w:val="baseline"/>
        </w:rPr>
        <w:t> </w:t>
      </w:r>
      <w:r>
        <w:rPr>
          <w:vertAlign w:val="baseline"/>
        </w:rPr>
        <w:t>judicial</w:t>
      </w:r>
      <w:r>
        <w:rPr>
          <w:spacing w:val="-2"/>
          <w:vertAlign w:val="baseline"/>
        </w:rPr>
        <w:t> </w:t>
      </w:r>
      <w:r>
        <w:rPr>
          <w:vertAlign w:val="baseline"/>
        </w:rPr>
        <w:t>tendency is to confine the trust device within narrow limits </w:t>
      </w:r>
      <w:r>
        <w:rPr>
          <w:color w:val="005DA1"/>
          <w:u w:val="single" w:color="005DA1"/>
          <w:vertAlign w:val="superscript"/>
        </w:rPr>
        <w:t>560</w:t>
      </w:r>
      <w:r>
        <w:rPr>
          <w:vertAlign w:val="baseline"/>
        </w:rPr>
        <w:t>; and the suggestion has therefore been rejected </w:t>
      </w:r>
      <w:bookmarkStart w:name="_bookmark1024" w:id="1026"/>
      <w:bookmarkEnd w:id="1026"/>
      <w:r>
        <w:rPr>
          <w:vertAlign w:val="baseline"/>
        </w:rPr>
        <w:t>on</w:t>
      </w:r>
      <w:r>
        <w:rPr>
          <w:vertAlign w:val="baseline"/>
        </w:rPr>
        <w:t> the ground that “the conception of a trust attaching to a benefit under an exclusion clause extends </w:t>
      </w:r>
      <w:bookmarkStart w:name="_bookmark1025" w:id="1027"/>
      <w:bookmarkEnd w:id="1027"/>
      <w:r>
        <w:rPr>
          <w:vertAlign w:val="baseline"/>
        </w:rPr>
        <w:t>far</w:t>
      </w:r>
      <w:r>
        <w:rPr>
          <w:vertAlign w:val="baseline"/>
        </w:rPr>
        <w:t> beyond conventional limits.” </w:t>
      </w:r>
      <w:r>
        <w:rPr>
          <w:color w:val="005DA1"/>
          <w:u w:val="single" w:color="005DA1"/>
          <w:vertAlign w:val="superscript"/>
        </w:rPr>
        <w:t>561</w:t>
      </w:r>
      <w:r>
        <w:rPr>
          <w:color w:val="005DA1"/>
          <w:vertAlign w:val="baseline"/>
        </w:rPr>
        <w:t> </w:t>
      </w:r>
      <w:r>
        <w:rPr>
          <w:vertAlign w:val="baseline"/>
        </w:rPr>
        <w:t>A number of other techniques have, however, been developed for making the benefit of exemption clauses available to third parties. </w:t>
      </w:r>
      <w:r>
        <w:rPr>
          <w:color w:val="005DA1"/>
          <w:u w:val="single" w:color="005DA1"/>
          <w:vertAlign w:val="superscript"/>
        </w:rPr>
        <w:t>562</w:t>
      </w:r>
    </w:p>
    <w:p>
      <w:pPr>
        <w:pStyle w:val="BodyText"/>
      </w:pPr>
    </w:p>
    <w:p>
      <w:pPr>
        <w:pStyle w:val="BodyText"/>
        <w:spacing w:before="36"/>
      </w:pPr>
    </w:p>
    <w:p>
      <w:pPr>
        <w:spacing w:before="0"/>
        <w:ind w:left="165" w:right="0" w:firstLine="0"/>
        <w:jc w:val="left"/>
        <w:rPr>
          <w:rFonts w:ascii="Arial"/>
          <w:b/>
          <w:sz w:val="18"/>
        </w:rPr>
      </w:pPr>
      <w:r>
        <w:rPr>
          <w:rFonts w:ascii="Arial"/>
          <w:b/>
          <w:sz w:val="18"/>
        </w:rPr>
        <w:t>Relation of trust device to doctrine of </w:t>
      </w:r>
      <w:r>
        <w:rPr>
          <w:rFonts w:ascii="Arial"/>
          <w:b/>
          <w:spacing w:val="-2"/>
          <w:sz w:val="18"/>
        </w:rPr>
        <w:t>privity</w:t>
      </w:r>
    </w:p>
    <w:p>
      <w:pPr>
        <w:pStyle w:val="BodyText"/>
        <w:spacing w:before="41"/>
        <w:rPr>
          <w:rFonts w:ascii="Arial"/>
          <w:b/>
          <w:sz w:val="18"/>
        </w:rPr>
      </w:pPr>
    </w:p>
    <w:p>
      <w:pPr>
        <w:pStyle w:val="Heading2"/>
        <w:spacing w:before="1"/>
      </w:pPr>
      <w:r>
        <w:rPr/>
        <w:t>18-</w:t>
      </w:r>
      <w:r>
        <w:rPr>
          <w:spacing w:val="-5"/>
        </w:rPr>
        <w:t>088</w:t>
      </w:r>
    </w:p>
    <w:p>
      <w:pPr>
        <w:pStyle w:val="BodyText"/>
        <w:spacing w:line="235" w:lineRule="auto" w:before="202"/>
        <w:ind w:left="164" w:right="167"/>
        <w:jc w:val="both"/>
      </w:pPr>
      <w:bookmarkStart w:name="_bookmark1026" w:id="1028"/>
      <w:bookmarkEnd w:id="1028"/>
      <w:r>
        <w:rPr/>
      </w:r>
      <w:r>
        <w:rPr/>
        <w:t>It has been argued </w:t>
      </w:r>
      <w:r>
        <w:rPr>
          <w:color w:val="005DA1"/>
          <w:u w:val="single" w:color="005DA1"/>
          <w:vertAlign w:val="superscript"/>
        </w:rPr>
        <w:t>563</w:t>
      </w:r>
      <w:r>
        <w:rPr>
          <w:color w:val="005DA1"/>
          <w:vertAlign w:val="baseline"/>
        </w:rPr>
        <w:t> </w:t>
      </w:r>
      <w:r>
        <w:rPr>
          <w:vertAlign w:val="baseline"/>
        </w:rPr>
        <w:t>that, where the trust device applied and so conferred rights on a third party, </w:t>
      </w:r>
      <w:bookmarkStart w:name="_bookmark1027" w:id="1029"/>
      <w:bookmarkEnd w:id="1029"/>
      <w:r>
        <w:rPr>
          <w:vertAlign w:val="baseline"/>
        </w:rPr>
        <w:t>there</w:t>
      </w:r>
      <w:r>
        <w:rPr>
          <w:vertAlign w:val="baseline"/>
        </w:rPr>
        <w:t> was before the Judicature Act 1873 a conflict between the rules of equity and those of common law; that, by virtue of that Act, the rules of equity now prevail </w:t>
      </w:r>
      <w:r>
        <w:rPr>
          <w:color w:val="005DA1"/>
          <w:u w:val="single" w:color="005DA1"/>
          <w:vertAlign w:val="superscript"/>
        </w:rPr>
        <w:t>564</w:t>
      </w:r>
      <w:r>
        <w:rPr>
          <w:vertAlign w:val="baseline"/>
        </w:rPr>
        <w:t>; and that a third party should </w:t>
      </w:r>
      <w:r>
        <w:rPr>
          <w:vertAlign w:val="baseline"/>
        </w:rPr>
        <w:t>now </w:t>
      </w:r>
      <w:bookmarkStart w:name="_bookmark1028" w:id="1030"/>
      <w:bookmarkEnd w:id="1030"/>
      <w:r>
        <w:rPr>
          <w:vertAlign w:val="baseline"/>
        </w:rPr>
        <w:t>generally</w:t>
      </w:r>
      <w:r>
        <w:rPr>
          <w:vertAlign w:val="baseline"/>
        </w:rPr>
        <w:t> be entitled to enforce a contract made for his benefit. But this argument has not been </w:t>
      </w:r>
      <w:bookmarkStart w:name="_bookmark1029" w:id="1031"/>
      <w:bookmarkEnd w:id="1031"/>
      <w:r>
        <w:rPr>
          <w:vertAlign w:val="baseline"/>
        </w:rPr>
        <w:t>accepted</w:t>
      </w:r>
      <w:r>
        <w:rPr>
          <w:spacing w:val="-1"/>
          <w:vertAlign w:val="baseline"/>
        </w:rPr>
        <w:t> </w:t>
      </w:r>
      <w:r>
        <w:rPr>
          <w:color w:val="005DA1"/>
          <w:u w:val="single" w:color="005DA1"/>
          <w:vertAlign w:val="superscript"/>
        </w:rPr>
        <w:t>565</w:t>
      </w:r>
      <w:r>
        <w:rPr>
          <w:color w:val="005DA1"/>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trust</w:t>
      </w:r>
      <w:r>
        <w:rPr>
          <w:spacing w:val="-1"/>
          <w:vertAlign w:val="baseline"/>
        </w:rPr>
        <w:t> </w:t>
      </w:r>
      <w:r>
        <w:rPr>
          <w:vertAlign w:val="baseline"/>
        </w:rPr>
        <w:t>device</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judicially</w:t>
      </w:r>
      <w:r>
        <w:rPr>
          <w:spacing w:val="-1"/>
          <w:vertAlign w:val="baseline"/>
        </w:rPr>
        <w:t> </w:t>
      </w:r>
      <w:r>
        <w:rPr>
          <w:vertAlign w:val="baseline"/>
        </w:rPr>
        <w:t>described</w:t>
      </w:r>
      <w:r>
        <w:rPr>
          <w:spacing w:val="-1"/>
          <w:vertAlign w:val="baseline"/>
        </w:rPr>
        <w:t> </w:t>
      </w:r>
      <w:r>
        <w:rPr>
          <w:vertAlign w:val="baseline"/>
        </w:rPr>
        <w:t>as</w:t>
      </w:r>
      <w:r>
        <w:rPr>
          <w:spacing w:val="-1"/>
          <w:vertAlign w:val="baseline"/>
        </w:rPr>
        <w:t> </w:t>
      </w:r>
      <w:r>
        <w:rPr>
          <w:vertAlign w:val="baseline"/>
        </w:rPr>
        <w:t>“an</w:t>
      </w:r>
      <w:r>
        <w:rPr>
          <w:spacing w:val="-2"/>
          <w:vertAlign w:val="baseline"/>
        </w:rPr>
        <w:t> </w:t>
      </w:r>
      <w:r>
        <w:rPr>
          <w:rFonts w:ascii="Arial" w:hAnsi="Arial"/>
          <w:i/>
          <w:vertAlign w:val="baseline"/>
        </w:rPr>
        <w:t>exception</w:t>
      </w:r>
      <w:r>
        <w:rPr>
          <w:rFonts w:ascii="Arial" w:hAnsi="Arial"/>
          <w:i/>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rule</w:t>
      </w:r>
      <w:r>
        <w:rPr>
          <w:spacing w:val="-1"/>
          <w:vertAlign w:val="baseline"/>
        </w:rPr>
        <w:t> </w:t>
      </w:r>
      <w:r>
        <w:rPr>
          <w:vertAlign w:val="baseline"/>
        </w:rPr>
        <w:t>of</w:t>
      </w:r>
      <w:r>
        <w:rPr>
          <w:spacing w:val="-1"/>
          <w:vertAlign w:val="baseline"/>
        </w:rPr>
        <w:t> </w:t>
      </w:r>
      <w:r>
        <w:rPr>
          <w:vertAlign w:val="baseline"/>
        </w:rPr>
        <w:t>privity</w:t>
      </w:r>
      <w:r>
        <w:rPr>
          <w:spacing w:val="-1"/>
          <w:vertAlign w:val="baseline"/>
        </w:rPr>
        <w:t> </w:t>
      </w:r>
      <w:r>
        <w:rPr>
          <w:vertAlign w:val="baseline"/>
        </w:rPr>
        <w:t>of contract.” </w:t>
      </w:r>
      <w:r>
        <w:rPr>
          <w:color w:val="005DA1"/>
          <w:u w:val="single" w:color="005DA1"/>
          <w:vertAlign w:val="superscript"/>
        </w:rPr>
        <w:t>566</w:t>
      </w:r>
      <w:r>
        <w:rPr>
          <w:color w:val="005DA1"/>
          <w:vertAlign w:val="baseline"/>
        </w:rPr>
        <w:t> </w:t>
      </w:r>
      <w:r>
        <w:rPr>
          <w:vertAlign w:val="baseline"/>
        </w:rPr>
        <w:t>The exception is of limited, if uncertain, scope and so does not give rise to a direct </w:t>
      </w:r>
      <w:bookmarkStart w:name="_bookmark1030" w:id="1032"/>
      <w:bookmarkEnd w:id="1032"/>
      <w:r>
        <w:rPr>
          <w:vertAlign w:val="baseline"/>
        </w:rPr>
        <w:t>conflict</w:t>
      </w:r>
      <w:r>
        <w:rPr>
          <w:vertAlign w:val="baseline"/>
        </w:rPr>
        <w:t> between common law and equity. Even in equity, a third party could not enforce a contract </w:t>
      </w:r>
      <w:bookmarkStart w:name="_bookmark1031" w:id="1033"/>
      <w:bookmarkEnd w:id="1033"/>
      <w:r>
        <w:rPr>
          <w:vertAlign w:val="baseline"/>
        </w:rPr>
        <w:t>merely</w:t>
      </w:r>
      <w:r>
        <w:rPr>
          <w:vertAlign w:val="baseline"/>
        </w:rPr>
        <w:t> because it was expressed to have been made for his benefit </w:t>
      </w:r>
      <w:r>
        <w:rPr>
          <w:color w:val="005DA1"/>
          <w:u w:val="single" w:color="005DA1"/>
          <w:vertAlign w:val="superscript"/>
        </w:rPr>
        <w:t>567</w:t>
      </w:r>
      <w:r>
        <w:rPr>
          <w:vertAlign w:val="baseline"/>
        </w:rPr>
        <w:t>: he had to show, in addition, that a trust had been created in his favour. </w:t>
      </w:r>
      <w:r>
        <w:rPr>
          <w:color w:val="005DA1"/>
          <w:u w:val="single" w:color="005DA1"/>
          <w:vertAlign w:val="superscript"/>
        </w:rPr>
        <w:t>568</w:t>
      </w:r>
      <w:r>
        <w:rPr>
          <w:color w:val="005DA1"/>
          <w:vertAlign w:val="baseline"/>
        </w:rPr>
        <w:t> </w:t>
      </w:r>
      <w:r>
        <w:rPr>
          <w:vertAlign w:val="baseline"/>
        </w:rPr>
        <w:t>The argument that third parties were entitled to enforce </w:t>
      </w:r>
      <w:bookmarkStart w:name="_bookmark1032" w:id="1034"/>
      <w:bookmarkEnd w:id="1034"/>
      <w:r>
        <w:rPr>
          <w:vertAlign w:val="baseline"/>
        </w:rPr>
        <w:t>contracts</w:t>
      </w:r>
      <w:r>
        <w:rPr>
          <w:vertAlign w:val="baseline"/>
        </w:rPr>
        <w:t> made for their benefit has been rejected in many cases since the 1873 Act; and although </w:t>
      </w:r>
      <w:bookmarkStart w:name="_bookmark1033" w:id="1035"/>
      <w:bookmarkEnd w:id="1035"/>
      <w:r>
        <w:rPr>
          <w:vertAlign w:val="baseline"/>
        </w:rPr>
        <w:t>some</w:t>
      </w:r>
      <w:r>
        <w:rPr>
          <w:vertAlign w:val="baseline"/>
        </w:rPr>
        <w:t> of these decisions were based entirely on common law principles, </w:t>
      </w:r>
      <w:r>
        <w:rPr>
          <w:color w:val="005DA1"/>
          <w:u w:val="single" w:color="005DA1"/>
          <w:vertAlign w:val="superscript"/>
        </w:rPr>
        <w:t>569</w:t>
      </w:r>
      <w:r>
        <w:rPr>
          <w:color w:val="005DA1"/>
          <w:vertAlign w:val="baseline"/>
        </w:rPr>
        <w:t> </w:t>
      </w:r>
      <w:r>
        <w:rPr>
          <w:vertAlign w:val="baseline"/>
        </w:rPr>
        <w:t>in others the equitable argument was considered and rejected. </w:t>
      </w:r>
      <w:r>
        <w:rPr>
          <w:color w:val="005DA1"/>
          <w:u w:val="single" w:color="005DA1"/>
          <w:vertAlign w:val="superscript"/>
        </w:rPr>
        <w:t>570</w:t>
      </w:r>
    </w:p>
    <w:p>
      <w:pPr>
        <w:pStyle w:val="BodyText"/>
      </w:pPr>
    </w:p>
    <w:p>
      <w:pPr>
        <w:pStyle w:val="BodyText"/>
        <w:spacing w:before="34"/>
      </w:pPr>
    </w:p>
    <w:p>
      <w:pPr>
        <w:spacing w:before="0"/>
        <w:ind w:left="165" w:right="0" w:firstLine="0"/>
        <w:jc w:val="left"/>
        <w:rPr>
          <w:rFonts w:ascii="Arial"/>
          <w:b/>
          <w:sz w:val="18"/>
        </w:rPr>
      </w:pPr>
      <w:r>
        <w:rPr>
          <w:rFonts w:ascii="Arial"/>
          <w:b/>
          <w:sz w:val="18"/>
        </w:rPr>
        <w:t>Covenants in marriage </w:t>
      </w:r>
      <w:r>
        <w:rPr>
          <w:rFonts w:ascii="Arial"/>
          <w:b/>
          <w:spacing w:val="-2"/>
          <w:sz w:val="18"/>
        </w:rPr>
        <w:t>settlements</w:t>
      </w:r>
    </w:p>
    <w:p>
      <w:pPr>
        <w:pStyle w:val="BodyText"/>
        <w:spacing w:before="41"/>
        <w:rPr>
          <w:rFonts w:ascii="Arial"/>
          <w:b/>
          <w:sz w:val="18"/>
        </w:rPr>
      </w:pPr>
    </w:p>
    <w:p>
      <w:pPr>
        <w:pStyle w:val="Heading2"/>
        <w:spacing w:before="1"/>
      </w:pPr>
      <w:r>
        <w:rPr/>
        <w:t>18-</w:t>
      </w:r>
      <w:r>
        <w:rPr>
          <w:spacing w:val="-5"/>
        </w:rPr>
        <w:t>089</w:t>
      </w:r>
    </w:p>
    <w:p>
      <w:pPr>
        <w:pStyle w:val="BodyText"/>
        <w:spacing w:line="235" w:lineRule="auto" w:before="202"/>
        <w:ind w:left="165" w:right="167"/>
        <w:jc w:val="both"/>
      </w:pPr>
      <w:r>
        <w:rPr/>
        <w:t>In equity a covenant to settle after-acquired property contained in a marriage settlement can </w:t>
      </w:r>
      <w:r>
        <w:rPr/>
        <w:t>be enforced</w:t>
      </w:r>
      <w:r>
        <w:rPr>
          <w:spacing w:val="20"/>
        </w:rPr>
        <w:t> </w:t>
      </w:r>
      <w:r>
        <w:rPr/>
        <w:t>by</w:t>
      </w:r>
      <w:r>
        <w:rPr>
          <w:spacing w:val="20"/>
        </w:rPr>
        <w:t> </w:t>
      </w:r>
      <w:r>
        <w:rPr/>
        <w:t>persons</w:t>
      </w:r>
      <w:r>
        <w:rPr>
          <w:spacing w:val="20"/>
        </w:rPr>
        <w:t> </w:t>
      </w:r>
      <w:r>
        <w:rPr/>
        <w:t>“within</w:t>
      </w:r>
      <w:r>
        <w:rPr>
          <w:spacing w:val="20"/>
        </w:rPr>
        <w:t> </w:t>
      </w:r>
      <w:r>
        <w:rPr/>
        <w:t>the</w:t>
      </w:r>
      <w:r>
        <w:rPr>
          <w:spacing w:val="20"/>
        </w:rPr>
        <w:t> </w:t>
      </w:r>
      <w:r>
        <w:rPr/>
        <w:t>marriage</w:t>
      </w:r>
      <w:r>
        <w:rPr>
          <w:spacing w:val="20"/>
        </w:rPr>
        <w:t> </w:t>
      </w:r>
      <w:r>
        <w:rPr/>
        <w:t>consideration,”</w:t>
      </w:r>
      <w:r>
        <w:rPr>
          <w:spacing w:val="20"/>
        </w:rPr>
        <w:t> </w:t>
      </w:r>
      <w:r>
        <w:rPr/>
        <w:t>that</w:t>
      </w:r>
      <w:r>
        <w:rPr>
          <w:spacing w:val="20"/>
        </w:rPr>
        <w:t> </w:t>
      </w:r>
      <w:r>
        <w:rPr/>
        <w:t>is,</w:t>
      </w:r>
      <w:r>
        <w:rPr>
          <w:spacing w:val="20"/>
        </w:rPr>
        <w:t> </w:t>
      </w:r>
      <w:r>
        <w:rPr/>
        <w:t>by</w:t>
      </w:r>
      <w:r>
        <w:rPr>
          <w:spacing w:val="20"/>
        </w:rPr>
        <w:t> </w:t>
      </w:r>
      <w:r>
        <w:rPr/>
        <w:t>the</w:t>
      </w:r>
      <w:r>
        <w:rPr>
          <w:spacing w:val="20"/>
        </w:rPr>
        <w:t> </w:t>
      </w:r>
      <w:r>
        <w:rPr/>
        <w:t>parties</w:t>
      </w:r>
      <w:r>
        <w:rPr>
          <w:spacing w:val="20"/>
        </w:rPr>
        <w:t> </w:t>
      </w:r>
      <w:r>
        <w:rPr/>
        <w:t>to,</w:t>
      </w:r>
      <w:r>
        <w:rPr>
          <w:spacing w:val="20"/>
        </w:rPr>
        <w:t> </w:t>
      </w:r>
      <w:r>
        <w:rPr/>
        <w:t>and</w:t>
      </w:r>
      <w:r>
        <w:rPr>
          <w:spacing w:val="20"/>
        </w:rPr>
        <w:t> </w:t>
      </w:r>
      <w:r>
        <w:rPr/>
        <w:t>the</w:t>
      </w:r>
      <w:r>
        <w:rPr>
          <w:spacing w:val="20"/>
        </w:rPr>
        <w:t> </w:t>
      </w:r>
      <w:r>
        <w:rPr/>
        <w:t>issue</w:t>
      </w:r>
      <w:r>
        <w:rPr>
          <w:spacing w:val="20"/>
        </w:rPr>
        <w:t> </w:t>
      </w:r>
      <w:r>
        <w:rPr>
          <w:spacing w:val="-5"/>
        </w:rPr>
        <w:t>of,</w:t>
      </w:r>
    </w:p>
    <w:p>
      <w:pPr>
        <w:pStyle w:val="BodyText"/>
        <w:spacing w:after="0" w:line="235" w:lineRule="auto"/>
        <w:jc w:val="both"/>
        <w:sectPr>
          <w:pgSz w:w="11900" w:h="16840"/>
          <w:pgMar w:header="971" w:footer="0" w:top="1160" w:bottom="280" w:left="1275" w:right="1275"/>
        </w:sectPr>
      </w:pPr>
    </w:p>
    <w:p>
      <w:pPr>
        <w:pStyle w:val="BodyText"/>
        <w:spacing w:before="124"/>
      </w:pPr>
    </w:p>
    <w:p>
      <w:pPr>
        <w:pStyle w:val="BodyText"/>
        <w:spacing w:line="235" w:lineRule="auto" w:before="1"/>
        <w:ind w:left="165"/>
      </w:pPr>
      <w:bookmarkStart w:name="_bookmark1034" w:id="1036"/>
      <w:bookmarkEnd w:id="1036"/>
      <w:r>
        <w:rPr/>
      </w:r>
      <w:r>
        <w:rPr/>
        <w:t>the marriage. But the covenant confers no rights on mere volunteers such as the next-of-kin of </w:t>
      </w:r>
      <w:r>
        <w:rPr/>
        <w:t>those parties or children by a previous marriage. </w:t>
      </w:r>
      <w:r>
        <w:rPr>
          <w:color w:val="005DA1"/>
          <w:u w:val="single" w:color="005DA1"/>
          <w:vertAlign w:val="superscript"/>
        </w:rPr>
        <w:t>571</w:t>
      </w:r>
    </w:p>
    <w:p>
      <w:pPr>
        <w:pStyle w:val="BodyText"/>
      </w:pPr>
    </w:p>
    <w:p>
      <w:pPr>
        <w:pStyle w:val="BodyText"/>
        <w:spacing w:before="39"/>
      </w:pPr>
      <w:r>
        <w:rPr/>
        <mc:AlternateContent>
          <mc:Choice Requires="wps">
            <w:drawing>
              <wp:anchor distT="0" distB="0" distL="0" distR="0" allowOverlap="1" layoutInCell="1" locked="0" behindDoc="1" simplePos="0" relativeHeight="487634944">
                <wp:simplePos x="0" y="0"/>
                <wp:positionH relativeFrom="page">
                  <wp:posOffset>914400</wp:posOffset>
                </wp:positionH>
                <wp:positionV relativeFrom="paragraph">
                  <wp:posOffset>186112</wp:posOffset>
                </wp:positionV>
                <wp:extent cx="5724525"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4554pt;width:450.75pt;height:.1pt;mso-position-horizontal-relative:page;mso-position-vertical-relative:paragraph;z-index:-15681536;mso-wrap-distance-left:0;mso-wrap-distance-right:0" id="docshape32"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79616">
                <wp:simplePos x="0" y="0"/>
                <wp:positionH relativeFrom="page">
                  <wp:posOffset>914400</wp:posOffset>
                </wp:positionH>
                <wp:positionV relativeFrom="paragraph">
                  <wp:posOffset>97116</wp:posOffset>
                </wp:positionV>
                <wp:extent cx="4953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36864"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5"/>
      </w:pPr>
    </w:p>
    <w:p>
      <w:pPr>
        <w:pStyle w:val="BodyText"/>
        <w:tabs>
          <w:tab w:pos="705" w:val="left" w:leader="none"/>
        </w:tabs>
        <w:ind w:left="165"/>
      </w:pPr>
      <w:bookmarkStart w:name="_bookmark1035" w:id="1037"/>
      <w:bookmarkEnd w:id="1037"/>
      <w:r>
        <w:rPr/>
      </w:r>
      <w:hyperlink w:history="true" w:anchor="_bookmark984">
        <w:r>
          <w:rPr>
            <w:color w:val="005DA1"/>
            <w:spacing w:val="-4"/>
            <w:position w:val="5"/>
            <w:sz w:val="14"/>
            <w:u w:val="single" w:color="005DA1"/>
          </w:rPr>
          <w:t>513</w:t>
        </w:r>
      </w:hyperlink>
      <w:r>
        <w:rPr>
          <w:spacing w:val="-4"/>
          <w:position w:val="5"/>
          <w:sz w:val="14"/>
        </w:rPr>
        <w:t>.</w:t>
      </w:r>
      <w:r>
        <w:rPr>
          <w:position w:val="5"/>
          <w:sz w:val="14"/>
        </w:rPr>
        <w:tab/>
      </w:r>
      <w:r>
        <w:rPr/>
        <w:t>Corbin, 46 L.Q.R. 12 (1930); Contracts, Ch.46; Jaconelli [1998] Conv. </w:t>
      </w:r>
      <w:r>
        <w:rPr>
          <w:spacing w:val="-5"/>
        </w:rPr>
        <w:t>88.</w:t>
      </w:r>
    </w:p>
    <w:p>
      <w:pPr>
        <w:pStyle w:val="BodyText"/>
        <w:spacing w:before="9"/>
      </w:pPr>
    </w:p>
    <w:p>
      <w:pPr>
        <w:spacing w:line="235" w:lineRule="auto" w:before="0"/>
        <w:ind w:left="705" w:right="167" w:hanging="541"/>
        <w:jc w:val="both"/>
        <w:rPr>
          <w:rFonts w:ascii="Arial" w:hAnsi="Arial"/>
          <w:i/>
          <w:sz w:val="20"/>
        </w:rPr>
      </w:pPr>
      <w:bookmarkStart w:name="_bookmark1036" w:id="1038"/>
      <w:bookmarkEnd w:id="1038"/>
      <w:r>
        <w:rPr/>
      </w:r>
      <w:hyperlink w:history="true" w:anchor="_bookmark985">
        <w:r>
          <w:rPr>
            <w:color w:val="005DA1"/>
            <w:position w:val="5"/>
            <w:sz w:val="14"/>
            <w:u w:val="single" w:color="005DA1"/>
          </w:rPr>
          <w:t>514</w:t>
        </w:r>
      </w:hyperlink>
      <w:r>
        <w:rPr>
          <w:position w:val="5"/>
          <w:sz w:val="14"/>
        </w:rPr>
        <w:t>.</w:t>
      </w:r>
      <w:r>
        <w:rPr>
          <w:spacing w:val="40"/>
          <w:position w:val="5"/>
          <w:sz w:val="14"/>
        </w:rPr>
        <w:t>  </w:t>
      </w:r>
      <w:r>
        <w:rPr>
          <w:rFonts w:ascii="Arial" w:hAnsi="Arial"/>
          <w:i/>
          <w:sz w:val="20"/>
        </w:rPr>
        <w:t>Tomlinson v Gill (1756) Amb. 330</w:t>
      </w:r>
      <w:r>
        <w:rPr>
          <w:sz w:val="20"/>
        </w:rPr>
        <w:t>; cf. </w:t>
      </w:r>
      <w:r>
        <w:rPr>
          <w:rFonts w:ascii="Arial" w:hAnsi="Arial"/>
          <w:i/>
          <w:sz w:val="20"/>
        </w:rPr>
        <w:t>Gregory v Williams (1817) Mer. 582</w:t>
      </w:r>
      <w:r>
        <w:rPr>
          <w:sz w:val="20"/>
        </w:rPr>
        <w:t>; </w:t>
      </w:r>
      <w:r>
        <w:rPr>
          <w:rFonts w:ascii="Arial" w:hAnsi="Arial"/>
          <w:i/>
          <w:sz w:val="20"/>
        </w:rPr>
        <w:t>Lloyd’s v Harper (1880) 16 Ch.D. 290</w:t>
      </w:r>
      <w:r>
        <w:rPr>
          <w:sz w:val="20"/>
        </w:rPr>
        <w:t>; for recognition of the device at common law (allowing B to recover more than he had lost on the ground that he was bound to hold the surplus for C) see </w:t>
      </w:r>
      <w:r>
        <w:rPr>
          <w:rFonts w:ascii="Arial" w:hAnsi="Arial"/>
          <w:i/>
          <w:sz w:val="20"/>
        </w:rPr>
        <w:t>Lamb v Vice (1840)</w:t>
      </w:r>
      <w:r>
        <w:rPr>
          <w:rFonts w:ascii="Arial" w:hAnsi="Arial"/>
          <w:i/>
          <w:spacing w:val="6"/>
          <w:sz w:val="20"/>
        </w:rPr>
        <w:t> </w:t>
      </w:r>
      <w:r>
        <w:rPr>
          <w:rFonts w:ascii="Arial" w:hAnsi="Arial"/>
          <w:i/>
          <w:sz w:val="20"/>
        </w:rPr>
        <w:t>6</w:t>
      </w:r>
      <w:r>
        <w:rPr>
          <w:rFonts w:ascii="Arial" w:hAnsi="Arial"/>
          <w:i/>
          <w:spacing w:val="9"/>
          <w:sz w:val="20"/>
        </w:rPr>
        <w:t> </w:t>
      </w:r>
      <w:r>
        <w:rPr>
          <w:rFonts w:ascii="Arial" w:hAnsi="Arial"/>
          <w:i/>
          <w:sz w:val="20"/>
        </w:rPr>
        <w:t>M.</w:t>
      </w:r>
      <w:r>
        <w:rPr>
          <w:rFonts w:ascii="Arial" w:hAnsi="Arial"/>
          <w:i/>
          <w:spacing w:val="9"/>
          <w:sz w:val="20"/>
        </w:rPr>
        <w:t> </w:t>
      </w:r>
      <w:r>
        <w:rPr>
          <w:rFonts w:ascii="Arial" w:hAnsi="Arial"/>
          <w:i/>
          <w:sz w:val="20"/>
        </w:rPr>
        <w:t>&amp;</w:t>
      </w:r>
      <w:r>
        <w:rPr>
          <w:rFonts w:ascii="Arial" w:hAnsi="Arial"/>
          <w:i/>
          <w:spacing w:val="9"/>
          <w:sz w:val="20"/>
        </w:rPr>
        <w:t> </w:t>
      </w:r>
      <w:r>
        <w:rPr>
          <w:rFonts w:ascii="Arial" w:hAnsi="Arial"/>
          <w:i/>
          <w:sz w:val="20"/>
        </w:rPr>
        <w:t>W.</w:t>
      </w:r>
      <w:r>
        <w:rPr>
          <w:rFonts w:ascii="Arial" w:hAnsi="Arial"/>
          <w:i/>
          <w:spacing w:val="9"/>
          <w:sz w:val="20"/>
        </w:rPr>
        <w:t> </w:t>
      </w:r>
      <w:r>
        <w:rPr>
          <w:rFonts w:ascii="Arial" w:hAnsi="Arial"/>
          <w:i/>
          <w:sz w:val="20"/>
        </w:rPr>
        <w:t>467</w:t>
      </w:r>
      <w:r>
        <w:rPr>
          <w:sz w:val="20"/>
        </w:rPr>
        <w:t>;</w:t>
      </w:r>
      <w:r>
        <w:rPr>
          <w:spacing w:val="9"/>
          <w:sz w:val="20"/>
        </w:rPr>
        <w:t> </w:t>
      </w:r>
      <w:r>
        <w:rPr>
          <w:rFonts w:ascii="Arial" w:hAnsi="Arial"/>
          <w:i/>
          <w:sz w:val="20"/>
        </w:rPr>
        <w:t>Robertson</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Wait</w:t>
      </w:r>
      <w:r>
        <w:rPr>
          <w:rFonts w:ascii="Arial" w:hAnsi="Arial"/>
          <w:i/>
          <w:spacing w:val="9"/>
          <w:sz w:val="20"/>
        </w:rPr>
        <w:t> </w:t>
      </w:r>
      <w:r>
        <w:rPr>
          <w:rFonts w:ascii="Arial" w:hAnsi="Arial"/>
          <w:i/>
          <w:sz w:val="20"/>
        </w:rPr>
        <w:t>(1853)</w:t>
      </w:r>
      <w:r>
        <w:rPr>
          <w:rFonts w:ascii="Arial" w:hAnsi="Arial"/>
          <w:i/>
          <w:spacing w:val="8"/>
          <w:sz w:val="20"/>
        </w:rPr>
        <w:t> </w:t>
      </w:r>
      <w:r>
        <w:rPr>
          <w:rFonts w:ascii="Arial" w:hAnsi="Arial"/>
          <w:i/>
          <w:sz w:val="20"/>
        </w:rPr>
        <w:t>8</w:t>
      </w:r>
      <w:r>
        <w:rPr>
          <w:rFonts w:ascii="Arial" w:hAnsi="Arial"/>
          <w:i/>
          <w:spacing w:val="9"/>
          <w:sz w:val="20"/>
        </w:rPr>
        <w:t> </w:t>
      </w:r>
      <w:r>
        <w:rPr>
          <w:rFonts w:ascii="Arial" w:hAnsi="Arial"/>
          <w:i/>
          <w:sz w:val="20"/>
        </w:rPr>
        <w:t>Ex.</w:t>
      </w:r>
      <w:r>
        <w:rPr>
          <w:rFonts w:ascii="Arial" w:hAnsi="Arial"/>
          <w:i/>
          <w:spacing w:val="9"/>
          <w:sz w:val="20"/>
        </w:rPr>
        <w:t> </w:t>
      </w:r>
      <w:r>
        <w:rPr>
          <w:rFonts w:ascii="Arial" w:hAnsi="Arial"/>
          <w:i/>
          <w:sz w:val="20"/>
        </w:rPr>
        <w:t>299</w:t>
      </w:r>
      <w:r>
        <w:rPr>
          <w:sz w:val="20"/>
        </w:rPr>
        <w:t>;</w:t>
      </w:r>
      <w:r>
        <w:rPr>
          <w:spacing w:val="9"/>
          <w:sz w:val="20"/>
        </w:rPr>
        <w:t> </w:t>
      </w:r>
      <w:r>
        <w:rPr>
          <w:rFonts w:ascii="Arial" w:hAnsi="Arial"/>
          <w:i/>
          <w:sz w:val="20"/>
        </w:rPr>
        <w:t>Prudential</w:t>
      </w:r>
      <w:r>
        <w:rPr>
          <w:rFonts w:ascii="Arial" w:hAnsi="Arial"/>
          <w:i/>
          <w:spacing w:val="9"/>
          <w:sz w:val="20"/>
        </w:rPr>
        <w:t> </w:t>
      </w:r>
      <w:r>
        <w:rPr>
          <w:rFonts w:ascii="Arial" w:hAnsi="Arial"/>
          <w:i/>
          <w:sz w:val="20"/>
        </w:rPr>
        <w:t>Staff</w:t>
      </w:r>
      <w:r>
        <w:rPr>
          <w:rFonts w:ascii="Arial" w:hAnsi="Arial"/>
          <w:i/>
          <w:spacing w:val="9"/>
          <w:sz w:val="20"/>
        </w:rPr>
        <w:t> </w:t>
      </w:r>
      <w:r>
        <w:rPr>
          <w:rFonts w:ascii="Arial" w:hAnsi="Arial"/>
          <w:i/>
          <w:sz w:val="20"/>
        </w:rPr>
        <w:t>Union</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Hall</w:t>
      </w:r>
      <w:r>
        <w:rPr>
          <w:rFonts w:ascii="Arial" w:hAnsi="Arial"/>
          <w:i/>
          <w:spacing w:val="9"/>
          <w:sz w:val="20"/>
        </w:rPr>
        <w:t> </w:t>
      </w:r>
      <w:r>
        <w:rPr>
          <w:rFonts w:ascii="Arial" w:hAnsi="Arial"/>
          <w:i/>
          <w:spacing w:val="-2"/>
          <w:sz w:val="20"/>
        </w:rPr>
        <w:t>[1947]</w:t>
      </w:r>
    </w:p>
    <w:p>
      <w:pPr>
        <w:spacing w:line="235" w:lineRule="auto" w:before="0"/>
        <w:ind w:left="705" w:right="167" w:firstLine="0"/>
        <w:jc w:val="both"/>
        <w:rPr>
          <w:sz w:val="20"/>
        </w:rPr>
      </w:pPr>
      <w:r>
        <w:rPr>
          <w:rFonts w:ascii="Arial" w:hAnsi="Arial"/>
          <w:i/>
          <w:sz w:val="20"/>
        </w:rPr>
        <w:t>K.B. 685</w:t>
      </w:r>
      <w:r>
        <w:rPr>
          <w:sz w:val="20"/>
        </w:rPr>
        <w:t>. For the effectiveness of a direction (not of a contractual nature) to executors in favour of a third party, see </w:t>
      </w:r>
      <w:r>
        <w:rPr>
          <w:rFonts w:ascii="Arial" w:hAnsi="Arial"/>
          <w:i/>
          <w:sz w:val="20"/>
        </w:rPr>
        <w:t>Crowden v Aldridge [1993] 1 W.L.R. 433</w:t>
      </w:r>
      <w:r>
        <w:rPr>
          <w:sz w:val="20"/>
        </w:rPr>
        <w:t>. Our concern here is with the situation in which B constitutes himself as trustee ab initio, i.e. at the time of contracting. B may also constitute himself as trustee for C </w:t>
      </w:r>
      <w:r>
        <w:rPr>
          <w:rFonts w:ascii="Arial" w:hAnsi="Arial"/>
          <w:i/>
          <w:sz w:val="20"/>
        </w:rPr>
        <w:t>after </w:t>
      </w:r>
      <w:r>
        <w:rPr>
          <w:sz w:val="20"/>
        </w:rPr>
        <w:t>that time. For the relationship between the latter possibility and an assignment to C by B of contractual rights against A, see </w:t>
      </w:r>
      <w:r>
        <w:rPr>
          <w:rFonts w:ascii="Arial" w:hAnsi="Arial"/>
          <w:i/>
          <w:sz w:val="20"/>
        </w:rPr>
        <w:t>Barbados Trust Co Ltd v Bank of Zambia [2007] EWCA Civ 148, [2007] 1 Lloyd’s Rep. 723</w:t>
      </w:r>
      <w:r>
        <w:rPr>
          <w:sz w:val="20"/>
        </w:rPr>
        <w:t>, below para.19-047.</w:t>
      </w:r>
    </w:p>
    <w:p>
      <w:pPr>
        <w:pStyle w:val="BodyText"/>
        <w:spacing w:before="6"/>
      </w:pPr>
    </w:p>
    <w:p>
      <w:pPr>
        <w:spacing w:line="235" w:lineRule="auto" w:before="0"/>
        <w:ind w:left="705" w:right="167" w:hanging="541"/>
        <w:jc w:val="both"/>
        <w:rPr>
          <w:sz w:val="20"/>
        </w:rPr>
      </w:pPr>
      <w:bookmarkStart w:name="_bookmark1037" w:id="1039"/>
      <w:bookmarkEnd w:id="1039"/>
      <w:r>
        <w:rPr/>
      </w:r>
      <w:hyperlink w:history="true" w:anchor="_bookmark986">
        <w:r>
          <w:rPr>
            <w:color w:val="005DA1"/>
            <w:position w:val="5"/>
            <w:sz w:val="14"/>
            <w:u w:val="single" w:color="005DA1"/>
          </w:rPr>
          <w:t>515</w:t>
        </w:r>
      </w:hyperlink>
      <w:r>
        <w:rPr>
          <w:position w:val="5"/>
          <w:sz w:val="14"/>
        </w:rPr>
        <w:t>.</w:t>
      </w:r>
      <w:r>
        <w:rPr>
          <w:spacing w:val="80"/>
          <w:position w:val="5"/>
          <w:sz w:val="14"/>
        </w:rPr>
        <w:t>  </w:t>
      </w:r>
      <w:r>
        <w:rPr>
          <w:rFonts w:ascii="Arial" w:hAnsi="Arial"/>
          <w:i/>
          <w:sz w:val="20"/>
        </w:rPr>
        <w:t>Les Affréteurs Réunis SA v Leopold Walford (London) Ltd [1919] A.C. 801</w:t>
      </w:r>
      <w:r>
        <w:rPr>
          <w:sz w:val="20"/>
        </w:rPr>
        <w:t>; for the application</w:t>
      </w:r>
      <w:r>
        <w:rPr>
          <w:spacing w:val="40"/>
          <w:sz w:val="20"/>
        </w:rPr>
        <w:t> </w:t>
      </w:r>
      <w:r>
        <w:rPr>
          <w:sz w:val="20"/>
        </w:rPr>
        <w:t>on similar facts of s.1(2)(b) of the Contracts (Rights of Third Parties) Act 1999 (below, paras</w:t>
      </w:r>
      <w:r>
        <w:rPr>
          <w:spacing w:val="80"/>
          <w:sz w:val="20"/>
        </w:rPr>
        <w:t> </w:t>
      </w:r>
      <w:r>
        <w:rPr>
          <w:sz w:val="20"/>
        </w:rPr>
        <w:t>18-093, 18-094) see </w:t>
      </w:r>
      <w:r>
        <w:rPr>
          <w:rFonts w:ascii="Arial" w:hAnsi="Arial"/>
          <w:i/>
          <w:sz w:val="20"/>
        </w:rPr>
        <w:t>Nisshin Shipping Co Ltd v Cleaves &amp; Co Ltd [2003] EWHC 2602, [2004] 1 All E.R. (Comm) 481</w:t>
      </w:r>
      <w:r>
        <w:rPr>
          <w:sz w:val="20"/>
        </w:rPr>
        <w:t>; cf. </w:t>
      </w:r>
      <w:r>
        <w:rPr>
          <w:rFonts w:ascii="Arial" w:hAnsi="Arial"/>
          <w:i/>
          <w:sz w:val="20"/>
        </w:rPr>
        <w:t>Howard Houlder &amp; Partners Ltd v Marine General Transporters </w:t>
      </w:r>
      <w:r>
        <w:rPr>
          <w:rFonts w:ascii="Arial" w:hAnsi="Arial"/>
          <w:i/>
          <w:sz w:val="20"/>
        </w:rPr>
        <w:t>(The Panaghia P) [1983] 2 Lloyd’s Rep. 653, 655</w:t>
      </w:r>
      <w:r>
        <w:rPr>
          <w:sz w:val="20"/>
        </w:rPr>
        <w:t>; </w:t>
      </w:r>
      <w:r>
        <w:rPr>
          <w:rFonts w:ascii="Arial" w:hAnsi="Arial"/>
          <w:i/>
          <w:sz w:val="20"/>
        </w:rPr>
        <w:t>Atlas Shipping Agency (UK) Ltd v Suisse Atlantique Société d’Armement Maritime SA [1995] 2 Lloyd’s Rep. 188</w:t>
      </w:r>
      <w:r>
        <w:rPr>
          <w:sz w:val="20"/>
        </w:rPr>
        <w:t>. Contrast </w:t>
      </w:r>
      <w:r>
        <w:rPr>
          <w:rFonts w:ascii="Arial" w:hAnsi="Arial"/>
          <w:i/>
          <w:sz w:val="20"/>
        </w:rPr>
        <w:t>Marcan Shipping (London) Ltd v Polish SS. Co (The Manifest Lipkowy) [1989] 2 Lloyd’s Rep. 138</w:t>
      </w:r>
      <w:r>
        <w:rPr>
          <w:sz w:val="20"/>
        </w:rPr>
        <w:t>,</w:t>
      </w:r>
      <w:r>
        <w:rPr>
          <w:spacing w:val="40"/>
          <w:sz w:val="20"/>
        </w:rPr>
        <w:t> </w:t>
      </w:r>
      <w:r>
        <w:rPr>
          <w:sz w:val="20"/>
        </w:rPr>
        <w:t>where an agreement for the sale of a ship provided for deduction of the broker’s commission from the price but seems to have contained no promise to pay the broker.</w:t>
      </w:r>
    </w:p>
    <w:p>
      <w:pPr>
        <w:pStyle w:val="BodyText"/>
        <w:spacing w:before="3"/>
      </w:pPr>
    </w:p>
    <w:p>
      <w:pPr>
        <w:tabs>
          <w:tab w:pos="705" w:val="left" w:leader="none"/>
        </w:tabs>
        <w:spacing w:before="0"/>
        <w:ind w:left="165" w:right="0" w:firstLine="0"/>
        <w:jc w:val="left"/>
        <w:rPr>
          <w:sz w:val="20"/>
        </w:rPr>
      </w:pPr>
      <w:bookmarkStart w:name="_bookmark1038" w:id="1040"/>
      <w:bookmarkEnd w:id="1040"/>
      <w:r>
        <w:rPr/>
      </w:r>
      <w:hyperlink w:history="true" w:anchor="_bookmark987">
        <w:r>
          <w:rPr>
            <w:color w:val="005DA1"/>
            <w:spacing w:val="-4"/>
            <w:position w:val="5"/>
            <w:sz w:val="14"/>
            <w:u w:val="single" w:color="005DA1"/>
          </w:rPr>
          <w:t>516</w:t>
        </w:r>
      </w:hyperlink>
      <w:r>
        <w:rPr>
          <w:spacing w:val="-4"/>
          <w:position w:val="5"/>
          <w:sz w:val="14"/>
        </w:rPr>
        <w:t>.</w:t>
      </w:r>
      <w:r>
        <w:rPr>
          <w:position w:val="5"/>
          <w:sz w:val="14"/>
        </w:rPr>
        <w:tab/>
      </w:r>
      <w:r>
        <w:rPr>
          <w:rFonts w:ascii="Arial"/>
          <w:i/>
          <w:sz w:val="20"/>
        </w:rPr>
        <w:t>Swain</w:t>
      </w:r>
      <w:r>
        <w:rPr>
          <w:rFonts w:ascii="Arial"/>
          <w:i/>
          <w:spacing w:val="-1"/>
          <w:sz w:val="20"/>
        </w:rPr>
        <w:t> </w:t>
      </w:r>
      <w:r>
        <w:rPr>
          <w:rFonts w:ascii="Arial"/>
          <w:i/>
          <w:sz w:val="20"/>
        </w:rPr>
        <w:t>v Law Society [1983] 1 A.C. 598, 620</w:t>
      </w:r>
      <w:r>
        <w:rPr>
          <w:sz w:val="20"/>
        </w:rPr>
        <w:t>; Feltham (1982) 98 L.Q.R. </w:t>
      </w:r>
      <w:r>
        <w:rPr>
          <w:spacing w:val="-5"/>
          <w:sz w:val="20"/>
        </w:rPr>
        <w:t>17.</w:t>
      </w:r>
    </w:p>
    <w:p>
      <w:pPr>
        <w:pStyle w:val="BodyText"/>
        <w:spacing w:before="5"/>
      </w:pPr>
    </w:p>
    <w:p>
      <w:pPr>
        <w:tabs>
          <w:tab w:pos="705" w:val="left" w:leader="none"/>
        </w:tabs>
        <w:spacing w:before="0"/>
        <w:ind w:left="165" w:right="0" w:firstLine="0"/>
        <w:jc w:val="left"/>
        <w:rPr>
          <w:sz w:val="20"/>
        </w:rPr>
      </w:pPr>
      <w:bookmarkStart w:name="_bookmark1039" w:id="1041"/>
      <w:bookmarkEnd w:id="1041"/>
      <w:r>
        <w:rPr/>
      </w:r>
      <w:hyperlink w:history="true" w:anchor="_bookmark987">
        <w:r>
          <w:rPr>
            <w:color w:val="005DA1"/>
            <w:spacing w:val="-4"/>
            <w:position w:val="5"/>
            <w:sz w:val="14"/>
            <w:u w:val="single" w:color="005DA1"/>
          </w:rPr>
          <w:t>517</w:t>
        </w:r>
      </w:hyperlink>
      <w:r>
        <w:rPr>
          <w:spacing w:val="-4"/>
          <w:position w:val="5"/>
          <w:sz w:val="14"/>
        </w:rPr>
        <w:t>.</w:t>
      </w:r>
      <w:r>
        <w:rPr>
          <w:position w:val="5"/>
          <w:sz w:val="14"/>
        </w:rPr>
        <w:tab/>
      </w:r>
      <w:r>
        <w:rPr>
          <w:rFonts w:ascii="Arial"/>
          <w:i/>
          <w:sz w:val="20"/>
        </w:rPr>
        <w:t>Fletcher</w:t>
      </w:r>
      <w:r>
        <w:rPr>
          <w:rFonts w:ascii="Arial"/>
          <w:i/>
          <w:spacing w:val="-1"/>
          <w:sz w:val="20"/>
        </w:rPr>
        <w:t> </w:t>
      </w:r>
      <w:r>
        <w:rPr>
          <w:rFonts w:ascii="Arial"/>
          <w:i/>
          <w:sz w:val="20"/>
        </w:rPr>
        <w:t>v Fletcher (1844) 4 Hare 67</w:t>
      </w:r>
      <w:r>
        <w:rPr>
          <w:sz w:val="20"/>
        </w:rPr>
        <w:t>; </w:t>
      </w:r>
      <w:r>
        <w:rPr>
          <w:rFonts w:ascii="Arial"/>
          <w:i/>
          <w:sz w:val="20"/>
        </w:rPr>
        <w:t>Bowskill v Dawson [1954] 1 Q.B. </w:t>
      </w:r>
      <w:r>
        <w:rPr>
          <w:rFonts w:ascii="Arial"/>
          <w:i/>
          <w:spacing w:val="-4"/>
          <w:sz w:val="20"/>
        </w:rPr>
        <w:t>288</w:t>
      </w:r>
      <w:r>
        <w:rPr>
          <w:spacing w:val="-4"/>
          <w:sz w:val="20"/>
        </w:rPr>
        <w:t>.</w:t>
      </w:r>
    </w:p>
    <w:p>
      <w:pPr>
        <w:pStyle w:val="BodyText"/>
        <w:spacing w:before="9"/>
      </w:pPr>
    </w:p>
    <w:p>
      <w:pPr>
        <w:pStyle w:val="BodyText"/>
        <w:spacing w:line="235" w:lineRule="auto"/>
        <w:ind w:left="705" w:right="167" w:hanging="541"/>
        <w:jc w:val="both"/>
      </w:pPr>
      <w:bookmarkStart w:name="_bookmark1040" w:id="1042"/>
      <w:bookmarkEnd w:id="1042"/>
      <w:r>
        <w:rPr/>
      </w:r>
      <w:hyperlink w:history="true" w:anchor="_bookmark988">
        <w:r>
          <w:rPr>
            <w:color w:val="005DA1"/>
            <w:position w:val="5"/>
            <w:sz w:val="14"/>
            <w:u w:val="single" w:color="005DA1"/>
          </w:rPr>
          <w:t>518</w:t>
        </w:r>
      </w:hyperlink>
      <w:r>
        <w:rPr>
          <w:position w:val="5"/>
          <w:sz w:val="14"/>
        </w:rPr>
        <w:t>.</w:t>
      </w:r>
      <w:r>
        <w:rPr>
          <w:spacing w:val="40"/>
          <w:position w:val="5"/>
          <w:sz w:val="14"/>
        </w:rPr>
        <w:t>  </w:t>
      </w:r>
      <w:r>
        <w:rPr/>
        <w:t>For the purpose of the present discussion, it is assumed that formal requirements, such as that imposed by Law of Property Act 1925, s.53(1)(b), have been satisfied. As to the effect on the rights of third parties of failure to satisfy such requirements, see Feltham (1987) Conv. 246.</w:t>
      </w:r>
    </w:p>
    <w:p>
      <w:pPr>
        <w:pStyle w:val="BodyText"/>
        <w:spacing w:before="5"/>
      </w:pPr>
    </w:p>
    <w:p>
      <w:pPr>
        <w:tabs>
          <w:tab w:pos="705" w:val="left" w:leader="none"/>
        </w:tabs>
        <w:spacing w:before="0"/>
        <w:ind w:left="165" w:right="0" w:firstLine="0"/>
        <w:jc w:val="left"/>
        <w:rPr>
          <w:sz w:val="20"/>
        </w:rPr>
      </w:pPr>
      <w:bookmarkStart w:name="_bookmark1041" w:id="1043"/>
      <w:bookmarkEnd w:id="1043"/>
      <w:r>
        <w:rPr/>
      </w:r>
      <w:hyperlink w:history="true" w:anchor="_bookmark989">
        <w:r>
          <w:rPr>
            <w:color w:val="005DA1"/>
            <w:spacing w:val="-4"/>
            <w:position w:val="5"/>
            <w:sz w:val="14"/>
            <w:u w:val="single" w:color="005DA1"/>
          </w:rPr>
          <w:t>519</w:t>
        </w:r>
      </w:hyperlink>
      <w:r>
        <w:rPr>
          <w:spacing w:val="-4"/>
          <w:position w:val="5"/>
          <w:sz w:val="14"/>
        </w:rPr>
        <w:t>.</w:t>
      </w:r>
      <w:r>
        <w:rPr>
          <w:position w:val="5"/>
          <w:sz w:val="14"/>
        </w:rPr>
        <w:tab/>
      </w:r>
      <w:r>
        <w:rPr>
          <w:sz w:val="20"/>
        </w:rPr>
        <w:t>See</w:t>
      </w:r>
      <w:r>
        <w:rPr>
          <w:spacing w:val="-1"/>
          <w:sz w:val="20"/>
        </w:rPr>
        <w:t> </w:t>
      </w:r>
      <w:r>
        <w:rPr>
          <w:rFonts w:ascii="Arial"/>
          <w:i/>
          <w:sz w:val="20"/>
        </w:rPr>
        <w:t>Gandy v Gandy (1844) 34 Ch.D. </w:t>
      </w:r>
      <w:r>
        <w:rPr>
          <w:rFonts w:ascii="Arial"/>
          <w:i/>
          <w:spacing w:val="-5"/>
          <w:sz w:val="20"/>
        </w:rPr>
        <w:t>57</w:t>
      </w:r>
      <w:r>
        <w:rPr>
          <w:spacing w:val="-5"/>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042" w:id="1044"/>
      <w:bookmarkEnd w:id="1044"/>
      <w:r>
        <w:rPr/>
      </w:r>
      <w:hyperlink w:history="true" w:anchor="_bookmark990">
        <w:r>
          <w:rPr>
            <w:color w:val="005DA1"/>
            <w:spacing w:val="-4"/>
            <w:position w:val="5"/>
            <w:sz w:val="14"/>
            <w:u w:val="single" w:color="005DA1"/>
          </w:rPr>
          <w:t>520</w:t>
        </w:r>
      </w:hyperlink>
      <w:r>
        <w:rPr>
          <w:spacing w:val="-4"/>
          <w:position w:val="5"/>
          <w:sz w:val="14"/>
        </w:rPr>
        <w:t>.</w:t>
      </w:r>
      <w:r>
        <w:rPr>
          <w:position w:val="5"/>
          <w:sz w:val="14"/>
        </w:rPr>
        <w:tab/>
      </w:r>
      <w:r>
        <w:rPr>
          <w:rFonts w:ascii="Arial"/>
          <w:i/>
          <w:sz w:val="20"/>
        </w:rPr>
        <w:t>Re</w:t>
      </w:r>
      <w:r>
        <w:rPr>
          <w:rFonts w:ascii="Arial"/>
          <w:i/>
          <w:spacing w:val="5"/>
          <w:sz w:val="20"/>
        </w:rPr>
        <w:t> </w:t>
      </w:r>
      <w:r>
        <w:rPr>
          <w:rFonts w:ascii="Arial"/>
          <w:i/>
          <w:sz w:val="20"/>
        </w:rPr>
        <w:t>Flavell</w:t>
      </w:r>
      <w:r>
        <w:rPr>
          <w:rFonts w:ascii="Arial"/>
          <w:i/>
          <w:spacing w:val="6"/>
          <w:sz w:val="20"/>
        </w:rPr>
        <w:t> </w:t>
      </w:r>
      <w:r>
        <w:rPr>
          <w:rFonts w:ascii="Arial"/>
          <w:i/>
          <w:sz w:val="20"/>
        </w:rPr>
        <w:t>(1883)</w:t>
      </w:r>
      <w:r>
        <w:rPr>
          <w:rFonts w:ascii="Arial"/>
          <w:i/>
          <w:spacing w:val="6"/>
          <w:sz w:val="20"/>
        </w:rPr>
        <w:t> </w:t>
      </w:r>
      <w:r>
        <w:rPr>
          <w:rFonts w:ascii="Arial"/>
          <w:i/>
          <w:sz w:val="20"/>
        </w:rPr>
        <w:t>25</w:t>
      </w:r>
      <w:r>
        <w:rPr>
          <w:rFonts w:ascii="Arial"/>
          <w:i/>
          <w:spacing w:val="6"/>
          <w:sz w:val="20"/>
        </w:rPr>
        <w:t> </w:t>
      </w:r>
      <w:r>
        <w:rPr>
          <w:rFonts w:ascii="Arial"/>
          <w:i/>
          <w:sz w:val="20"/>
        </w:rPr>
        <w:t>Ch.D.</w:t>
      </w:r>
      <w:r>
        <w:rPr>
          <w:rFonts w:ascii="Arial"/>
          <w:i/>
          <w:spacing w:val="6"/>
          <w:sz w:val="20"/>
        </w:rPr>
        <w:t> </w:t>
      </w:r>
      <w:r>
        <w:rPr>
          <w:rFonts w:ascii="Arial"/>
          <w:i/>
          <w:sz w:val="20"/>
        </w:rPr>
        <w:t>89</w:t>
      </w:r>
      <w:r>
        <w:rPr>
          <w:sz w:val="20"/>
        </w:rPr>
        <w:t>;</w:t>
      </w:r>
      <w:r>
        <w:rPr>
          <w:spacing w:val="6"/>
          <w:sz w:val="20"/>
        </w:rPr>
        <w:t> </w:t>
      </w:r>
      <w:r>
        <w:rPr>
          <w:sz w:val="20"/>
        </w:rPr>
        <w:t>cf.</w:t>
      </w:r>
      <w:r>
        <w:rPr>
          <w:spacing w:val="6"/>
          <w:sz w:val="20"/>
        </w:rPr>
        <w:t> </w:t>
      </w:r>
      <w:r>
        <w:rPr>
          <w:rFonts w:ascii="Arial"/>
          <w:i/>
          <w:sz w:val="20"/>
        </w:rPr>
        <w:t>Page</w:t>
      </w:r>
      <w:r>
        <w:rPr>
          <w:rFonts w:ascii="Arial"/>
          <w:i/>
          <w:spacing w:val="6"/>
          <w:sz w:val="20"/>
        </w:rPr>
        <w:t> </w:t>
      </w:r>
      <w:r>
        <w:rPr>
          <w:rFonts w:ascii="Arial"/>
          <w:i/>
          <w:sz w:val="20"/>
        </w:rPr>
        <w:t>v</w:t>
      </w:r>
      <w:r>
        <w:rPr>
          <w:rFonts w:ascii="Arial"/>
          <w:i/>
          <w:spacing w:val="6"/>
          <w:sz w:val="20"/>
        </w:rPr>
        <w:t> </w:t>
      </w:r>
      <w:r>
        <w:rPr>
          <w:rFonts w:ascii="Arial"/>
          <w:i/>
          <w:sz w:val="20"/>
        </w:rPr>
        <w:t>Cox</w:t>
      </w:r>
      <w:r>
        <w:rPr>
          <w:rFonts w:ascii="Arial"/>
          <w:i/>
          <w:spacing w:val="5"/>
          <w:sz w:val="20"/>
        </w:rPr>
        <w:t> </w:t>
      </w:r>
      <w:r>
        <w:rPr>
          <w:rFonts w:ascii="Arial"/>
          <w:i/>
          <w:sz w:val="20"/>
        </w:rPr>
        <w:t>(1852)</w:t>
      </w:r>
      <w:r>
        <w:rPr>
          <w:rFonts w:ascii="Arial"/>
          <w:i/>
          <w:spacing w:val="6"/>
          <w:sz w:val="20"/>
        </w:rPr>
        <w:t> </w:t>
      </w:r>
      <w:r>
        <w:rPr>
          <w:rFonts w:ascii="Arial"/>
          <w:i/>
          <w:sz w:val="20"/>
        </w:rPr>
        <w:t>10</w:t>
      </w:r>
      <w:r>
        <w:rPr>
          <w:rFonts w:ascii="Arial"/>
          <w:i/>
          <w:spacing w:val="6"/>
          <w:sz w:val="20"/>
        </w:rPr>
        <w:t> </w:t>
      </w:r>
      <w:r>
        <w:rPr>
          <w:rFonts w:ascii="Arial"/>
          <w:i/>
          <w:sz w:val="20"/>
        </w:rPr>
        <w:t>Hare</w:t>
      </w:r>
      <w:r>
        <w:rPr>
          <w:rFonts w:ascii="Arial"/>
          <w:i/>
          <w:spacing w:val="6"/>
          <w:sz w:val="20"/>
        </w:rPr>
        <w:t> </w:t>
      </w:r>
      <w:r>
        <w:rPr>
          <w:rFonts w:ascii="Arial"/>
          <w:i/>
          <w:sz w:val="20"/>
        </w:rPr>
        <w:t>163</w:t>
      </w:r>
      <w:r>
        <w:rPr>
          <w:sz w:val="20"/>
        </w:rPr>
        <w:t>;</w:t>
      </w:r>
      <w:r>
        <w:rPr>
          <w:spacing w:val="6"/>
          <w:sz w:val="20"/>
        </w:rPr>
        <w:t> </w:t>
      </w:r>
      <w:r>
        <w:rPr>
          <w:rFonts w:ascii="Arial"/>
          <w:i/>
          <w:sz w:val="20"/>
        </w:rPr>
        <w:t>Re</w:t>
      </w:r>
      <w:r>
        <w:rPr>
          <w:rFonts w:ascii="Arial"/>
          <w:i/>
          <w:spacing w:val="6"/>
          <w:sz w:val="20"/>
        </w:rPr>
        <w:t> </w:t>
      </w:r>
      <w:r>
        <w:rPr>
          <w:rFonts w:ascii="Arial"/>
          <w:i/>
          <w:sz w:val="20"/>
        </w:rPr>
        <w:t>Gordon</w:t>
      </w:r>
      <w:r>
        <w:rPr>
          <w:rFonts w:ascii="Arial"/>
          <w:i/>
          <w:spacing w:val="6"/>
          <w:sz w:val="20"/>
        </w:rPr>
        <w:t> </w:t>
      </w:r>
      <w:r>
        <w:rPr>
          <w:rFonts w:ascii="Arial"/>
          <w:i/>
          <w:sz w:val="20"/>
        </w:rPr>
        <w:t>[1940]</w:t>
      </w:r>
      <w:r>
        <w:rPr>
          <w:rFonts w:ascii="Arial"/>
          <w:i/>
          <w:spacing w:val="6"/>
          <w:sz w:val="20"/>
        </w:rPr>
        <w:t> </w:t>
      </w:r>
      <w:r>
        <w:rPr>
          <w:rFonts w:ascii="Arial"/>
          <w:i/>
          <w:sz w:val="20"/>
        </w:rPr>
        <w:t>Ch.</w:t>
      </w:r>
      <w:r>
        <w:rPr>
          <w:rFonts w:ascii="Arial"/>
          <w:i/>
          <w:spacing w:val="6"/>
          <w:sz w:val="20"/>
        </w:rPr>
        <w:t> </w:t>
      </w:r>
      <w:r>
        <w:rPr>
          <w:rFonts w:ascii="Arial"/>
          <w:i/>
          <w:spacing w:val="-4"/>
          <w:sz w:val="20"/>
        </w:rPr>
        <w:t>851</w:t>
      </w:r>
      <w:r>
        <w:rPr>
          <w:spacing w:val="-4"/>
          <w:sz w:val="20"/>
        </w:rPr>
        <w:t>;</w:t>
      </w:r>
    </w:p>
    <w:p>
      <w:pPr>
        <w:spacing w:line="227" w:lineRule="exact" w:before="0"/>
        <w:ind w:left="705" w:right="0" w:firstLine="0"/>
        <w:jc w:val="left"/>
        <w:rPr>
          <w:sz w:val="20"/>
        </w:rPr>
      </w:pPr>
      <w:r>
        <w:rPr>
          <w:rFonts w:ascii="Arial"/>
          <w:i/>
          <w:sz w:val="20"/>
        </w:rPr>
        <w:t>Drimmie v Davies [1899] 1 I.R. </w:t>
      </w:r>
      <w:r>
        <w:rPr>
          <w:rFonts w:ascii="Arial"/>
          <w:i/>
          <w:spacing w:val="-4"/>
          <w:sz w:val="20"/>
        </w:rPr>
        <w:t>176</w:t>
      </w:r>
      <w:r>
        <w:rPr>
          <w:spacing w:val="-4"/>
          <w:sz w:val="20"/>
        </w:rPr>
        <w:t>.</w:t>
      </w:r>
    </w:p>
    <w:p>
      <w:pPr>
        <w:pStyle w:val="BodyText"/>
        <w:spacing w:before="9"/>
      </w:pPr>
    </w:p>
    <w:p>
      <w:pPr>
        <w:spacing w:line="235" w:lineRule="auto" w:before="0"/>
        <w:ind w:left="705" w:right="168" w:hanging="541"/>
        <w:jc w:val="both"/>
        <w:rPr>
          <w:sz w:val="20"/>
        </w:rPr>
      </w:pPr>
      <w:bookmarkStart w:name="_bookmark1043" w:id="1045"/>
      <w:bookmarkEnd w:id="1045"/>
      <w:r>
        <w:rPr/>
      </w:r>
      <w:hyperlink w:history="true" w:anchor="_bookmark991">
        <w:r>
          <w:rPr>
            <w:color w:val="005DA1"/>
            <w:position w:val="5"/>
            <w:sz w:val="14"/>
            <w:u w:val="single" w:color="005DA1"/>
          </w:rPr>
          <w:t>521</w:t>
        </w:r>
      </w:hyperlink>
      <w:r>
        <w:rPr>
          <w:position w:val="5"/>
          <w:sz w:val="14"/>
        </w:rPr>
        <w:t>.</w:t>
      </w:r>
      <w:r>
        <w:rPr>
          <w:spacing w:val="80"/>
          <w:position w:val="5"/>
          <w:sz w:val="14"/>
        </w:rPr>
        <w:t> </w:t>
      </w:r>
      <w:r>
        <w:rPr>
          <w:rFonts w:ascii="Arial" w:hAnsi="Arial"/>
          <w:i/>
          <w:sz w:val="20"/>
        </w:rPr>
        <w:t>Re Schebsman [1944] Ch. 83</w:t>
      </w:r>
      <w:r>
        <w:rPr>
          <w:sz w:val="20"/>
        </w:rPr>
        <w:t>; cf. </w:t>
      </w:r>
      <w:r>
        <w:rPr>
          <w:rFonts w:ascii="Arial" w:hAnsi="Arial"/>
          <w:i/>
          <w:sz w:val="20"/>
        </w:rPr>
        <w:t>Re Stapleton-Bretherton [1941] Ch. 482</w:t>
      </w:r>
      <w:r>
        <w:rPr>
          <w:sz w:val="20"/>
        </w:rPr>
        <w:t>. In </w:t>
      </w:r>
      <w:r>
        <w:rPr>
          <w:rFonts w:ascii="Arial" w:hAnsi="Arial"/>
          <w:i/>
          <w:sz w:val="20"/>
        </w:rPr>
        <w:t>Re Miller’s Agreement [1947] Ch. 615 </w:t>
      </w:r>
      <w:r>
        <w:rPr>
          <w:sz w:val="20"/>
        </w:rPr>
        <w:t>and </w:t>
      </w:r>
      <w:r>
        <w:rPr>
          <w:rFonts w:ascii="Arial" w:hAnsi="Arial"/>
          <w:i/>
          <w:sz w:val="20"/>
        </w:rPr>
        <w:t>Beswick v Beswick [1968] A.C. 58 </w:t>
      </w:r>
      <w:r>
        <w:rPr>
          <w:sz w:val="20"/>
        </w:rPr>
        <w:t>it was conceded that there was no trust.</w:t>
      </w:r>
    </w:p>
    <w:p>
      <w:pPr>
        <w:pStyle w:val="BodyText"/>
        <w:spacing w:before="8"/>
      </w:pPr>
    </w:p>
    <w:p>
      <w:pPr>
        <w:pStyle w:val="BodyText"/>
        <w:spacing w:line="235" w:lineRule="auto" w:before="1"/>
        <w:ind w:left="705" w:right="167" w:hanging="541"/>
        <w:jc w:val="both"/>
      </w:pPr>
      <w:bookmarkStart w:name="_bookmark1044" w:id="1046"/>
      <w:bookmarkEnd w:id="1046"/>
      <w:r>
        <w:rPr/>
      </w:r>
      <w:hyperlink w:history="true" w:anchor="_bookmark991">
        <w:r>
          <w:rPr>
            <w:color w:val="005DA1"/>
            <w:position w:val="5"/>
            <w:sz w:val="14"/>
            <w:u w:val="single" w:color="005DA1"/>
          </w:rPr>
          <w:t>522</w:t>
        </w:r>
      </w:hyperlink>
      <w:r>
        <w:rPr>
          <w:position w:val="5"/>
          <w:sz w:val="14"/>
        </w:rPr>
        <w:t>.</w:t>
      </w:r>
      <w:r>
        <w:rPr>
          <w:spacing w:val="80"/>
          <w:position w:val="5"/>
          <w:sz w:val="14"/>
        </w:rPr>
        <w:t> </w:t>
      </w:r>
      <w:r>
        <w:rPr/>
        <w:t>In </w:t>
      </w:r>
      <w:r>
        <w:rPr>
          <w:rFonts w:ascii="Arial" w:hAnsi="Arial"/>
          <w:i/>
        </w:rPr>
        <w:t>Re Schebsman</w:t>
      </w:r>
      <w:r>
        <w:rPr/>
        <w:t>, above n.495, the argument that there was a trust was, paradoxically, advanced, not on behalf of the third parties, but on behalf of the promisee’s trustee </w:t>
      </w:r>
      <w:r>
        <w:rPr/>
        <w:t>in bankruptcy.</w:t>
      </w:r>
      <w:r>
        <w:rPr>
          <w:spacing w:val="-1"/>
        </w:rPr>
        <w:t> </w:t>
      </w:r>
      <w:r>
        <w:rPr/>
        <w:t>The</w:t>
      </w:r>
      <w:r>
        <w:rPr>
          <w:spacing w:val="-1"/>
        </w:rPr>
        <w:t> </w:t>
      </w:r>
      <w:r>
        <w:rPr/>
        <w:t>point</w:t>
      </w:r>
      <w:r>
        <w:rPr>
          <w:spacing w:val="-1"/>
        </w:rPr>
        <w:t> </w:t>
      </w:r>
      <w:r>
        <w:rPr/>
        <w:t>of</w:t>
      </w:r>
      <w:r>
        <w:rPr>
          <w:spacing w:val="-1"/>
        </w:rPr>
        <w:t> </w:t>
      </w:r>
      <w:r>
        <w:rPr/>
        <w:t>the</w:t>
      </w:r>
      <w:r>
        <w:rPr>
          <w:spacing w:val="-1"/>
        </w:rPr>
        <w:t> </w:t>
      </w:r>
      <w:r>
        <w:rPr/>
        <w:t>argument</w:t>
      </w:r>
      <w:r>
        <w:rPr>
          <w:spacing w:val="-1"/>
        </w:rPr>
        <w:t> </w:t>
      </w:r>
      <w:r>
        <w:rPr/>
        <w:t>was</w:t>
      </w:r>
      <w:r>
        <w:rPr>
          <w:spacing w:val="-1"/>
        </w:rPr>
        <w:t> </w:t>
      </w:r>
      <w:r>
        <w:rPr/>
        <w:t>to</w:t>
      </w:r>
      <w:r>
        <w:rPr>
          <w:spacing w:val="-1"/>
        </w:rPr>
        <w:t> </w:t>
      </w:r>
      <w:r>
        <w:rPr/>
        <w:t>have</w:t>
      </w:r>
      <w:r>
        <w:rPr>
          <w:spacing w:val="-1"/>
        </w:rPr>
        <w:t> </w:t>
      </w:r>
      <w:r>
        <w:rPr/>
        <w:t>the</w:t>
      </w:r>
      <w:r>
        <w:rPr>
          <w:spacing w:val="-1"/>
        </w:rPr>
        <w:t> </w:t>
      </w:r>
      <w:r>
        <w:rPr/>
        <w:t>trust</w:t>
      </w:r>
      <w:r>
        <w:rPr>
          <w:spacing w:val="-1"/>
        </w:rPr>
        <w:t> </w:t>
      </w:r>
      <w:r>
        <w:rPr/>
        <w:t>set</w:t>
      </w:r>
      <w:r>
        <w:rPr>
          <w:spacing w:val="-1"/>
        </w:rPr>
        <w:t> </w:t>
      </w:r>
      <w:r>
        <w:rPr/>
        <w:t>aside</w:t>
      </w:r>
      <w:r>
        <w:rPr>
          <w:spacing w:val="-1"/>
        </w:rPr>
        <w:t> </w:t>
      </w:r>
      <w:r>
        <w:rPr/>
        <w:t>under</w:t>
      </w:r>
      <w:r>
        <w:rPr>
          <w:spacing w:val="-1"/>
        </w:rPr>
        <w:t> </w:t>
      </w:r>
      <w:r>
        <w:rPr/>
        <w:t>the</w:t>
      </w:r>
      <w:r>
        <w:rPr>
          <w:spacing w:val="-1"/>
        </w:rPr>
        <w:t> </w:t>
      </w:r>
      <w:r>
        <w:rPr/>
        <w:t>Bankruptcy</w:t>
      </w:r>
      <w:r>
        <w:rPr>
          <w:spacing w:val="-1"/>
        </w:rPr>
        <w:t> </w:t>
      </w:r>
      <w:r>
        <w:rPr/>
        <w:t>Act 1914, s.42 (now superseded by Insolvency Act 1986, s.339): see [1944] Ch. at 86. At 104 the argument is attributed to “Mr. Denning,” who appeared for the third parties. But this must be a mistake; the corresponding passage in </w:t>
      </w:r>
      <w:r>
        <w:rPr>
          <w:rFonts w:ascii="Arial" w:hAnsi="Arial"/>
          <w:i/>
        </w:rPr>
        <w:t>[1943] 2 All E.R. 768, 779 </w:t>
      </w:r>
      <w:r>
        <w:rPr/>
        <w:t>correctly attributes it to “counsel for the appellant,” i.e. for the trustee in bankruptcy. As the company was willing to pay, the outcome of holding that there was </w:t>
      </w:r>
      <w:r>
        <w:rPr>
          <w:rFonts w:ascii="Arial" w:hAnsi="Arial"/>
          <w:i/>
        </w:rPr>
        <w:t>no </w:t>
      </w:r>
      <w:r>
        <w:rPr/>
        <w:t>trust was that the third parties obtained the intended benefit</w:t>
      </w:r>
      <w:r>
        <w:rPr>
          <w:spacing w:val="10"/>
        </w:rPr>
        <w:t> </w:t>
      </w:r>
      <w:r>
        <w:rPr/>
        <w:t>(cf.</w:t>
      </w:r>
      <w:r>
        <w:rPr>
          <w:spacing w:val="13"/>
        </w:rPr>
        <w:t> </w:t>
      </w:r>
      <w:r>
        <w:rPr/>
        <w:t>above,</w:t>
      </w:r>
      <w:r>
        <w:rPr>
          <w:spacing w:val="13"/>
        </w:rPr>
        <w:t> </w:t>
      </w:r>
      <w:r>
        <w:rPr/>
        <w:t>para.18-075).</w:t>
      </w:r>
      <w:r>
        <w:rPr>
          <w:spacing w:val="13"/>
        </w:rPr>
        <w:t> </w:t>
      </w:r>
      <w:r>
        <w:rPr/>
        <w:t>In</w:t>
      </w:r>
      <w:r>
        <w:rPr>
          <w:spacing w:val="13"/>
        </w:rPr>
        <w:t> </w:t>
      </w:r>
      <w:r>
        <w:rPr>
          <w:rFonts w:ascii="Arial" w:hAnsi="Arial"/>
          <w:i/>
        </w:rPr>
        <w:t>Re</w:t>
      </w:r>
      <w:r>
        <w:rPr>
          <w:rFonts w:ascii="Arial" w:hAnsi="Arial"/>
          <w:i/>
          <w:spacing w:val="13"/>
        </w:rPr>
        <w:t> </w:t>
      </w:r>
      <w:r>
        <w:rPr>
          <w:rFonts w:ascii="Arial" w:hAnsi="Arial"/>
          <w:i/>
        </w:rPr>
        <w:t>Flavell</w:t>
      </w:r>
      <w:r>
        <w:rPr/>
        <w:t>,</w:t>
      </w:r>
      <w:r>
        <w:rPr>
          <w:spacing w:val="13"/>
        </w:rPr>
        <w:t> </w:t>
      </w:r>
      <w:r>
        <w:rPr/>
        <w:t>above</w:t>
      </w:r>
      <w:r>
        <w:rPr>
          <w:spacing w:val="13"/>
        </w:rPr>
        <w:t> </w:t>
      </w:r>
      <w:r>
        <w:rPr/>
        <w:t>n.494,</w:t>
      </w:r>
      <w:r>
        <w:rPr>
          <w:spacing w:val="13"/>
        </w:rPr>
        <w:t> </w:t>
      </w:r>
      <w:r>
        <w:rPr/>
        <w:t>the</w:t>
      </w:r>
      <w:r>
        <w:rPr>
          <w:spacing w:val="13"/>
        </w:rPr>
        <w:t> </w:t>
      </w:r>
      <w:r>
        <w:rPr/>
        <w:t>same</w:t>
      </w:r>
      <w:r>
        <w:rPr>
          <w:spacing w:val="13"/>
        </w:rPr>
        <w:t> </w:t>
      </w:r>
      <w:r>
        <w:rPr/>
        <w:t>result</w:t>
      </w:r>
      <w:r>
        <w:rPr>
          <w:spacing w:val="13"/>
        </w:rPr>
        <w:t> </w:t>
      </w:r>
      <w:r>
        <w:rPr/>
        <w:t>followed</w:t>
      </w:r>
      <w:r>
        <w:rPr>
          <w:spacing w:val="13"/>
        </w:rPr>
        <w:t> </w:t>
      </w:r>
      <w:r>
        <w:rPr/>
        <w:t>from</w:t>
      </w:r>
      <w:r>
        <w:rPr>
          <w:spacing w:val="13"/>
        </w:rPr>
        <w:t> </w:t>
      </w:r>
      <w:r>
        <w:rPr>
          <w:spacing w:val="-5"/>
        </w:rPr>
        <w:t>the</w:t>
      </w:r>
    </w:p>
    <w:p>
      <w:pPr>
        <w:pStyle w:val="BodyText"/>
        <w:spacing w:after="0" w:line="235" w:lineRule="auto"/>
        <w:jc w:val="both"/>
        <w:sectPr>
          <w:pgSz w:w="11900" w:h="16840"/>
          <w:pgMar w:header="971" w:footer="0" w:top="1160" w:bottom="280" w:left="1275" w:right="1275"/>
        </w:sectPr>
      </w:pPr>
    </w:p>
    <w:p>
      <w:pPr>
        <w:pStyle w:val="BodyText"/>
        <w:spacing w:before="21"/>
      </w:pPr>
    </w:p>
    <w:p>
      <w:pPr>
        <w:pStyle w:val="BodyText"/>
        <w:ind w:left="705"/>
      </w:pPr>
      <w:r>
        <w:rPr/>
        <w:t>decision that there</w:t>
      </w:r>
      <w:r>
        <w:rPr>
          <w:spacing w:val="-1"/>
        </w:rPr>
        <w:t> </w:t>
      </w:r>
      <w:r>
        <w:rPr>
          <w:rFonts w:ascii="Arial"/>
          <w:i/>
        </w:rPr>
        <w:t>was</w:t>
      </w:r>
      <w:r>
        <w:rPr>
          <w:rFonts w:ascii="Arial"/>
          <w:i/>
          <w:spacing w:val="-1"/>
        </w:rPr>
        <w:t> </w:t>
      </w:r>
      <w:r>
        <w:rPr/>
        <w:t>a </w:t>
      </w:r>
      <w:r>
        <w:rPr>
          <w:spacing w:val="-2"/>
        </w:rPr>
        <w:t>trust.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45" w:id="1047"/>
      <w:bookmarkEnd w:id="1047"/>
      <w:r>
        <w:rPr/>
      </w:r>
      <w:hyperlink w:history="true" w:anchor="_bookmark992">
        <w:r>
          <w:rPr>
            <w:color w:val="005DA1"/>
            <w:spacing w:val="-4"/>
            <w:position w:val="5"/>
            <w:sz w:val="14"/>
            <w:u w:val="single" w:color="005DA1"/>
          </w:rPr>
          <w:t>523</w:t>
        </w:r>
      </w:hyperlink>
      <w:r>
        <w:rPr>
          <w:spacing w:val="-4"/>
          <w:position w:val="5"/>
          <w:sz w:val="14"/>
        </w:rPr>
        <w:t>.</w:t>
      </w:r>
      <w:r>
        <w:rPr>
          <w:position w:val="5"/>
          <w:sz w:val="14"/>
        </w:rPr>
        <w:tab/>
      </w:r>
      <w:r>
        <w:rPr>
          <w:rFonts w:ascii="Arial"/>
          <w:i/>
          <w:sz w:val="20"/>
        </w:rPr>
        <w:t>Re</w:t>
      </w:r>
      <w:r>
        <w:rPr>
          <w:rFonts w:ascii="Arial"/>
          <w:i/>
          <w:spacing w:val="31"/>
          <w:sz w:val="20"/>
        </w:rPr>
        <w:t> </w:t>
      </w:r>
      <w:r>
        <w:rPr>
          <w:rFonts w:ascii="Arial"/>
          <w:i/>
          <w:sz w:val="20"/>
        </w:rPr>
        <w:t>Richardson</w:t>
      </w:r>
      <w:r>
        <w:rPr>
          <w:rFonts w:ascii="Arial"/>
          <w:i/>
          <w:spacing w:val="32"/>
          <w:sz w:val="20"/>
        </w:rPr>
        <w:t> </w:t>
      </w:r>
      <w:r>
        <w:rPr>
          <w:rFonts w:ascii="Arial"/>
          <w:i/>
          <w:sz w:val="20"/>
        </w:rPr>
        <w:t>(1882)</w:t>
      </w:r>
      <w:r>
        <w:rPr>
          <w:rFonts w:ascii="Arial"/>
          <w:i/>
          <w:spacing w:val="32"/>
          <w:sz w:val="20"/>
        </w:rPr>
        <w:t> </w:t>
      </w:r>
      <w:r>
        <w:rPr>
          <w:rFonts w:ascii="Arial"/>
          <w:i/>
          <w:sz w:val="20"/>
        </w:rPr>
        <w:t>47</w:t>
      </w:r>
      <w:r>
        <w:rPr>
          <w:rFonts w:ascii="Arial"/>
          <w:i/>
          <w:spacing w:val="32"/>
          <w:sz w:val="20"/>
        </w:rPr>
        <w:t> </w:t>
      </w:r>
      <w:r>
        <w:rPr>
          <w:rFonts w:ascii="Arial"/>
          <w:i/>
          <w:sz w:val="20"/>
        </w:rPr>
        <w:t>L.T.</w:t>
      </w:r>
      <w:r>
        <w:rPr>
          <w:rFonts w:ascii="Arial"/>
          <w:i/>
          <w:spacing w:val="32"/>
          <w:sz w:val="20"/>
        </w:rPr>
        <w:t> </w:t>
      </w:r>
      <w:r>
        <w:rPr>
          <w:rFonts w:ascii="Arial"/>
          <w:i/>
          <w:sz w:val="20"/>
        </w:rPr>
        <w:t>514</w:t>
      </w:r>
      <w:r>
        <w:rPr>
          <w:sz w:val="20"/>
        </w:rPr>
        <w:t>;</w:t>
      </w:r>
      <w:r>
        <w:rPr>
          <w:spacing w:val="32"/>
          <w:sz w:val="20"/>
        </w:rPr>
        <w:t> </w:t>
      </w:r>
      <w:r>
        <w:rPr>
          <w:rFonts w:ascii="Arial"/>
          <w:i/>
          <w:sz w:val="20"/>
        </w:rPr>
        <w:t>Royal</w:t>
      </w:r>
      <w:r>
        <w:rPr>
          <w:rFonts w:ascii="Arial"/>
          <w:i/>
          <w:spacing w:val="32"/>
          <w:sz w:val="20"/>
        </w:rPr>
        <w:t> </w:t>
      </w:r>
      <w:r>
        <w:rPr>
          <w:rFonts w:ascii="Arial"/>
          <w:i/>
          <w:sz w:val="20"/>
        </w:rPr>
        <w:t>Exchange</w:t>
      </w:r>
      <w:r>
        <w:rPr>
          <w:rFonts w:ascii="Arial"/>
          <w:i/>
          <w:spacing w:val="31"/>
          <w:sz w:val="20"/>
        </w:rPr>
        <w:t> </w:t>
      </w:r>
      <w:r>
        <w:rPr>
          <w:rFonts w:ascii="Arial"/>
          <w:i/>
          <w:sz w:val="20"/>
        </w:rPr>
        <w:t>Assurance</w:t>
      </w:r>
      <w:r>
        <w:rPr>
          <w:rFonts w:ascii="Arial"/>
          <w:i/>
          <w:spacing w:val="32"/>
          <w:sz w:val="20"/>
        </w:rPr>
        <w:t> </w:t>
      </w:r>
      <w:r>
        <w:rPr>
          <w:rFonts w:ascii="Arial"/>
          <w:i/>
          <w:sz w:val="20"/>
        </w:rPr>
        <w:t>v</w:t>
      </w:r>
      <w:r>
        <w:rPr>
          <w:rFonts w:ascii="Arial"/>
          <w:i/>
          <w:spacing w:val="32"/>
          <w:sz w:val="20"/>
        </w:rPr>
        <w:t> </w:t>
      </w:r>
      <w:r>
        <w:rPr>
          <w:rFonts w:ascii="Arial"/>
          <w:i/>
          <w:sz w:val="20"/>
        </w:rPr>
        <w:t>Hope</w:t>
      </w:r>
      <w:r>
        <w:rPr>
          <w:rFonts w:ascii="Arial"/>
          <w:i/>
          <w:spacing w:val="32"/>
          <w:sz w:val="20"/>
        </w:rPr>
        <w:t> </w:t>
      </w:r>
      <w:r>
        <w:rPr>
          <w:rFonts w:ascii="Arial"/>
          <w:i/>
          <w:sz w:val="20"/>
        </w:rPr>
        <w:t>[1928]</w:t>
      </w:r>
      <w:r>
        <w:rPr>
          <w:rFonts w:ascii="Arial"/>
          <w:i/>
          <w:spacing w:val="32"/>
          <w:sz w:val="20"/>
        </w:rPr>
        <w:t> </w:t>
      </w:r>
      <w:r>
        <w:rPr>
          <w:rFonts w:ascii="Arial"/>
          <w:i/>
          <w:sz w:val="20"/>
        </w:rPr>
        <w:t>Ch.</w:t>
      </w:r>
      <w:r>
        <w:rPr>
          <w:rFonts w:ascii="Arial"/>
          <w:i/>
          <w:spacing w:val="32"/>
          <w:sz w:val="20"/>
        </w:rPr>
        <w:t> </w:t>
      </w:r>
      <w:r>
        <w:rPr>
          <w:rFonts w:ascii="Arial"/>
          <w:i/>
          <w:sz w:val="20"/>
        </w:rPr>
        <w:t>179</w:t>
      </w:r>
      <w:r>
        <w:rPr>
          <w:sz w:val="20"/>
        </w:rPr>
        <w:t>;</w:t>
      </w:r>
      <w:r>
        <w:rPr>
          <w:spacing w:val="32"/>
          <w:sz w:val="20"/>
        </w:rPr>
        <w:t> </w:t>
      </w:r>
      <w:r>
        <w:rPr>
          <w:rFonts w:ascii="Arial"/>
          <w:i/>
          <w:spacing w:val="-5"/>
          <w:sz w:val="20"/>
        </w:rPr>
        <w:t>Re</w:t>
      </w:r>
    </w:p>
    <w:p>
      <w:pPr>
        <w:spacing w:line="227" w:lineRule="exact" w:before="0"/>
        <w:ind w:left="705" w:right="0" w:firstLine="0"/>
        <w:jc w:val="left"/>
        <w:rPr>
          <w:sz w:val="20"/>
        </w:rPr>
      </w:pPr>
      <w:r>
        <w:rPr>
          <w:rFonts w:ascii="Arial" w:hAnsi="Arial"/>
          <w:i/>
          <w:sz w:val="20"/>
        </w:rPr>
        <w:t>Webb</w:t>
      </w:r>
      <w:r>
        <w:rPr>
          <w:rFonts w:ascii="Arial" w:hAnsi="Arial"/>
          <w:i/>
          <w:spacing w:val="-1"/>
          <w:sz w:val="20"/>
        </w:rPr>
        <w:t> </w:t>
      </w:r>
      <w:r>
        <w:rPr>
          <w:rFonts w:ascii="Arial" w:hAnsi="Arial"/>
          <w:i/>
          <w:sz w:val="20"/>
        </w:rPr>
        <w:t>[1941] Ch. 225</w:t>
      </w:r>
      <w:r>
        <w:rPr>
          <w:sz w:val="20"/>
        </w:rPr>
        <w:t>; </w:t>
      </w:r>
      <w:r>
        <w:rPr>
          <w:rFonts w:ascii="Arial" w:hAnsi="Arial"/>
          <w:i/>
          <w:sz w:val="20"/>
        </w:rPr>
        <w:t>Re Foster’s Policy [1966] 1 W.L.R. </w:t>
      </w:r>
      <w:r>
        <w:rPr>
          <w:rFonts w:ascii="Arial" w:hAnsi="Arial"/>
          <w:i/>
          <w:spacing w:val="-4"/>
          <w:sz w:val="20"/>
        </w:rPr>
        <w:t>222</w:t>
      </w:r>
      <w:r>
        <w:rPr>
          <w:spacing w:val="-4"/>
          <w:sz w:val="20"/>
        </w:rPr>
        <w:t>.</w:t>
      </w:r>
    </w:p>
    <w:p>
      <w:pPr>
        <w:pStyle w:val="BodyText"/>
        <w:spacing w:before="5"/>
      </w:pPr>
    </w:p>
    <w:p>
      <w:pPr>
        <w:spacing w:line="227" w:lineRule="exact" w:before="0"/>
        <w:ind w:left="165" w:right="0" w:firstLine="0"/>
        <w:jc w:val="both"/>
        <w:rPr>
          <w:sz w:val="20"/>
        </w:rPr>
      </w:pPr>
      <w:bookmarkStart w:name="_bookmark1046" w:id="1048"/>
      <w:bookmarkEnd w:id="1048"/>
      <w:r>
        <w:rPr/>
      </w:r>
      <w:hyperlink w:history="true" w:anchor="_bookmark992">
        <w:r>
          <w:rPr>
            <w:color w:val="005DA1"/>
            <w:position w:val="5"/>
            <w:sz w:val="14"/>
            <w:u w:val="single" w:color="005DA1"/>
          </w:rPr>
          <w:t>524</w:t>
        </w:r>
      </w:hyperlink>
      <w:r>
        <w:rPr>
          <w:position w:val="5"/>
          <w:sz w:val="14"/>
        </w:rPr>
        <w:t>.</w:t>
      </w:r>
      <w:r>
        <w:rPr>
          <w:spacing w:val="75"/>
          <w:w w:val="150"/>
          <w:position w:val="5"/>
          <w:sz w:val="14"/>
        </w:rPr>
        <w:t>  </w:t>
      </w:r>
      <w:r>
        <w:rPr>
          <w:rFonts w:ascii="Arial" w:hAnsi="Arial"/>
          <w:i/>
          <w:sz w:val="20"/>
        </w:rPr>
        <w:t>Re</w:t>
      </w:r>
      <w:r>
        <w:rPr>
          <w:rFonts w:ascii="Arial" w:hAnsi="Arial"/>
          <w:i/>
          <w:spacing w:val="16"/>
          <w:sz w:val="20"/>
        </w:rPr>
        <w:t> </w:t>
      </w:r>
      <w:r>
        <w:rPr>
          <w:rFonts w:ascii="Arial" w:hAnsi="Arial"/>
          <w:i/>
          <w:sz w:val="20"/>
        </w:rPr>
        <w:t>Burgess’</w:t>
      </w:r>
      <w:r>
        <w:rPr>
          <w:rFonts w:ascii="Arial" w:hAnsi="Arial"/>
          <w:i/>
          <w:spacing w:val="16"/>
          <w:sz w:val="20"/>
        </w:rPr>
        <w:t> </w:t>
      </w:r>
      <w:r>
        <w:rPr>
          <w:rFonts w:ascii="Arial" w:hAnsi="Arial"/>
          <w:i/>
          <w:sz w:val="20"/>
        </w:rPr>
        <w:t>Policy</w:t>
      </w:r>
      <w:r>
        <w:rPr>
          <w:rFonts w:ascii="Arial" w:hAnsi="Arial"/>
          <w:i/>
          <w:spacing w:val="16"/>
          <w:sz w:val="20"/>
        </w:rPr>
        <w:t> </w:t>
      </w:r>
      <w:r>
        <w:rPr>
          <w:rFonts w:ascii="Arial" w:hAnsi="Arial"/>
          <w:i/>
          <w:sz w:val="20"/>
        </w:rPr>
        <w:t>(1915)</w:t>
      </w:r>
      <w:r>
        <w:rPr>
          <w:rFonts w:ascii="Arial" w:hAnsi="Arial"/>
          <w:i/>
          <w:spacing w:val="16"/>
          <w:sz w:val="20"/>
        </w:rPr>
        <w:t> </w:t>
      </w:r>
      <w:r>
        <w:rPr>
          <w:rFonts w:ascii="Arial" w:hAnsi="Arial"/>
          <w:i/>
          <w:sz w:val="20"/>
        </w:rPr>
        <w:t>113</w:t>
      </w:r>
      <w:r>
        <w:rPr>
          <w:rFonts w:ascii="Arial" w:hAnsi="Arial"/>
          <w:i/>
          <w:spacing w:val="16"/>
          <w:sz w:val="20"/>
        </w:rPr>
        <w:t> </w:t>
      </w:r>
      <w:r>
        <w:rPr>
          <w:rFonts w:ascii="Arial" w:hAnsi="Arial"/>
          <w:i/>
          <w:sz w:val="20"/>
        </w:rPr>
        <w:t>L.T.</w:t>
      </w:r>
      <w:r>
        <w:rPr>
          <w:rFonts w:ascii="Arial" w:hAnsi="Arial"/>
          <w:i/>
          <w:spacing w:val="16"/>
          <w:sz w:val="20"/>
        </w:rPr>
        <w:t> </w:t>
      </w:r>
      <w:r>
        <w:rPr>
          <w:rFonts w:ascii="Arial" w:hAnsi="Arial"/>
          <w:i/>
          <w:sz w:val="20"/>
        </w:rPr>
        <w:t>443</w:t>
      </w:r>
      <w:r>
        <w:rPr>
          <w:sz w:val="20"/>
        </w:rPr>
        <w:t>;</w:t>
      </w:r>
      <w:r>
        <w:rPr>
          <w:spacing w:val="16"/>
          <w:sz w:val="20"/>
        </w:rPr>
        <w:t> </w:t>
      </w:r>
      <w:r>
        <w:rPr>
          <w:rFonts w:ascii="Arial" w:hAnsi="Arial"/>
          <w:i/>
          <w:sz w:val="20"/>
        </w:rPr>
        <w:t>Re</w:t>
      </w:r>
      <w:r>
        <w:rPr>
          <w:rFonts w:ascii="Arial" w:hAnsi="Arial"/>
          <w:i/>
          <w:spacing w:val="16"/>
          <w:sz w:val="20"/>
        </w:rPr>
        <w:t> </w:t>
      </w:r>
      <w:r>
        <w:rPr>
          <w:rFonts w:ascii="Arial" w:hAnsi="Arial"/>
          <w:i/>
          <w:sz w:val="20"/>
        </w:rPr>
        <w:t>Clay’s</w:t>
      </w:r>
      <w:r>
        <w:rPr>
          <w:rFonts w:ascii="Arial" w:hAnsi="Arial"/>
          <w:i/>
          <w:spacing w:val="15"/>
          <w:sz w:val="20"/>
        </w:rPr>
        <w:t> </w:t>
      </w:r>
      <w:r>
        <w:rPr>
          <w:rFonts w:ascii="Arial" w:hAnsi="Arial"/>
          <w:i/>
          <w:sz w:val="20"/>
        </w:rPr>
        <w:t>Policy</w:t>
      </w:r>
      <w:r>
        <w:rPr>
          <w:rFonts w:ascii="Arial" w:hAnsi="Arial"/>
          <w:i/>
          <w:spacing w:val="16"/>
          <w:sz w:val="20"/>
        </w:rPr>
        <w:t> </w:t>
      </w:r>
      <w:r>
        <w:rPr>
          <w:rFonts w:ascii="Arial" w:hAnsi="Arial"/>
          <w:i/>
          <w:sz w:val="20"/>
        </w:rPr>
        <w:t>of</w:t>
      </w:r>
      <w:r>
        <w:rPr>
          <w:rFonts w:ascii="Arial" w:hAnsi="Arial"/>
          <w:i/>
          <w:spacing w:val="16"/>
          <w:sz w:val="20"/>
        </w:rPr>
        <w:t> </w:t>
      </w:r>
      <w:r>
        <w:rPr>
          <w:rFonts w:ascii="Arial" w:hAnsi="Arial"/>
          <w:i/>
          <w:sz w:val="20"/>
        </w:rPr>
        <w:t>Assurance</w:t>
      </w:r>
      <w:r>
        <w:rPr>
          <w:rFonts w:ascii="Arial" w:hAnsi="Arial"/>
          <w:i/>
          <w:spacing w:val="16"/>
          <w:sz w:val="20"/>
        </w:rPr>
        <w:t> </w:t>
      </w:r>
      <w:r>
        <w:rPr>
          <w:rFonts w:ascii="Arial" w:hAnsi="Arial"/>
          <w:i/>
          <w:sz w:val="20"/>
        </w:rPr>
        <w:t>[1937]</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z w:val="20"/>
        </w:rPr>
        <w:t>All</w:t>
      </w:r>
      <w:r>
        <w:rPr>
          <w:rFonts w:ascii="Arial" w:hAnsi="Arial"/>
          <w:i/>
          <w:spacing w:val="16"/>
          <w:sz w:val="20"/>
        </w:rPr>
        <w:t> </w:t>
      </w:r>
      <w:r>
        <w:rPr>
          <w:rFonts w:ascii="Arial" w:hAnsi="Arial"/>
          <w:i/>
          <w:sz w:val="20"/>
        </w:rPr>
        <w:t>E.R.</w:t>
      </w:r>
      <w:r>
        <w:rPr>
          <w:rFonts w:ascii="Arial" w:hAnsi="Arial"/>
          <w:i/>
          <w:spacing w:val="16"/>
          <w:sz w:val="20"/>
        </w:rPr>
        <w:t> </w:t>
      </w:r>
      <w:r>
        <w:rPr>
          <w:rFonts w:ascii="Arial" w:hAnsi="Arial"/>
          <w:i/>
          <w:spacing w:val="-4"/>
          <w:sz w:val="20"/>
        </w:rPr>
        <w:t>548</w:t>
      </w:r>
      <w:r>
        <w:rPr>
          <w:spacing w:val="-4"/>
          <w:sz w:val="20"/>
        </w:rPr>
        <w:t>;</w:t>
      </w:r>
    </w:p>
    <w:p>
      <w:pPr>
        <w:spacing w:line="235" w:lineRule="auto" w:before="1"/>
        <w:ind w:left="705" w:right="167" w:firstLine="0"/>
        <w:jc w:val="both"/>
        <w:rPr>
          <w:sz w:val="20"/>
        </w:rPr>
      </w:pPr>
      <w:r>
        <w:rPr>
          <w:rFonts w:ascii="Arial" w:hAnsi="Arial"/>
          <w:i/>
          <w:sz w:val="20"/>
        </w:rPr>
        <w:t>Re Foster [1938] 3 All E.R. 357</w:t>
      </w:r>
      <w:r>
        <w:rPr>
          <w:sz w:val="20"/>
        </w:rPr>
        <w:t>; cf. </w:t>
      </w:r>
      <w:r>
        <w:rPr>
          <w:rFonts w:ascii="Arial" w:hAnsi="Arial"/>
          <w:i/>
          <w:sz w:val="20"/>
        </w:rPr>
        <w:t>Re Engelbach’s Estate [1924] 2 Ch. 248 </w:t>
      </w:r>
      <w:r>
        <w:rPr>
          <w:sz w:val="20"/>
        </w:rPr>
        <w:t>and </w:t>
      </w:r>
      <w:r>
        <w:rPr>
          <w:rFonts w:ascii="Arial" w:hAnsi="Arial"/>
          <w:i/>
          <w:sz w:val="20"/>
        </w:rPr>
        <w:t>Re Sinclair’s Life Policy [1938] Ch. 799</w:t>
      </w:r>
      <w:r>
        <w:rPr>
          <w:sz w:val="20"/>
        </w:rPr>
        <w:t>; these two cases were disapproved or doubted on another ground in </w:t>
      </w:r>
      <w:r>
        <w:rPr>
          <w:rFonts w:ascii="Arial" w:hAnsi="Arial"/>
          <w:i/>
          <w:sz w:val="20"/>
        </w:rPr>
        <w:t>Beswick v Beswick [1968] A.C. 58</w:t>
      </w:r>
      <w:r>
        <w:rPr>
          <w:sz w:val="20"/>
        </w:rPr>
        <w:t>: see above, para.18-075, n.465.</w:t>
      </w:r>
    </w:p>
    <w:p>
      <w:pPr>
        <w:pStyle w:val="BodyText"/>
        <w:spacing w:before="9"/>
      </w:pPr>
    </w:p>
    <w:p>
      <w:pPr>
        <w:pStyle w:val="BodyText"/>
        <w:tabs>
          <w:tab w:pos="705" w:val="left" w:leader="none"/>
        </w:tabs>
        <w:spacing w:line="235" w:lineRule="auto"/>
        <w:ind w:left="705" w:right="167" w:hanging="541"/>
      </w:pPr>
      <w:bookmarkStart w:name="_bookmark1047" w:id="1049"/>
      <w:bookmarkEnd w:id="1049"/>
      <w:r>
        <w:rPr/>
      </w:r>
      <w:hyperlink w:history="true" w:anchor="_bookmark993">
        <w:r>
          <w:rPr>
            <w:color w:val="005DA1"/>
            <w:spacing w:val="-4"/>
            <w:position w:val="5"/>
            <w:sz w:val="14"/>
            <w:u w:val="single" w:color="005DA1"/>
          </w:rPr>
          <w:t>525</w:t>
        </w:r>
      </w:hyperlink>
      <w:r>
        <w:rPr>
          <w:spacing w:val="-4"/>
          <w:position w:val="5"/>
          <w:sz w:val="14"/>
        </w:rPr>
        <w:t>.</w:t>
      </w:r>
      <w:r>
        <w:rPr>
          <w:position w:val="5"/>
          <w:sz w:val="14"/>
        </w:rPr>
        <w:tab/>
      </w:r>
      <w:r>
        <w:rPr/>
        <w:t>For</w:t>
      </w:r>
      <w:r>
        <w:rPr>
          <w:spacing w:val="40"/>
        </w:rPr>
        <w:t> </w:t>
      </w:r>
      <w:r>
        <w:rPr/>
        <w:t>statutory</w:t>
      </w:r>
      <w:r>
        <w:rPr>
          <w:spacing w:val="40"/>
        </w:rPr>
        <w:t> </w:t>
      </w:r>
      <w:r>
        <w:rPr/>
        <w:t>exceptions</w:t>
      </w:r>
      <w:r>
        <w:rPr>
          <w:spacing w:val="40"/>
        </w:rPr>
        <w:t> </w:t>
      </w:r>
      <w:r>
        <w:rPr/>
        <w:t>to</w:t>
      </w:r>
      <w:r>
        <w:rPr>
          <w:spacing w:val="40"/>
        </w:rPr>
        <w:t> </w:t>
      </w:r>
      <w:r>
        <w:rPr/>
        <w:t>the</w:t>
      </w:r>
      <w:r>
        <w:rPr>
          <w:spacing w:val="40"/>
        </w:rPr>
        <w:t> </w:t>
      </w:r>
      <w:r>
        <w:rPr/>
        <w:t>doctrine</w:t>
      </w:r>
      <w:r>
        <w:rPr>
          <w:spacing w:val="40"/>
        </w:rPr>
        <w:t> </w:t>
      </w:r>
      <w:r>
        <w:rPr/>
        <w:t>of</w:t>
      </w:r>
      <w:r>
        <w:rPr>
          <w:spacing w:val="40"/>
        </w:rPr>
        <w:t> </w:t>
      </w:r>
      <w:r>
        <w:rPr/>
        <w:t>privity</w:t>
      </w:r>
      <w:r>
        <w:rPr>
          <w:spacing w:val="40"/>
        </w:rPr>
        <w:t> </w:t>
      </w:r>
      <w:r>
        <w:rPr/>
        <w:t>in</w:t>
      </w:r>
      <w:r>
        <w:rPr>
          <w:spacing w:val="40"/>
        </w:rPr>
        <w:t> </w:t>
      </w:r>
      <w:r>
        <w:rPr/>
        <w:t>cases</w:t>
      </w:r>
      <w:r>
        <w:rPr>
          <w:spacing w:val="40"/>
        </w:rPr>
        <w:t> </w:t>
      </w:r>
      <w:r>
        <w:rPr/>
        <w:t>of</w:t>
      </w:r>
      <w:r>
        <w:rPr>
          <w:spacing w:val="40"/>
        </w:rPr>
        <w:t> </w:t>
      </w:r>
      <w:r>
        <w:rPr/>
        <w:t>insurance,</w:t>
      </w:r>
      <w:r>
        <w:rPr>
          <w:spacing w:val="40"/>
        </w:rPr>
        <w:t> </w:t>
      </w:r>
      <w:r>
        <w:rPr/>
        <w:t>see</w:t>
      </w:r>
      <w:r>
        <w:rPr>
          <w:spacing w:val="40"/>
        </w:rPr>
        <w:t> </w:t>
      </w:r>
      <w:r>
        <w:rPr/>
        <w:t>below,</w:t>
      </w:r>
      <w:r>
        <w:rPr>
          <w:spacing w:val="40"/>
        </w:rPr>
        <w:t> </w:t>
      </w:r>
      <w:r>
        <w:rPr/>
        <w:t>paras 18-131 to 18-136.</w:t>
      </w:r>
    </w:p>
    <w:p>
      <w:pPr>
        <w:pStyle w:val="BodyText"/>
        <w:spacing w:before="9"/>
      </w:pPr>
    </w:p>
    <w:p>
      <w:pPr>
        <w:spacing w:line="235" w:lineRule="auto" w:before="0"/>
        <w:ind w:left="705" w:right="168" w:hanging="541"/>
        <w:jc w:val="both"/>
        <w:rPr>
          <w:sz w:val="20"/>
        </w:rPr>
      </w:pPr>
      <w:bookmarkStart w:name="_bookmark1048" w:id="1050"/>
      <w:bookmarkEnd w:id="1050"/>
      <w:r>
        <w:rPr/>
      </w:r>
      <w:hyperlink w:history="true" w:anchor="_bookmark994">
        <w:r>
          <w:rPr>
            <w:color w:val="005DA1"/>
            <w:position w:val="5"/>
            <w:sz w:val="14"/>
            <w:u w:val="single" w:color="005DA1"/>
          </w:rPr>
          <w:t>526</w:t>
        </w:r>
      </w:hyperlink>
      <w:r>
        <w:rPr>
          <w:position w:val="5"/>
          <w:sz w:val="14"/>
        </w:rPr>
        <w:t>.</w:t>
      </w:r>
      <w:r>
        <w:rPr>
          <w:spacing w:val="80"/>
          <w:position w:val="5"/>
          <w:sz w:val="14"/>
        </w:rPr>
        <w:t>  </w:t>
      </w:r>
      <w:r>
        <w:rPr>
          <w:rFonts w:ascii="Arial"/>
          <w:i/>
          <w:sz w:val="20"/>
        </w:rPr>
        <w:t>Waters</w:t>
      </w:r>
      <w:r>
        <w:rPr>
          <w:rFonts w:ascii="Arial"/>
          <w:i/>
          <w:spacing w:val="-1"/>
          <w:sz w:val="20"/>
        </w:rPr>
        <w:t> </w:t>
      </w:r>
      <w:r>
        <w:rPr>
          <w:rFonts w:ascii="Arial"/>
          <w:i/>
          <w:sz w:val="20"/>
        </w:rPr>
        <w:t>v</w:t>
      </w:r>
      <w:r>
        <w:rPr>
          <w:rFonts w:ascii="Arial"/>
          <w:i/>
          <w:spacing w:val="-1"/>
          <w:sz w:val="20"/>
        </w:rPr>
        <w:t> </w:t>
      </w:r>
      <w:r>
        <w:rPr>
          <w:rFonts w:ascii="Arial"/>
          <w:i/>
          <w:sz w:val="20"/>
        </w:rPr>
        <w:t>Monarch</w:t>
      </w:r>
      <w:r>
        <w:rPr>
          <w:rFonts w:ascii="Arial"/>
          <w:i/>
          <w:spacing w:val="-1"/>
          <w:sz w:val="20"/>
        </w:rPr>
        <w:t> </w:t>
      </w:r>
      <w:r>
        <w:rPr>
          <w:rFonts w:ascii="Arial"/>
          <w:i/>
          <w:sz w:val="20"/>
        </w:rPr>
        <w:t>Fire</w:t>
      </w:r>
      <w:r>
        <w:rPr>
          <w:rFonts w:ascii="Arial"/>
          <w:i/>
          <w:spacing w:val="-1"/>
          <w:sz w:val="20"/>
        </w:rPr>
        <w:t> </w:t>
      </w:r>
      <w:r>
        <w:rPr>
          <w:rFonts w:ascii="Arial"/>
          <w:i/>
          <w:sz w:val="20"/>
        </w:rPr>
        <w:t>and</w:t>
      </w:r>
      <w:r>
        <w:rPr>
          <w:rFonts w:ascii="Arial"/>
          <w:i/>
          <w:spacing w:val="-1"/>
          <w:sz w:val="20"/>
        </w:rPr>
        <w:t> </w:t>
      </w:r>
      <w:r>
        <w:rPr>
          <w:rFonts w:ascii="Arial"/>
          <w:i/>
          <w:sz w:val="20"/>
        </w:rPr>
        <w:t>Life</w:t>
      </w:r>
      <w:r>
        <w:rPr>
          <w:rFonts w:ascii="Arial"/>
          <w:i/>
          <w:spacing w:val="-1"/>
          <w:sz w:val="20"/>
        </w:rPr>
        <w:t> </w:t>
      </w:r>
      <w:r>
        <w:rPr>
          <w:rFonts w:ascii="Arial"/>
          <w:i/>
          <w:sz w:val="20"/>
        </w:rPr>
        <w:t>Assurance</w:t>
      </w:r>
      <w:r>
        <w:rPr>
          <w:rFonts w:ascii="Arial"/>
          <w:i/>
          <w:spacing w:val="-1"/>
          <w:sz w:val="20"/>
        </w:rPr>
        <w:t> </w:t>
      </w:r>
      <w:r>
        <w:rPr>
          <w:rFonts w:ascii="Arial"/>
          <w:i/>
          <w:sz w:val="20"/>
        </w:rPr>
        <w:t>Co</w:t>
      </w:r>
      <w:r>
        <w:rPr>
          <w:rFonts w:ascii="Arial"/>
          <w:i/>
          <w:spacing w:val="-1"/>
          <w:sz w:val="20"/>
        </w:rPr>
        <w:t> </w:t>
      </w:r>
      <w:r>
        <w:rPr>
          <w:rFonts w:ascii="Arial"/>
          <w:i/>
          <w:sz w:val="20"/>
        </w:rPr>
        <w:t>(1856)</w:t>
      </w:r>
      <w:r>
        <w:rPr>
          <w:rFonts w:ascii="Arial"/>
          <w:i/>
          <w:spacing w:val="-1"/>
          <w:sz w:val="20"/>
        </w:rPr>
        <w:t> </w:t>
      </w:r>
      <w:r>
        <w:rPr>
          <w:rFonts w:ascii="Arial"/>
          <w:i/>
          <w:sz w:val="20"/>
        </w:rPr>
        <w:t>5</w:t>
      </w:r>
      <w:r>
        <w:rPr>
          <w:rFonts w:ascii="Arial"/>
          <w:i/>
          <w:spacing w:val="-1"/>
          <w:sz w:val="20"/>
        </w:rPr>
        <w:t> </w:t>
      </w:r>
      <w:r>
        <w:rPr>
          <w:rFonts w:ascii="Arial"/>
          <w:i/>
          <w:sz w:val="20"/>
        </w:rPr>
        <w:t>E.</w:t>
      </w:r>
      <w:r>
        <w:rPr>
          <w:rFonts w:ascii="Arial"/>
          <w:i/>
          <w:spacing w:val="-1"/>
          <w:sz w:val="20"/>
        </w:rPr>
        <w:t> </w:t>
      </w:r>
      <w:r>
        <w:rPr>
          <w:rFonts w:ascii="Arial"/>
          <w:i/>
          <w:sz w:val="20"/>
        </w:rPr>
        <w:t>&amp;</w:t>
      </w:r>
      <w:r>
        <w:rPr>
          <w:rFonts w:ascii="Arial"/>
          <w:i/>
          <w:spacing w:val="-1"/>
          <w:sz w:val="20"/>
        </w:rPr>
        <w:t> </w:t>
      </w:r>
      <w:r>
        <w:rPr>
          <w:rFonts w:ascii="Arial"/>
          <w:i/>
          <w:sz w:val="20"/>
        </w:rPr>
        <w:t>B.</w:t>
      </w:r>
      <w:r>
        <w:rPr>
          <w:rFonts w:ascii="Arial"/>
          <w:i/>
          <w:spacing w:val="-1"/>
          <w:sz w:val="20"/>
        </w:rPr>
        <w:t> </w:t>
      </w:r>
      <w:r>
        <w:rPr>
          <w:rFonts w:ascii="Arial"/>
          <w:i/>
          <w:sz w:val="20"/>
        </w:rPr>
        <w:t>870</w:t>
      </w:r>
      <w:r>
        <w:rPr>
          <w:sz w:val="20"/>
        </w:rPr>
        <w:t>;</w:t>
      </w:r>
      <w:r>
        <w:rPr>
          <w:spacing w:val="-1"/>
          <w:sz w:val="20"/>
        </w:rPr>
        <w:t> </w:t>
      </w:r>
      <w:r>
        <w:rPr>
          <w:rFonts w:ascii="Arial"/>
          <w:i/>
          <w:sz w:val="20"/>
        </w:rPr>
        <w:t>Williams</w:t>
      </w:r>
      <w:r>
        <w:rPr>
          <w:rFonts w:ascii="Arial"/>
          <w:i/>
          <w:spacing w:val="-1"/>
          <w:sz w:val="20"/>
        </w:rPr>
        <w:t> </w:t>
      </w:r>
      <w:r>
        <w:rPr>
          <w:rFonts w:ascii="Arial"/>
          <w:i/>
          <w:sz w:val="20"/>
        </w:rPr>
        <w:t>v</w:t>
      </w:r>
      <w:r>
        <w:rPr>
          <w:rFonts w:ascii="Arial"/>
          <w:i/>
          <w:spacing w:val="-1"/>
          <w:sz w:val="20"/>
        </w:rPr>
        <w:t> </w:t>
      </w:r>
      <w:r>
        <w:rPr>
          <w:rFonts w:ascii="Arial"/>
          <w:i/>
          <w:sz w:val="20"/>
        </w:rPr>
        <w:t>Baltic</w:t>
      </w:r>
      <w:r>
        <w:rPr>
          <w:rFonts w:ascii="Arial"/>
          <w:i/>
          <w:spacing w:val="-1"/>
          <w:sz w:val="20"/>
        </w:rPr>
        <w:t> </w:t>
      </w:r>
      <w:r>
        <w:rPr>
          <w:rFonts w:ascii="Arial"/>
          <w:i/>
          <w:sz w:val="20"/>
        </w:rPr>
        <w:t>Insurance Co [1924] 2 K.B. 282</w:t>
      </w:r>
      <w:r>
        <w:rPr>
          <w:sz w:val="20"/>
        </w:rPr>
        <w:t>; below, para.18-132; </w:t>
      </w:r>
      <w:r>
        <w:rPr>
          <w:rFonts w:ascii="Arial"/>
          <w:i/>
          <w:sz w:val="20"/>
        </w:rPr>
        <w:t>Prudential Staff Union v Hall [1947] K.B. 685</w:t>
      </w:r>
      <w:r>
        <w:rPr>
          <w:sz w:val="20"/>
        </w:rPr>
        <w:t>; cf. Deane J. in </w:t>
      </w:r>
      <w:r>
        <w:rPr>
          <w:rFonts w:ascii="Arial"/>
          <w:i/>
          <w:sz w:val="20"/>
        </w:rPr>
        <w:t>Trident General Ins. Co Ltd v McNiece Bros Pty Ltd (1988) 165 C.L.R. 107 </w:t>
      </w:r>
      <w:r>
        <w:rPr>
          <w:sz w:val="20"/>
        </w:rPr>
        <w:t>(above, </w:t>
      </w:r>
      <w:r>
        <w:rPr>
          <w:spacing w:val="-2"/>
          <w:sz w:val="20"/>
        </w:rPr>
        <w:t>para.18-022).</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49" w:id="1051"/>
      <w:bookmarkEnd w:id="1051"/>
      <w:r>
        <w:rPr/>
      </w:r>
      <w:hyperlink w:history="true" w:anchor="_bookmark995">
        <w:r>
          <w:rPr>
            <w:color w:val="005DA1"/>
            <w:spacing w:val="-4"/>
            <w:position w:val="5"/>
            <w:sz w:val="14"/>
            <w:u w:val="single" w:color="005DA1"/>
          </w:rPr>
          <w:t>527</w:t>
        </w:r>
      </w:hyperlink>
      <w:r>
        <w:rPr>
          <w:spacing w:val="-4"/>
          <w:position w:val="5"/>
          <w:sz w:val="14"/>
        </w:rPr>
        <w:t>.</w:t>
      </w:r>
      <w:r>
        <w:rPr>
          <w:position w:val="5"/>
          <w:sz w:val="14"/>
        </w:rPr>
        <w:tab/>
      </w:r>
      <w:r>
        <w:rPr>
          <w:rFonts w:ascii="Arial"/>
          <w:i/>
          <w:sz w:val="20"/>
        </w:rPr>
        <w:t>Vandepitte</w:t>
      </w:r>
      <w:r>
        <w:rPr>
          <w:rFonts w:ascii="Arial"/>
          <w:i/>
          <w:spacing w:val="1"/>
          <w:sz w:val="20"/>
        </w:rPr>
        <w:t> </w:t>
      </w:r>
      <w:r>
        <w:rPr>
          <w:rFonts w:ascii="Arial"/>
          <w:i/>
          <w:sz w:val="20"/>
        </w:rPr>
        <w:t>v</w:t>
      </w:r>
      <w:r>
        <w:rPr>
          <w:rFonts w:ascii="Arial"/>
          <w:i/>
          <w:spacing w:val="4"/>
          <w:sz w:val="20"/>
        </w:rPr>
        <w:t> </w:t>
      </w:r>
      <w:r>
        <w:rPr>
          <w:rFonts w:ascii="Arial"/>
          <w:i/>
          <w:sz w:val="20"/>
        </w:rPr>
        <w:t>Preferred</w:t>
      </w:r>
      <w:r>
        <w:rPr>
          <w:rFonts w:ascii="Arial"/>
          <w:i/>
          <w:spacing w:val="4"/>
          <w:sz w:val="20"/>
        </w:rPr>
        <w:t> </w:t>
      </w:r>
      <w:r>
        <w:rPr>
          <w:rFonts w:ascii="Arial"/>
          <w:i/>
          <w:sz w:val="20"/>
        </w:rPr>
        <w:t>Accident</w:t>
      </w:r>
      <w:r>
        <w:rPr>
          <w:rFonts w:ascii="Arial"/>
          <w:i/>
          <w:spacing w:val="4"/>
          <w:sz w:val="20"/>
        </w:rPr>
        <w:t> </w:t>
      </w:r>
      <w:r>
        <w:rPr>
          <w:rFonts w:ascii="Arial"/>
          <w:i/>
          <w:sz w:val="20"/>
        </w:rPr>
        <w:t>Insurance</w:t>
      </w:r>
      <w:r>
        <w:rPr>
          <w:rFonts w:ascii="Arial"/>
          <w:i/>
          <w:spacing w:val="4"/>
          <w:sz w:val="20"/>
        </w:rPr>
        <w:t> </w:t>
      </w:r>
      <w:r>
        <w:rPr>
          <w:rFonts w:ascii="Arial"/>
          <w:i/>
          <w:sz w:val="20"/>
        </w:rPr>
        <w:t>Corp.</w:t>
      </w:r>
      <w:r>
        <w:rPr>
          <w:rFonts w:ascii="Arial"/>
          <w:i/>
          <w:spacing w:val="4"/>
          <w:sz w:val="20"/>
        </w:rPr>
        <w:t> </w:t>
      </w:r>
      <w:r>
        <w:rPr>
          <w:rFonts w:ascii="Arial"/>
          <w:i/>
          <w:sz w:val="20"/>
        </w:rPr>
        <w:t>[1933]</w:t>
      </w:r>
      <w:r>
        <w:rPr>
          <w:rFonts w:ascii="Arial"/>
          <w:i/>
          <w:spacing w:val="4"/>
          <w:sz w:val="20"/>
        </w:rPr>
        <w:t> </w:t>
      </w:r>
      <w:r>
        <w:rPr>
          <w:rFonts w:ascii="Arial"/>
          <w:i/>
          <w:sz w:val="20"/>
        </w:rPr>
        <w:t>A.C.</w:t>
      </w:r>
      <w:r>
        <w:rPr>
          <w:rFonts w:ascii="Arial"/>
          <w:i/>
          <w:spacing w:val="4"/>
          <w:sz w:val="20"/>
        </w:rPr>
        <w:t> </w:t>
      </w:r>
      <w:r>
        <w:rPr>
          <w:rFonts w:ascii="Arial"/>
          <w:i/>
          <w:sz w:val="20"/>
        </w:rPr>
        <w:t>70</w:t>
      </w:r>
      <w:r>
        <w:rPr>
          <w:sz w:val="20"/>
        </w:rPr>
        <w:t>;</w:t>
      </w:r>
      <w:r>
        <w:rPr>
          <w:spacing w:val="5"/>
          <w:sz w:val="20"/>
        </w:rPr>
        <w:t> </w:t>
      </w:r>
      <w:r>
        <w:rPr>
          <w:rFonts w:ascii="Arial"/>
          <w:i/>
          <w:sz w:val="20"/>
        </w:rPr>
        <w:t>Green</w:t>
      </w:r>
      <w:r>
        <w:rPr>
          <w:rFonts w:ascii="Arial"/>
          <w:i/>
          <w:spacing w:val="4"/>
          <w:sz w:val="20"/>
        </w:rPr>
        <w:t> </w:t>
      </w:r>
      <w:r>
        <w:rPr>
          <w:rFonts w:ascii="Arial"/>
          <w:i/>
          <w:sz w:val="20"/>
        </w:rPr>
        <w:t>v</w:t>
      </w:r>
      <w:r>
        <w:rPr>
          <w:rFonts w:ascii="Arial"/>
          <w:i/>
          <w:spacing w:val="4"/>
          <w:sz w:val="20"/>
        </w:rPr>
        <w:t> </w:t>
      </w:r>
      <w:r>
        <w:rPr>
          <w:rFonts w:ascii="Arial"/>
          <w:i/>
          <w:sz w:val="20"/>
        </w:rPr>
        <w:t>Russell</w:t>
      </w:r>
      <w:r>
        <w:rPr>
          <w:rFonts w:ascii="Arial"/>
          <w:i/>
          <w:spacing w:val="4"/>
          <w:sz w:val="20"/>
        </w:rPr>
        <w:t> </w:t>
      </w:r>
      <w:r>
        <w:rPr>
          <w:rFonts w:ascii="Arial"/>
          <w:i/>
          <w:sz w:val="20"/>
        </w:rPr>
        <w:t>[1959]</w:t>
      </w:r>
      <w:r>
        <w:rPr>
          <w:rFonts w:ascii="Arial"/>
          <w:i/>
          <w:spacing w:val="4"/>
          <w:sz w:val="20"/>
        </w:rPr>
        <w:t> </w:t>
      </w:r>
      <w:r>
        <w:rPr>
          <w:rFonts w:ascii="Arial"/>
          <w:i/>
          <w:sz w:val="20"/>
        </w:rPr>
        <w:t>2</w:t>
      </w:r>
      <w:r>
        <w:rPr>
          <w:rFonts w:ascii="Arial"/>
          <w:i/>
          <w:spacing w:val="4"/>
          <w:sz w:val="20"/>
        </w:rPr>
        <w:t> </w:t>
      </w:r>
      <w:r>
        <w:rPr>
          <w:rFonts w:ascii="Arial"/>
          <w:i/>
          <w:spacing w:val="-4"/>
          <w:sz w:val="20"/>
        </w:rPr>
        <w:t>Q.B.</w:t>
      </w:r>
    </w:p>
    <w:p>
      <w:pPr>
        <w:spacing w:line="227" w:lineRule="exact" w:before="0"/>
        <w:ind w:left="705" w:right="0" w:firstLine="0"/>
        <w:jc w:val="left"/>
        <w:rPr>
          <w:sz w:val="20"/>
        </w:rPr>
      </w:pPr>
      <w:r>
        <w:rPr>
          <w:rFonts w:ascii="Arial"/>
          <w:i/>
          <w:spacing w:val="-4"/>
          <w:sz w:val="20"/>
        </w:rPr>
        <w:t>226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50" w:id="1052"/>
      <w:bookmarkEnd w:id="1052"/>
      <w:r>
        <w:rPr/>
      </w:r>
      <w:hyperlink w:history="true" w:anchor="_bookmark996">
        <w:r>
          <w:rPr>
            <w:color w:val="005DA1"/>
            <w:spacing w:val="-4"/>
            <w:position w:val="5"/>
            <w:sz w:val="14"/>
            <w:u w:val="single" w:color="005DA1"/>
          </w:rPr>
          <w:t>528</w:t>
        </w:r>
      </w:hyperlink>
      <w:r>
        <w:rPr>
          <w:spacing w:val="-4"/>
          <w:position w:val="5"/>
          <w:sz w:val="14"/>
        </w:rPr>
        <w:t>.</w:t>
      </w:r>
      <w:r>
        <w:rPr>
          <w:position w:val="5"/>
          <w:sz w:val="14"/>
        </w:rPr>
        <w:tab/>
      </w:r>
      <w:r>
        <w:rPr>
          <w:sz w:val="20"/>
        </w:rPr>
        <w:t>See</w:t>
      </w:r>
      <w:r>
        <w:rPr>
          <w:spacing w:val="-2"/>
          <w:sz w:val="20"/>
        </w:rPr>
        <w:t> </w:t>
      </w:r>
      <w:r>
        <w:rPr>
          <w:rFonts w:ascii="Arial"/>
          <w:i/>
          <w:sz w:val="20"/>
        </w:rPr>
        <w:t>Hill v Gomme (1839) 5 My. &amp; Cr. 250</w:t>
      </w:r>
      <w:r>
        <w:rPr>
          <w:sz w:val="20"/>
        </w:rPr>
        <w:t>; </w:t>
      </w:r>
      <w:r>
        <w:rPr>
          <w:rFonts w:ascii="Arial"/>
          <w:i/>
          <w:sz w:val="20"/>
        </w:rPr>
        <w:t>Page v Cox (1852) 10 Hare </w:t>
      </w:r>
      <w:r>
        <w:rPr>
          <w:rFonts w:ascii="Arial"/>
          <w:i/>
          <w:spacing w:val="-4"/>
          <w:sz w:val="20"/>
        </w:rPr>
        <w:t>163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51" w:id="1053"/>
      <w:bookmarkEnd w:id="1053"/>
      <w:r>
        <w:rPr/>
      </w:r>
      <w:hyperlink w:history="true" w:anchor="_bookmark997">
        <w:r>
          <w:rPr>
            <w:color w:val="005DA1"/>
            <w:spacing w:val="-4"/>
            <w:position w:val="5"/>
            <w:sz w:val="14"/>
            <w:u w:val="single" w:color="005DA1"/>
          </w:rPr>
          <w:t>529</w:t>
        </w:r>
      </w:hyperlink>
      <w:r>
        <w:rPr>
          <w:spacing w:val="-4"/>
          <w:position w:val="5"/>
          <w:sz w:val="14"/>
        </w:rPr>
        <w:t>.</w:t>
      </w:r>
      <w:r>
        <w:rPr>
          <w:position w:val="5"/>
          <w:sz w:val="14"/>
        </w:rPr>
        <w:tab/>
      </w:r>
      <w:r>
        <w:rPr>
          <w:rFonts w:ascii="Arial" w:hAnsi="Arial"/>
          <w:i/>
          <w:sz w:val="20"/>
        </w:rPr>
        <w:t>Re</w:t>
      </w:r>
      <w:r>
        <w:rPr>
          <w:rFonts w:ascii="Arial" w:hAnsi="Arial"/>
          <w:i/>
          <w:spacing w:val="-1"/>
          <w:sz w:val="20"/>
        </w:rPr>
        <w:t> </w:t>
      </w:r>
      <w:r>
        <w:rPr>
          <w:rFonts w:ascii="Arial" w:hAnsi="Arial"/>
          <w:i/>
          <w:sz w:val="20"/>
        </w:rPr>
        <w:t>Schebsman [1944] Ch. 83, 104</w:t>
      </w:r>
      <w:r>
        <w:rPr>
          <w:sz w:val="20"/>
        </w:rPr>
        <w:t>; </w:t>
      </w:r>
      <w:r>
        <w:rPr>
          <w:rFonts w:ascii="Arial" w:hAnsi="Arial"/>
          <w:i/>
          <w:sz w:val="20"/>
        </w:rPr>
        <w:t>Re Sinclair’s Life Policy [1938] Ch. </w:t>
      </w:r>
      <w:r>
        <w:rPr>
          <w:rFonts w:ascii="Arial" w:hAnsi="Arial"/>
          <w:i/>
          <w:spacing w:val="-4"/>
          <w:sz w:val="20"/>
        </w:rPr>
        <w:t>799</w:t>
      </w:r>
      <w:r>
        <w:rPr>
          <w:spacing w:val="-4"/>
          <w:sz w:val="20"/>
        </w:rPr>
        <w:t>.</w:t>
      </w:r>
    </w:p>
    <w:p>
      <w:pPr>
        <w:pStyle w:val="BodyText"/>
        <w:spacing w:before="9"/>
      </w:pPr>
    </w:p>
    <w:p>
      <w:pPr>
        <w:spacing w:line="235" w:lineRule="auto" w:before="0"/>
        <w:ind w:left="705" w:right="167" w:hanging="541"/>
        <w:jc w:val="both"/>
        <w:rPr>
          <w:sz w:val="20"/>
        </w:rPr>
      </w:pPr>
      <w:bookmarkStart w:name="_bookmark1052" w:id="1054"/>
      <w:bookmarkEnd w:id="1054"/>
      <w:r>
        <w:rPr/>
      </w:r>
      <w:hyperlink w:history="true" w:anchor="_bookmark998">
        <w:r>
          <w:rPr>
            <w:color w:val="005DA1"/>
            <w:position w:val="5"/>
            <w:sz w:val="14"/>
            <w:u w:val="single" w:color="005DA1"/>
          </w:rPr>
          <w:t>530</w:t>
        </w:r>
      </w:hyperlink>
      <w:r>
        <w:rPr>
          <w:position w:val="5"/>
          <w:sz w:val="14"/>
        </w:rPr>
        <w:t>.</w:t>
      </w:r>
      <w:r>
        <w:rPr>
          <w:spacing w:val="80"/>
          <w:position w:val="5"/>
          <w:sz w:val="14"/>
        </w:rPr>
        <w:t>  </w:t>
      </w:r>
      <w:r>
        <w:rPr>
          <w:sz w:val="20"/>
        </w:rPr>
        <w:t>In</w:t>
      </w:r>
      <w:r>
        <w:rPr>
          <w:spacing w:val="-1"/>
          <w:sz w:val="20"/>
        </w:rPr>
        <w:t> </w:t>
      </w:r>
      <w:r>
        <w:rPr>
          <w:rFonts w:ascii="Arial" w:hAnsi="Arial"/>
          <w:i/>
          <w:sz w:val="20"/>
        </w:rPr>
        <w:t>Talbot</w:t>
      </w:r>
      <w:r>
        <w:rPr>
          <w:rFonts w:ascii="Arial" w:hAnsi="Arial"/>
          <w:i/>
          <w:spacing w:val="-1"/>
          <w:sz w:val="20"/>
        </w:rPr>
        <w:t> </w:t>
      </w:r>
      <w:r>
        <w:rPr>
          <w:rFonts w:ascii="Arial" w:hAnsi="Arial"/>
          <w:i/>
          <w:sz w:val="20"/>
        </w:rPr>
        <w:t>Underwriting</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Nausch</w:t>
      </w:r>
      <w:r>
        <w:rPr>
          <w:rFonts w:ascii="Arial" w:hAnsi="Arial"/>
          <w:i/>
          <w:spacing w:val="-1"/>
          <w:sz w:val="20"/>
        </w:rPr>
        <w:t> </w:t>
      </w:r>
      <w:r>
        <w:rPr>
          <w:rFonts w:ascii="Arial" w:hAnsi="Arial"/>
          <w:i/>
          <w:sz w:val="20"/>
        </w:rPr>
        <w:t>Hogan</w:t>
      </w:r>
      <w:r>
        <w:rPr>
          <w:rFonts w:ascii="Arial" w:hAnsi="Arial"/>
          <w:i/>
          <w:spacing w:val="-2"/>
          <w:sz w:val="20"/>
        </w:rPr>
        <w:t> </w:t>
      </w:r>
      <w:r>
        <w:rPr>
          <w:rFonts w:ascii="Arial" w:hAnsi="Arial"/>
          <w:i/>
          <w:sz w:val="20"/>
        </w:rPr>
        <w:t>&amp;</w:t>
      </w:r>
      <w:r>
        <w:rPr>
          <w:rFonts w:ascii="Arial" w:hAnsi="Arial"/>
          <w:i/>
          <w:spacing w:val="-1"/>
          <w:sz w:val="20"/>
        </w:rPr>
        <w:t> </w:t>
      </w:r>
      <w:r>
        <w:rPr>
          <w:rFonts w:ascii="Arial" w:hAnsi="Arial"/>
          <w:i/>
          <w:sz w:val="20"/>
        </w:rPr>
        <w:t>Murray</w:t>
      </w:r>
      <w:r>
        <w:rPr>
          <w:rFonts w:ascii="Arial" w:hAnsi="Arial"/>
          <w:i/>
          <w:spacing w:val="-1"/>
          <w:sz w:val="20"/>
        </w:rPr>
        <w:t> </w:t>
      </w:r>
      <w:r>
        <w:rPr>
          <w:rFonts w:ascii="Arial" w:hAnsi="Arial"/>
          <w:i/>
          <w:sz w:val="20"/>
        </w:rPr>
        <w:t>Inc</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Jascon</w:t>
      </w:r>
      <w:r>
        <w:rPr>
          <w:rFonts w:ascii="Arial" w:hAnsi="Arial"/>
          <w:i/>
          <w:spacing w:val="-1"/>
          <w:sz w:val="20"/>
        </w:rPr>
        <w:t> </w:t>
      </w:r>
      <w:r>
        <w:rPr>
          <w:rFonts w:ascii="Arial" w:hAnsi="Arial"/>
          <w:i/>
          <w:sz w:val="20"/>
        </w:rPr>
        <w:t>5)</w:t>
      </w:r>
      <w:r>
        <w:rPr>
          <w:rFonts w:ascii="Arial" w:hAnsi="Arial"/>
          <w:i/>
          <w:spacing w:val="-1"/>
          <w:sz w:val="20"/>
        </w:rPr>
        <w:t> </w:t>
      </w:r>
      <w:r>
        <w:rPr>
          <w:rFonts w:ascii="Arial" w:hAnsi="Arial"/>
          <w:i/>
          <w:sz w:val="20"/>
        </w:rPr>
        <w:t>[2006]</w:t>
      </w:r>
      <w:r>
        <w:rPr>
          <w:rFonts w:ascii="Arial" w:hAnsi="Arial"/>
          <w:i/>
          <w:spacing w:val="-2"/>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869, [2006] 2 Lloyd’s Rep 195</w:t>
      </w:r>
      <w:r>
        <w:rPr>
          <w:sz w:val="20"/>
        </w:rPr>
        <w:t>, it had been held that there could be no trust of a promise in favour of a third party if the contract did not contain any promise in favour of that party (</w:t>
      </w:r>
      <w:r>
        <w:rPr>
          <w:rFonts w:ascii="Arial" w:hAnsi="Arial"/>
          <w:i/>
          <w:sz w:val="20"/>
        </w:rPr>
        <w:t>[2005] EWHC 2395 </w:t>
      </w:r>
      <w:r>
        <w:rPr>
          <w:sz w:val="20"/>
        </w:rPr>
        <w:t>at [70]–[71]). There is no reference to this unusually stringent requirement in the Court of </w:t>
      </w:r>
      <w:r>
        <w:rPr>
          <w:spacing w:val="-2"/>
          <w:sz w:val="20"/>
        </w:rPr>
        <w:t>Appeal.</w:t>
      </w:r>
    </w:p>
    <w:p>
      <w:pPr>
        <w:pStyle w:val="BodyText"/>
        <w:spacing w:before="4"/>
      </w:pPr>
    </w:p>
    <w:p>
      <w:pPr>
        <w:tabs>
          <w:tab w:pos="705" w:val="left" w:leader="none"/>
        </w:tabs>
        <w:spacing w:line="227" w:lineRule="exact" w:before="0"/>
        <w:ind w:left="165" w:right="0" w:firstLine="0"/>
        <w:jc w:val="left"/>
        <w:rPr>
          <w:sz w:val="20"/>
        </w:rPr>
      </w:pPr>
      <w:bookmarkStart w:name="_bookmark1053" w:id="1055"/>
      <w:bookmarkEnd w:id="1055"/>
      <w:r>
        <w:rPr/>
      </w:r>
      <w:hyperlink w:history="true" w:anchor="_bookmark999">
        <w:r>
          <w:rPr>
            <w:color w:val="005DA1"/>
            <w:spacing w:val="-4"/>
            <w:position w:val="5"/>
            <w:sz w:val="14"/>
            <w:u w:val="single" w:color="005DA1"/>
          </w:rPr>
          <w:t>531</w:t>
        </w:r>
      </w:hyperlink>
      <w:r>
        <w:rPr>
          <w:spacing w:val="-4"/>
          <w:position w:val="5"/>
          <w:sz w:val="14"/>
        </w:rPr>
        <w:t>.</w:t>
      </w:r>
      <w:r>
        <w:rPr>
          <w:position w:val="5"/>
          <w:sz w:val="14"/>
        </w:rPr>
        <w:tab/>
      </w:r>
      <w:r>
        <w:rPr>
          <w:rFonts w:ascii="Arial"/>
          <w:i/>
          <w:sz w:val="20"/>
        </w:rPr>
        <w:t>West</w:t>
      </w:r>
      <w:r>
        <w:rPr>
          <w:rFonts w:ascii="Arial"/>
          <w:i/>
          <w:spacing w:val="20"/>
          <w:sz w:val="20"/>
        </w:rPr>
        <w:t> </w:t>
      </w:r>
      <w:r>
        <w:rPr>
          <w:rFonts w:ascii="Arial"/>
          <w:i/>
          <w:sz w:val="20"/>
        </w:rPr>
        <w:t>v</w:t>
      </w:r>
      <w:r>
        <w:rPr>
          <w:rFonts w:ascii="Arial"/>
          <w:i/>
          <w:spacing w:val="21"/>
          <w:sz w:val="20"/>
        </w:rPr>
        <w:t> </w:t>
      </w:r>
      <w:r>
        <w:rPr>
          <w:rFonts w:ascii="Arial"/>
          <w:i/>
          <w:sz w:val="20"/>
        </w:rPr>
        <w:t>Houghton</w:t>
      </w:r>
      <w:r>
        <w:rPr>
          <w:rFonts w:ascii="Arial"/>
          <w:i/>
          <w:spacing w:val="21"/>
          <w:sz w:val="20"/>
        </w:rPr>
        <w:t> </w:t>
      </w:r>
      <w:r>
        <w:rPr>
          <w:rFonts w:ascii="Arial"/>
          <w:i/>
          <w:sz w:val="20"/>
        </w:rPr>
        <w:t>(1879)</w:t>
      </w:r>
      <w:r>
        <w:rPr>
          <w:rFonts w:ascii="Arial"/>
          <w:i/>
          <w:spacing w:val="21"/>
          <w:sz w:val="20"/>
        </w:rPr>
        <w:t> </w:t>
      </w:r>
      <w:r>
        <w:rPr>
          <w:rFonts w:ascii="Arial"/>
          <w:i/>
          <w:sz w:val="20"/>
        </w:rPr>
        <w:t>4</w:t>
      </w:r>
      <w:r>
        <w:rPr>
          <w:rFonts w:ascii="Arial"/>
          <w:i/>
          <w:spacing w:val="21"/>
          <w:sz w:val="20"/>
        </w:rPr>
        <w:t> </w:t>
      </w:r>
      <w:r>
        <w:rPr>
          <w:rFonts w:ascii="Arial"/>
          <w:i/>
          <w:sz w:val="20"/>
        </w:rPr>
        <w:t>C.P.D.</w:t>
      </w:r>
      <w:r>
        <w:rPr>
          <w:rFonts w:ascii="Arial"/>
          <w:i/>
          <w:spacing w:val="21"/>
          <w:sz w:val="20"/>
        </w:rPr>
        <w:t> </w:t>
      </w:r>
      <w:r>
        <w:rPr>
          <w:rFonts w:ascii="Arial"/>
          <w:i/>
          <w:sz w:val="20"/>
        </w:rPr>
        <w:t>197</w:t>
      </w:r>
      <w:r>
        <w:rPr>
          <w:sz w:val="20"/>
        </w:rPr>
        <w:t>;</w:t>
      </w:r>
      <w:r>
        <w:rPr>
          <w:spacing w:val="21"/>
          <w:sz w:val="20"/>
        </w:rPr>
        <w:t> </w:t>
      </w:r>
      <w:r>
        <w:rPr>
          <w:sz w:val="20"/>
        </w:rPr>
        <w:t>criticised</w:t>
      </w:r>
      <w:r>
        <w:rPr>
          <w:spacing w:val="21"/>
          <w:sz w:val="20"/>
        </w:rPr>
        <w:t> </w:t>
      </w:r>
      <w:r>
        <w:rPr>
          <w:sz w:val="20"/>
        </w:rPr>
        <w:t>in</w:t>
      </w:r>
      <w:r>
        <w:rPr>
          <w:spacing w:val="21"/>
          <w:sz w:val="20"/>
        </w:rPr>
        <w:t> </w:t>
      </w:r>
      <w:r>
        <w:rPr>
          <w:rFonts w:ascii="Arial"/>
          <w:i/>
          <w:sz w:val="20"/>
        </w:rPr>
        <w:t>Re</w:t>
      </w:r>
      <w:r>
        <w:rPr>
          <w:rFonts w:ascii="Arial"/>
          <w:i/>
          <w:spacing w:val="21"/>
          <w:sz w:val="20"/>
        </w:rPr>
        <w:t> </w:t>
      </w:r>
      <w:r>
        <w:rPr>
          <w:rFonts w:ascii="Arial"/>
          <w:i/>
          <w:sz w:val="20"/>
        </w:rPr>
        <w:t>Flavell</w:t>
      </w:r>
      <w:r>
        <w:rPr>
          <w:rFonts w:ascii="Arial"/>
          <w:i/>
          <w:spacing w:val="21"/>
          <w:sz w:val="20"/>
        </w:rPr>
        <w:t> </w:t>
      </w:r>
      <w:r>
        <w:rPr>
          <w:rFonts w:ascii="Arial"/>
          <w:i/>
          <w:sz w:val="20"/>
        </w:rPr>
        <w:t>(1883)</w:t>
      </w:r>
      <w:r>
        <w:rPr>
          <w:rFonts w:ascii="Arial"/>
          <w:i/>
          <w:spacing w:val="21"/>
          <w:sz w:val="20"/>
        </w:rPr>
        <w:t> </w:t>
      </w:r>
      <w:r>
        <w:rPr>
          <w:rFonts w:ascii="Arial"/>
          <w:i/>
          <w:sz w:val="20"/>
        </w:rPr>
        <w:t>25</w:t>
      </w:r>
      <w:r>
        <w:rPr>
          <w:rFonts w:ascii="Arial"/>
          <w:i/>
          <w:spacing w:val="21"/>
          <w:sz w:val="20"/>
        </w:rPr>
        <w:t> </w:t>
      </w:r>
      <w:r>
        <w:rPr>
          <w:rFonts w:ascii="Arial"/>
          <w:i/>
          <w:sz w:val="20"/>
        </w:rPr>
        <w:t>Ch.D.</w:t>
      </w:r>
      <w:r>
        <w:rPr>
          <w:rFonts w:ascii="Arial"/>
          <w:i/>
          <w:spacing w:val="21"/>
          <w:sz w:val="20"/>
        </w:rPr>
        <w:t> </w:t>
      </w:r>
      <w:r>
        <w:rPr>
          <w:rFonts w:ascii="Arial"/>
          <w:i/>
          <w:sz w:val="20"/>
        </w:rPr>
        <w:t>89,</w:t>
      </w:r>
      <w:r>
        <w:rPr>
          <w:rFonts w:ascii="Arial"/>
          <w:i/>
          <w:spacing w:val="21"/>
          <w:sz w:val="20"/>
        </w:rPr>
        <w:t> </w:t>
      </w:r>
      <w:r>
        <w:rPr>
          <w:rFonts w:ascii="Arial"/>
          <w:i/>
          <w:sz w:val="20"/>
        </w:rPr>
        <w:t>98</w:t>
      </w:r>
      <w:r>
        <w:rPr>
          <w:rFonts w:ascii="Arial"/>
          <w:i/>
          <w:spacing w:val="21"/>
          <w:sz w:val="20"/>
        </w:rPr>
        <w:t> </w:t>
      </w:r>
      <w:r>
        <w:rPr>
          <w:sz w:val="20"/>
        </w:rPr>
        <w:t>and</w:t>
      </w:r>
      <w:r>
        <w:rPr>
          <w:spacing w:val="21"/>
          <w:sz w:val="20"/>
        </w:rPr>
        <w:t> </w:t>
      </w:r>
      <w:r>
        <w:rPr>
          <w:spacing w:val="-5"/>
          <w:sz w:val="20"/>
        </w:rPr>
        <w:t>in</w:t>
      </w:r>
    </w:p>
    <w:p>
      <w:pPr>
        <w:spacing w:line="227" w:lineRule="exact" w:before="0"/>
        <w:ind w:left="705" w:right="0" w:firstLine="0"/>
        <w:jc w:val="left"/>
        <w:rPr>
          <w:sz w:val="20"/>
        </w:rPr>
      </w:pPr>
      <w:r>
        <w:rPr>
          <w:rFonts w:ascii="Arial" w:hAnsi="Arial"/>
          <w:i/>
          <w:sz w:val="20"/>
        </w:rPr>
        <w:t>Lloyd’s v Harper (1880) 16 Ch.D. 290, </w:t>
      </w:r>
      <w:r>
        <w:rPr>
          <w:rFonts w:ascii="Arial" w:hAnsi="Arial"/>
          <w:i/>
          <w:spacing w:val="-4"/>
          <w:sz w:val="20"/>
        </w:rPr>
        <w:t>311</w:t>
      </w:r>
      <w:r>
        <w:rPr>
          <w:spacing w:val="-4"/>
          <w:sz w:val="20"/>
        </w:rPr>
        <w:t>.</w:t>
      </w:r>
    </w:p>
    <w:p>
      <w:pPr>
        <w:pStyle w:val="BodyText"/>
        <w:spacing w:before="9"/>
      </w:pPr>
    </w:p>
    <w:p>
      <w:pPr>
        <w:spacing w:line="235" w:lineRule="auto" w:before="0"/>
        <w:ind w:left="705" w:right="167" w:hanging="541"/>
        <w:jc w:val="both"/>
        <w:rPr>
          <w:sz w:val="20"/>
        </w:rPr>
      </w:pPr>
      <w:bookmarkStart w:name="_bookmark1054" w:id="1056"/>
      <w:bookmarkEnd w:id="1056"/>
      <w:r>
        <w:rPr/>
      </w:r>
      <w:hyperlink w:history="true" w:anchor="_bookmark1000">
        <w:r>
          <w:rPr>
            <w:color w:val="005DA1"/>
            <w:position w:val="5"/>
            <w:sz w:val="14"/>
            <w:u w:val="single" w:color="005DA1"/>
          </w:rPr>
          <w:t>532</w:t>
        </w:r>
      </w:hyperlink>
      <w:r>
        <w:rPr>
          <w:position w:val="5"/>
          <w:sz w:val="14"/>
        </w:rPr>
        <w:t>.</w:t>
      </w:r>
      <w:r>
        <w:rPr>
          <w:spacing w:val="40"/>
          <w:position w:val="5"/>
          <w:sz w:val="14"/>
        </w:rPr>
        <w:t>  </w:t>
      </w:r>
      <w:r>
        <w:rPr>
          <w:sz w:val="20"/>
        </w:rPr>
        <w:t>e.g. </w:t>
      </w:r>
      <w:r>
        <w:rPr>
          <w:rFonts w:ascii="Arial"/>
          <w:i/>
          <w:sz w:val="20"/>
        </w:rPr>
        <w:t>Vandepitte v Preferred Accident Insurance Corp. [1933] A.C. 70</w:t>
      </w:r>
      <w:r>
        <w:rPr>
          <w:sz w:val="20"/>
        </w:rPr>
        <w:t>, where one relevant </w:t>
      </w:r>
      <w:r>
        <w:rPr>
          <w:sz w:val="20"/>
        </w:rPr>
        <w:t>factor was that the insured was under the law governing the policy himself liable for the torts of the third party; contrast </w:t>
      </w:r>
      <w:r>
        <w:rPr>
          <w:rFonts w:ascii="Arial"/>
          <w:i/>
          <w:sz w:val="20"/>
        </w:rPr>
        <w:t>Williams v Baltic Insurance [1924] 2 K.B. 282</w:t>
      </w:r>
      <w:r>
        <w:rPr>
          <w:sz w:val="20"/>
        </w:rPr>
        <w:t>. For the statutory position in such motor insurance cases, see below para.18-132.</w:t>
      </w:r>
    </w:p>
    <w:p>
      <w:pPr>
        <w:pStyle w:val="BodyText"/>
        <w:spacing w:before="8"/>
      </w:pPr>
    </w:p>
    <w:p>
      <w:pPr>
        <w:tabs>
          <w:tab w:pos="705" w:val="left" w:leader="none"/>
        </w:tabs>
        <w:spacing w:line="235" w:lineRule="auto" w:before="1"/>
        <w:ind w:left="705" w:right="168" w:hanging="541"/>
        <w:jc w:val="left"/>
        <w:rPr>
          <w:sz w:val="20"/>
        </w:rPr>
      </w:pPr>
      <w:bookmarkStart w:name="_bookmark1055" w:id="1057"/>
      <w:bookmarkEnd w:id="1057"/>
      <w:r>
        <w:rPr/>
      </w:r>
      <w:hyperlink w:history="true" w:anchor="_bookmark1001">
        <w:r>
          <w:rPr>
            <w:color w:val="005DA1"/>
            <w:spacing w:val="-4"/>
            <w:position w:val="5"/>
            <w:sz w:val="14"/>
            <w:u w:val="single" w:color="005DA1"/>
          </w:rPr>
          <w:t>533</w:t>
        </w:r>
      </w:hyperlink>
      <w:r>
        <w:rPr>
          <w:spacing w:val="-4"/>
          <w:position w:val="5"/>
          <w:sz w:val="14"/>
        </w:rPr>
        <w:t>.</w:t>
      </w:r>
      <w:r>
        <w:rPr>
          <w:position w:val="5"/>
          <w:sz w:val="14"/>
        </w:rPr>
        <w:tab/>
      </w:r>
      <w:r>
        <w:rPr>
          <w:rFonts w:ascii="Arial"/>
          <w:i/>
          <w:sz w:val="20"/>
        </w:rPr>
        <w:t>Lyus</w:t>
      </w:r>
      <w:r>
        <w:rPr>
          <w:rFonts w:ascii="Arial"/>
          <w:i/>
          <w:spacing w:val="22"/>
          <w:sz w:val="20"/>
        </w:rPr>
        <w:t> </w:t>
      </w:r>
      <w:r>
        <w:rPr>
          <w:rFonts w:ascii="Arial"/>
          <w:i/>
          <w:sz w:val="20"/>
        </w:rPr>
        <w:t>v</w:t>
      </w:r>
      <w:r>
        <w:rPr>
          <w:rFonts w:ascii="Arial"/>
          <w:i/>
          <w:spacing w:val="22"/>
          <w:sz w:val="20"/>
        </w:rPr>
        <w:t> </w:t>
      </w:r>
      <w:r>
        <w:rPr>
          <w:rFonts w:ascii="Arial"/>
          <w:i/>
          <w:sz w:val="20"/>
        </w:rPr>
        <w:t>Prowsa</w:t>
      </w:r>
      <w:r>
        <w:rPr>
          <w:rFonts w:ascii="Arial"/>
          <w:i/>
          <w:spacing w:val="22"/>
          <w:sz w:val="20"/>
        </w:rPr>
        <w:t> </w:t>
      </w:r>
      <w:r>
        <w:rPr>
          <w:rFonts w:ascii="Arial"/>
          <w:i/>
          <w:sz w:val="20"/>
        </w:rPr>
        <w:t>Development</w:t>
      </w:r>
      <w:r>
        <w:rPr>
          <w:rFonts w:ascii="Arial"/>
          <w:i/>
          <w:spacing w:val="22"/>
          <w:sz w:val="20"/>
        </w:rPr>
        <w:t> </w:t>
      </w:r>
      <w:r>
        <w:rPr>
          <w:rFonts w:ascii="Arial"/>
          <w:i/>
          <w:sz w:val="20"/>
        </w:rPr>
        <w:t>Ltd</w:t>
      </w:r>
      <w:r>
        <w:rPr>
          <w:rFonts w:ascii="Arial"/>
          <w:i/>
          <w:spacing w:val="22"/>
          <w:sz w:val="20"/>
        </w:rPr>
        <w:t> </w:t>
      </w:r>
      <w:r>
        <w:rPr>
          <w:rFonts w:ascii="Arial"/>
          <w:i/>
          <w:sz w:val="20"/>
        </w:rPr>
        <w:t>[1982]</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1044</w:t>
      </w:r>
      <w:r>
        <w:rPr>
          <w:sz w:val="20"/>
        </w:rPr>
        <w:t>,</w:t>
      </w:r>
      <w:r>
        <w:rPr>
          <w:spacing w:val="22"/>
          <w:sz w:val="20"/>
        </w:rPr>
        <w:t> </w:t>
      </w:r>
      <w:r>
        <w:rPr>
          <w:sz w:val="20"/>
        </w:rPr>
        <w:t>as</w:t>
      </w:r>
      <w:r>
        <w:rPr>
          <w:spacing w:val="22"/>
          <w:sz w:val="20"/>
        </w:rPr>
        <w:t> </w:t>
      </w:r>
      <w:r>
        <w:rPr>
          <w:sz w:val="20"/>
        </w:rPr>
        <w:t>to</w:t>
      </w:r>
      <w:r>
        <w:rPr>
          <w:spacing w:val="22"/>
          <w:sz w:val="20"/>
        </w:rPr>
        <w:t> </w:t>
      </w:r>
      <w:r>
        <w:rPr>
          <w:sz w:val="20"/>
        </w:rPr>
        <w:t>which</w:t>
      </w:r>
      <w:r>
        <w:rPr>
          <w:spacing w:val="22"/>
          <w:sz w:val="20"/>
        </w:rPr>
        <w:t> </w:t>
      </w:r>
      <w:r>
        <w:rPr>
          <w:sz w:val="20"/>
        </w:rPr>
        <w:t>see</w:t>
      </w:r>
      <w:r>
        <w:rPr>
          <w:spacing w:val="22"/>
          <w:sz w:val="20"/>
        </w:rPr>
        <w:t> </w:t>
      </w:r>
      <w:r>
        <w:rPr>
          <w:sz w:val="20"/>
        </w:rPr>
        <w:t>below,</w:t>
      </w:r>
      <w:r>
        <w:rPr>
          <w:spacing w:val="22"/>
          <w:sz w:val="20"/>
        </w:rPr>
        <w:t> </w:t>
      </w:r>
      <w:r>
        <w:rPr>
          <w:sz w:val="20"/>
        </w:rPr>
        <w:t>para.18-141, </w:t>
      </w:r>
      <w:r>
        <w:rPr>
          <w:spacing w:val="-2"/>
          <w:sz w:val="20"/>
        </w:rPr>
        <w:t>n.790.</w:t>
      </w:r>
    </w:p>
    <w:p>
      <w:pPr>
        <w:pStyle w:val="BodyText"/>
        <w:spacing w:before="5"/>
      </w:pPr>
    </w:p>
    <w:p>
      <w:pPr>
        <w:pStyle w:val="BodyText"/>
        <w:tabs>
          <w:tab w:pos="705" w:val="left" w:leader="none"/>
        </w:tabs>
        <w:ind w:left="165"/>
      </w:pPr>
      <w:bookmarkStart w:name="_bookmark1056" w:id="1058"/>
      <w:bookmarkEnd w:id="1058"/>
      <w:r>
        <w:rPr/>
      </w:r>
      <w:hyperlink w:history="true" w:anchor="_bookmark1002">
        <w:r>
          <w:rPr>
            <w:color w:val="005DA1"/>
            <w:spacing w:val="-4"/>
            <w:position w:val="5"/>
            <w:sz w:val="14"/>
            <w:u w:val="single" w:color="005DA1"/>
          </w:rPr>
          <w:t>534</w:t>
        </w:r>
      </w:hyperlink>
      <w:r>
        <w:rPr>
          <w:spacing w:val="-4"/>
          <w:position w:val="5"/>
          <w:sz w:val="14"/>
        </w:rPr>
        <w:t>.</w:t>
      </w:r>
      <w:r>
        <w:rPr>
          <w:position w:val="5"/>
          <w:sz w:val="14"/>
        </w:rPr>
        <w:tab/>
      </w:r>
      <w:r>
        <w:rPr/>
        <w:t>For exceptions, see below at nn.510-513. For an earlier, contrary view, see below, </w:t>
      </w:r>
      <w:r>
        <w:rPr>
          <w:spacing w:val="-2"/>
        </w:rPr>
        <w:t>n.509.</w:t>
      </w:r>
    </w:p>
    <w:p>
      <w:pPr>
        <w:pStyle w:val="BodyText"/>
        <w:spacing w:before="9"/>
      </w:pPr>
    </w:p>
    <w:p>
      <w:pPr>
        <w:spacing w:line="235" w:lineRule="auto" w:before="0"/>
        <w:ind w:left="705" w:right="167" w:hanging="541"/>
        <w:jc w:val="both"/>
        <w:rPr>
          <w:sz w:val="20"/>
        </w:rPr>
      </w:pPr>
      <w:bookmarkStart w:name="_bookmark1057" w:id="1059"/>
      <w:bookmarkEnd w:id="1059"/>
      <w:r>
        <w:rPr/>
      </w:r>
      <w:hyperlink w:history="true" w:anchor="_bookmark1003">
        <w:r>
          <w:rPr>
            <w:color w:val="005DA1"/>
            <w:position w:val="5"/>
            <w:sz w:val="14"/>
            <w:u w:val="single" w:color="005DA1"/>
          </w:rPr>
          <w:t>535</w:t>
        </w:r>
      </w:hyperlink>
      <w:r>
        <w:rPr>
          <w:position w:val="5"/>
          <w:sz w:val="14"/>
        </w:rPr>
        <w:t>.</w:t>
      </w:r>
      <w:r>
        <w:rPr>
          <w:spacing w:val="40"/>
          <w:position w:val="5"/>
          <w:sz w:val="14"/>
        </w:rPr>
        <w:t>  </w:t>
      </w:r>
      <w:r>
        <w:rPr>
          <w:rFonts w:ascii="Arial" w:hAnsi="Arial"/>
          <w:i/>
          <w:sz w:val="20"/>
        </w:rPr>
        <w:t>Re Sinclair’s Life Policy [1938] Ch. 799 </w:t>
      </w:r>
      <w:r>
        <w:rPr>
          <w:sz w:val="20"/>
        </w:rPr>
        <w:t>(criticised on another ground in </w:t>
      </w:r>
      <w:r>
        <w:rPr>
          <w:rFonts w:ascii="Arial" w:hAnsi="Arial"/>
          <w:i/>
          <w:sz w:val="20"/>
        </w:rPr>
        <w:t>Beswick v Beswick</w:t>
      </w:r>
      <w:r>
        <w:rPr>
          <w:rFonts w:ascii="Arial" w:hAnsi="Arial"/>
          <w:i/>
          <w:spacing w:val="40"/>
          <w:sz w:val="20"/>
        </w:rPr>
        <w:t> </w:t>
      </w:r>
      <w:r>
        <w:rPr>
          <w:rFonts w:ascii="Arial" w:hAnsi="Arial"/>
          <w:i/>
          <w:sz w:val="20"/>
        </w:rPr>
        <w:t>[1968] A.C. 58, 96</w:t>
      </w:r>
      <w:r>
        <w:rPr>
          <w:sz w:val="20"/>
        </w:rPr>
        <w:t>); and cf. </w:t>
      </w:r>
      <w:r>
        <w:rPr>
          <w:rFonts w:ascii="Arial" w:hAnsi="Arial"/>
          <w:i/>
          <w:sz w:val="20"/>
        </w:rPr>
        <w:t>Re Schebsman [1944] Ch. 83</w:t>
      </w:r>
      <w:r>
        <w:rPr>
          <w:sz w:val="20"/>
        </w:rPr>
        <w:t>; some earlier authorities did not insist on</w:t>
      </w:r>
      <w:r>
        <w:rPr>
          <w:spacing w:val="-2"/>
          <w:sz w:val="20"/>
        </w:rPr>
        <w:t> </w:t>
      </w:r>
      <w:r>
        <w:rPr>
          <w:sz w:val="20"/>
        </w:rPr>
        <w:t>this</w:t>
      </w:r>
      <w:r>
        <w:rPr>
          <w:spacing w:val="-2"/>
          <w:sz w:val="20"/>
        </w:rPr>
        <w:t> </w:t>
      </w:r>
      <w:r>
        <w:rPr>
          <w:sz w:val="20"/>
        </w:rPr>
        <w:t>requirement:</w:t>
      </w:r>
      <w:r>
        <w:rPr>
          <w:spacing w:val="-2"/>
          <w:sz w:val="20"/>
        </w:rPr>
        <w:t> </w:t>
      </w:r>
      <w:r>
        <w:rPr>
          <w:sz w:val="20"/>
        </w:rPr>
        <w:t>see</w:t>
      </w:r>
      <w:r>
        <w:rPr>
          <w:spacing w:val="-3"/>
          <w:sz w:val="20"/>
        </w:rPr>
        <w:t> </w:t>
      </w:r>
      <w:r>
        <w:rPr>
          <w:rFonts w:ascii="Arial" w:hAnsi="Arial"/>
          <w:i/>
          <w:sz w:val="20"/>
        </w:rPr>
        <w:t>Hill</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Gomme</w:t>
      </w:r>
      <w:r>
        <w:rPr>
          <w:rFonts w:ascii="Arial" w:hAnsi="Arial"/>
          <w:i/>
          <w:spacing w:val="-2"/>
          <w:sz w:val="20"/>
        </w:rPr>
        <w:t> </w:t>
      </w:r>
      <w:r>
        <w:rPr>
          <w:rFonts w:ascii="Arial" w:hAnsi="Arial"/>
          <w:i/>
          <w:sz w:val="20"/>
        </w:rPr>
        <w:t>(1839)</w:t>
      </w:r>
      <w:r>
        <w:rPr>
          <w:rFonts w:ascii="Arial" w:hAnsi="Arial"/>
          <w:i/>
          <w:spacing w:val="-2"/>
          <w:sz w:val="20"/>
        </w:rPr>
        <w:t> </w:t>
      </w:r>
      <w:r>
        <w:rPr>
          <w:rFonts w:ascii="Arial" w:hAnsi="Arial"/>
          <w:i/>
          <w:sz w:val="20"/>
        </w:rPr>
        <w:t>5</w:t>
      </w:r>
      <w:r>
        <w:rPr>
          <w:rFonts w:ascii="Arial" w:hAnsi="Arial"/>
          <w:i/>
          <w:spacing w:val="-2"/>
          <w:sz w:val="20"/>
        </w:rPr>
        <w:t> </w:t>
      </w:r>
      <w:r>
        <w:rPr>
          <w:rFonts w:ascii="Arial" w:hAnsi="Arial"/>
          <w:i/>
          <w:sz w:val="20"/>
        </w:rPr>
        <w:t>My.</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Cr.</w:t>
      </w:r>
      <w:r>
        <w:rPr>
          <w:rFonts w:ascii="Arial" w:hAnsi="Arial"/>
          <w:i/>
          <w:spacing w:val="-2"/>
          <w:sz w:val="20"/>
        </w:rPr>
        <w:t> </w:t>
      </w:r>
      <w:r>
        <w:rPr>
          <w:rFonts w:ascii="Arial" w:hAnsi="Arial"/>
          <w:i/>
          <w:sz w:val="20"/>
        </w:rPr>
        <w:t>250</w:t>
      </w:r>
      <w:r>
        <w:rPr>
          <w:sz w:val="20"/>
        </w:rPr>
        <w:t>;</w:t>
      </w:r>
      <w:r>
        <w:rPr>
          <w:spacing w:val="-2"/>
          <w:sz w:val="20"/>
        </w:rPr>
        <w:t> </w:t>
      </w:r>
      <w:r>
        <w:rPr>
          <w:rFonts w:ascii="Arial" w:hAnsi="Arial"/>
          <w:i/>
          <w:sz w:val="20"/>
        </w:rPr>
        <w:t>Page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Cox</w:t>
      </w:r>
      <w:r>
        <w:rPr>
          <w:rFonts w:ascii="Arial" w:hAnsi="Arial"/>
          <w:i/>
          <w:spacing w:val="-2"/>
          <w:sz w:val="20"/>
        </w:rPr>
        <w:t> </w:t>
      </w:r>
      <w:r>
        <w:rPr>
          <w:rFonts w:ascii="Arial" w:hAnsi="Arial"/>
          <w:i/>
          <w:sz w:val="20"/>
        </w:rPr>
        <w:t>(1852)</w:t>
      </w:r>
      <w:r>
        <w:rPr>
          <w:rFonts w:ascii="Arial" w:hAnsi="Arial"/>
          <w:i/>
          <w:spacing w:val="-2"/>
          <w:sz w:val="20"/>
        </w:rPr>
        <w:t> </w:t>
      </w:r>
      <w:r>
        <w:rPr>
          <w:rFonts w:ascii="Arial" w:hAnsi="Arial"/>
          <w:i/>
          <w:sz w:val="20"/>
        </w:rPr>
        <w:t>10</w:t>
      </w:r>
      <w:r>
        <w:rPr>
          <w:rFonts w:ascii="Arial" w:hAnsi="Arial"/>
          <w:i/>
          <w:spacing w:val="-2"/>
          <w:sz w:val="20"/>
        </w:rPr>
        <w:t> </w:t>
      </w:r>
      <w:r>
        <w:rPr>
          <w:rFonts w:ascii="Arial" w:hAnsi="Arial"/>
          <w:i/>
          <w:sz w:val="20"/>
        </w:rPr>
        <w:t>Hare</w:t>
      </w:r>
      <w:r>
        <w:rPr>
          <w:rFonts w:ascii="Arial" w:hAnsi="Arial"/>
          <w:i/>
          <w:spacing w:val="-2"/>
          <w:sz w:val="20"/>
        </w:rPr>
        <w:t> </w:t>
      </w:r>
      <w:r>
        <w:rPr>
          <w:rFonts w:ascii="Arial" w:hAnsi="Arial"/>
          <w:i/>
          <w:sz w:val="20"/>
        </w:rPr>
        <w:t>163</w:t>
      </w:r>
      <w:r>
        <w:rPr>
          <w:sz w:val="20"/>
        </w:rPr>
        <w:t>. A provision of the kind here under discussion would not fall within Contracts (Rights of Third Parties) Act 1999, s.2, since this applies only to rescission or variation </w:t>
      </w:r>
      <w:r>
        <w:rPr>
          <w:rFonts w:ascii="Arial" w:hAnsi="Arial"/>
          <w:i/>
          <w:sz w:val="20"/>
        </w:rPr>
        <w:t>by agreement </w:t>
      </w:r>
      <w:r>
        <w:rPr>
          <w:sz w:val="20"/>
        </w:rPr>
        <w:t>between promisor and promisee: see below, paras 18-103, 18-104.</w:t>
      </w:r>
    </w:p>
    <w:p>
      <w:pPr>
        <w:pStyle w:val="BodyText"/>
        <w:spacing w:before="4"/>
      </w:pPr>
    </w:p>
    <w:p>
      <w:pPr>
        <w:tabs>
          <w:tab w:pos="705" w:val="left" w:leader="none"/>
        </w:tabs>
        <w:spacing w:before="0"/>
        <w:ind w:left="165" w:right="0" w:firstLine="0"/>
        <w:jc w:val="left"/>
        <w:rPr>
          <w:sz w:val="20"/>
        </w:rPr>
      </w:pPr>
      <w:bookmarkStart w:name="_bookmark1058" w:id="1060"/>
      <w:bookmarkEnd w:id="1060"/>
      <w:r>
        <w:rPr/>
      </w:r>
      <w:hyperlink w:history="true" w:anchor="_bookmark1004">
        <w:r>
          <w:rPr>
            <w:color w:val="005DA1"/>
            <w:spacing w:val="-4"/>
            <w:position w:val="5"/>
            <w:sz w:val="14"/>
            <w:u w:val="single" w:color="005DA1"/>
          </w:rPr>
          <w:t>536</w:t>
        </w:r>
      </w:hyperlink>
      <w:r>
        <w:rPr>
          <w:spacing w:val="-4"/>
          <w:position w:val="5"/>
          <w:sz w:val="14"/>
        </w:rPr>
        <w:t>.</w:t>
      </w:r>
      <w:r>
        <w:rPr>
          <w:position w:val="5"/>
          <w:sz w:val="14"/>
        </w:rPr>
        <w:tab/>
      </w:r>
      <w:r>
        <w:rPr>
          <w:rFonts w:ascii="Arial" w:hAnsi="Arial"/>
          <w:i/>
          <w:sz w:val="20"/>
        </w:rPr>
        <w:t>Re Foster’s Policy [1966] 1 W.L.R. </w:t>
      </w:r>
      <w:r>
        <w:rPr>
          <w:rFonts w:ascii="Arial" w:hAnsi="Arial"/>
          <w:i/>
          <w:spacing w:val="-4"/>
          <w:sz w:val="20"/>
        </w:rPr>
        <w:t>222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59" w:id="1061"/>
      <w:bookmarkEnd w:id="1061"/>
      <w:r>
        <w:rPr/>
      </w:r>
      <w:hyperlink w:history="true" w:anchor="_bookmark1005">
        <w:r>
          <w:rPr>
            <w:color w:val="005DA1"/>
            <w:spacing w:val="-4"/>
            <w:position w:val="5"/>
            <w:sz w:val="14"/>
            <w:u w:val="single" w:color="005DA1"/>
          </w:rPr>
          <w:t>537</w:t>
        </w:r>
      </w:hyperlink>
      <w:r>
        <w:rPr>
          <w:spacing w:val="-4"/>
          <w:position w:val="5"/>
          <w:sz w:val="14"/>
        </w:rPr>
        <w:t>.</w:t>
      </w:r>
      <w:r>
        <w:rPr>
          <w:position w:val="5"/>
          <w:sz w:val="14"/>
        </w:rPr>
        <w:tab/>
      </w:r>
      <w:r>
        <w:rPr>
          <w:rFonts w:ascii="Arial"/>
          <w:i/>
          <w:sz w:val="20"/>
        </w:rPr>
        <w:t>Re Webb [1941] Ch. </w:t>
      </w:r>
      <w:r>
        <w:rPr>
          <w:rFonts w:ascii="Arial"/>
          <w:i/>
          <w:spacing w:val="-4"/>
          <w:sz w:val="20"/>
        </w:rPr>
        <w:t>225</w:t>
      </w:r>
      <w:r>
        <w:rPr>
          <w:spacing w:val="-4"/>
          <w:sz w:val="20"/>
        </w:rPr>
        <w:t>.</w:t>
      </w:r>
    </w:p>
    <w:p>
      <w:pPr>
        <w:pStyle w:val="BodyText"/>
        <w:spacing w:before="5"/>
      </w:pPr>
    </w:p>
    <w:p>
      <w:pPr>
        <w:pStyle w:val="BodyText"/>
        <w:tabs>
          <w:tab w:pos="705" w:val="left" w:leader="none"/>
        </w:tabs>
        <w:ind w:left="165"/>
      </w:pPr>
      <w:bookmarkStart w:name="_bookmark1060" w:id="1062"/>
      <w:bookmarkEnd w:id="1062"/>
      <w:r>
        <w:rPr/>
      </w:r>
      <w:hyperlink w:history="true" w:anchor="_bookmark1005">
        <w:r>
          <w:rPr>
            <w:color w:val="005DA1"/>
            <w:spacing w:val="-4"/>
            <w:position w:val="5"/>
            <w:sz w:val="14"/>
            <w:u w:val="single" w:color="005DA1"/>
          </w:rPr>
          <w:t>538</w:t>
        </w:r>
      </w:hyperlink>
      <w:r>
        <w:rPr>
          <w:spacing w:val="-4"/>
          <w:position w:val="5"/>
          <w:sz w:val="14"/>
        </w:rPr>
        <w:t>.</w:t>
      </w:r>
      <w:r>
        <w:rPr>
          <w:position w:val="5"/>
          <w:sz w:val="14"/>
        </w:rPr>
        <w:tab/>
      </w:r>
      <w:r>
        <w:rPr/>
        <w:t>See</w:t>
      </w:r>
      <w:r>
        <w:rPr>
          <w:spacing w:val="-2"/>
        </w:rPr>
        <w:t> </w:t>
      </w:r>
      <w:r>
        <w:rPr/>
        <w:t>below, para.18-</w:t>
      </w:r>
      <w:r>
        <w:rPr>
          <w:spacing w:val="-4"/>
        </w:rPr>
        <w:t>131.</w:t>
      </w:r>
    </w:p>
    <w:p>
      <w:pPr>
        <w:pStyle w:val="BodyText"/>
        <w:spacing w:before="9"/>
      </w:pPr>
    </w:p>
    <w:p>
      <w:pPr>
        <w:tabs>
          <w:tab w:pos="705" w:val="left" w:leader="none"/>
        </w:tabs>
        <w:spacing w:line="235" w:lineRule="auto" w:before="0"/>
        <w:ind w:left="705" w:right="168" w:hanging="541"/>
        <w:jc w:val="left"/>
        <w:rPr>
          <w:sz w:val="20"/>
        </w:rPr>
      </w:pPr>
      <w:bookmarkStart w:name="_bookmark1061" w:id="1063"/>
      <w:bookmarkEnd w:id="1063"/>
      <w:r>
        <w:rPr/>
      </w:r>
      <w:hyperlink w:history="true" w:anchor="_bookmark1006">
        <w:r>
          <w:rPr>
            <w:color w:val="005DA1"/>
            <w:spacing w:val="-4"/>
            <w:position w:val="5"/>
            <w:sz w:val="14"/>
            <w:u w:val="single" w:color="005DA1"/>
          </w:rPr>
          <w:t>539</w:t>
        </w:r>
      </w:hyperlink>
      <w:r>
        <w:rPr>
          <w:spacing w:val="-4"/>
          <w:position w:val="5"/>
          <w:sz w:val="14"/>
        </w:rPr>
        <w:t>.</w:t>
      </w:r>
      <w:r>
        <w:rPr>
          <w:position w:val="5"/>
          <w:sz w:val="14"/>
        </w:rPr>
        <w:tab/>
      </w:r>
      <w:r>
        <w:rPr>
          <w:rFonts w:ascii="Arial" w:hAnsi="Arial"/>
          <w:i/>
          <w:sz w:val="20"/>
        </w:rPr>
        <w:t>Re a Policy of the Equitable Life Assurance of the United States and Mitchell (1911) 27 </w:t>
      </w:r>
      <w:r>
        <w:rPr>
          <w:rFonts w:ascii="Arial" w:hAnsi="Arial"/>
          <w:i/>
          <w:sz w:val="20"/>
        </w:rPr>
        <w:t>T.L.R. 213</w:t>
      </w:r>
      <w:r>
        <w:rPr>
          <w:sz w:val="20"/>
        </w:rPr>
        <w:t>; </w:t>
      </w:r>
      <w:r>
        <w:rPr>
          <w:rFonts w:ascii="Arial" w:hAnsi="Arial"/>
          <w:i/>
          <w:sz w:val="20"/>
        </w:rPr>
        <w:t>Re Fleetwood’s Policy [1926] 1 Ch. 48</w:t>
      </w:r>
      <w:r>
        <w:rPr>
          <w:sz w:val="20"/>
        </w:rPr>
        <w:t>.</w:t>
      </w:r>
    </w:p>
    <w:p>
      <w:pPr>
        <w:spacing w:after="0" w:line="235" w:lineRule="auto"/>
        <w:jc w:val="left"/>
        <w:rPr>
          <w:sz w:val="20"/>
        </w:rPr>
        <w:sectPr>
          <w:pgSz w:w="11900" w:h="16840"/>
          <w:pgMar w:header="971" w:footer="0" w:top="1160" w:bottom="280" w:left="1275" w:right="1275"/>
        </w:sectPr>
      </w:pPr>
    </w:p>
    <w:p>
      <w:pPr>
        <w:pStyle w:val="BodyText"/>
        <w:spacing w:before="84"/>
      </w:pPr>
    </w:p>
    <w:p>
      <w:pPr>
        <w:tabs>
          <w:tab w:pos="705" w:val="left" w:leader="none"/>
        </w:tabs>
        <w:spacing w:line="235" w:lineRule="auto" w:before="1"/>
        <w:ind w:left="705" w:right="168" w:hanging="541"/>
        <w:jc w:val="left"/>
        <w:rPr>
          <w:sz w:val="20"/>
        </w:rPr>
      </w:pPr>
      <w:hyperlink w:history="true" w:anchor="_bookmark1007">
        <w:r>
          <w:rPr>
            <w:color w:val="005DA1"/>
            <w:spacing w:val="-4"/>
            <w:position w:val="5"/>
            <w:sz w:val="14"/>
            <w:u w:val="single" w:color="005DA1"/>
          </w:rPr>
          <w:t>540</w:t>
        </w:r>
      </w:hyperlink>
      <w:r>
        <w:rPr>
          <w:spacing w:val="-4"/>
          <w:position w:val="5"/>
          <w:sz w:val="14"/>
        </w:rPr>
        <w:t>.</w:t>
      </w:r>
      <w:r>
        <w:rPr>
          <w:position w:val="5"/>
          <w:sz w:val="14"/>
        </w:rPr>
        <w:tab/>
      </w:r>
      <w:r>
        <w:rPr>
          <w:sz w:val="20"/>
        </w:rPr>
        <w:t>e.g. </w:t>
      </w:r>
      <w:r>
        <w:rPr>
          <w:rFonts w:ascii="Arial" w:hAnsi="Arial"/>
          <w:i/>
          <w:sz w:val="20"/>
        </w:rPr>
        <w:t>Re Burgess’ Policy (1915) 113 L.J. 43 </w:t>
      </w:r>
      <w:r>
        <w:rPr>
          <w:sz w:val="20"/>
        </w:rPr>
        <w:t>(policy to become void if insured went “beyond </w:t>
      </w:r>
      <w:r>
        <w:rPr>
          <w:sz w:val="20"/>
        </w:rPr>
        <w:t>the boundaries of Europe” without previously notifying insurers).</w:t>
      </w:r>
    </w:p>
    <w:p>
      <w:pPr>
        <w:pStyle w:val="BodyText"/>
        <w:spacing w:before="9"/>
      </w:pPr>
    </w:p>
    <w:p>
      <w:pPr>
        <w:pStyle w:val="BodyText"/>
        <w:spacing w:line="235" w:lineRule="auto"/>
        <w:ind w:left="705" w:right="167" w:hanging="541"/>
        <w:jc w:val="both"/>
      </w:pPr>
      <w:bookmarkStart w:name="_bookmark1062" w:id="1064"/>
      <w:bookmarkEnd w:id="1064"/>
      <w:r>
        <w:rPr/>
      </w:r>
      <w:hyperlink w:history="true" w:anchor="_bookmark1007">
        <w:r>
          <w:rPr>
            <w:color w:val="005DA1"/>
            <w:position w:val="5"/>
            <w:sz w:val="14"/>
            <w:u w:val="single" w:color="005DA1"/>
          </w:rPr>
          <w:t>541</w:t>
        </w:r>
      </w:hyperlink>
      <w:r>
        <w:rPr>
          <w:position w:val="5"/>
          <w:sz w:val="14"/>
        </w:rPr>
        <w:t>.</w:t>
      </w:r>
      <w:r>
        <w:rPr>
          <w:spacing w:val="80"/>
          <w:position w:val="5"/>
          <w:sz w:val="14"/>
        </w:rPr>
        <w:t> </w:t>
      </w:r>
      <w:r>
        <w:rPr/>
        <w:t>e.g. </w:t>
      </w:r>
      <w:r>
        <w:rPr>
          <w:rFonts w:ascii="Arial" w:hAnsi="Arial"/>
          <w:i/>
        </w:rPr>
        <w:t>Re Schebsman [1944] 83, 104 </w:t>
      </w:r>
      <w:r>
        <w:rPr/>
        <w:t>(parties “intended to keep alive their common law right consensually to vary the terms of the obligation”). The mere existence of such a right does not negative the statutory right of enforcement which third parties have under the Contracts </w:t>
      </w:r>
      <w:r>
        <w:rPr/>
        <w:t>(Rights of Third Parties) Act 1999: this is clear from s.2 of the Act (below, para.18-103).</w:t>
      </w:r>
    </w:p>
    <w:p>
      <w:pPr>
        <w:pStyle w:val="BodyText"/>
        <w:spacing w:before="4"/>
      </w:pPr>
    </w:p>
    <w:p>
      <w:pPr>
        <w:tabs>
          <w:tab w:pos="705" w:val="left" w:leader="none"/>
        </w:tabs>
        <w:spacing w:before="1"/>
        <w:ind w:left="165" w:right="0" w:firstLine="0"/>
        <w:jc w:val="left"/>
        <w:rPr>
          <w:sz w:val="20"/>
        </w:rPr>
      </w:pPr>
      <w:bookmarkStart w:name="_bookmark1063" w:id="1065"/>
      <w:bookmarkEnd w:id="1065"/>
      <w:r>
        <w:rPr/>
      </w:r>
      <w:hyperlink w:history="true" w:anchor="_bookmark1008">
        <w:r>
          <w:rPr>
            <w:color w:val="005DA1"/>
            <w:spacing w:val="-4"/>
            <w:position w:val="5"/>
            <w:sz w:val="14"/>
            <w:u w:val="single" w:color="005DA1"/>
          </w:rPr>
          <w:t>542</w:t>
        </w:r>
      </w:hyperlink>
      <w:r>
        <w:rPr>
          <w:spacing w:val="-4"/>
          <w:position w:val="5"/>
          <w:sz w:val="14"/>
        </w:rPr>
        <w:t>.</w:t>
      </w:r>
      <w:r>
        <w:rPr>
          <w:position w:val="5"/>
          <w:sz w:val="14"/>
        </w:rPr>
        <w:tab/>
      </w:r>
      <w:r>
        <w:rPr>
          <w:sz w:val="20"/>
        </w:rPr>
        <w:t>See</w:t>
      </w:r>
      <w:r>
        <w:rPr>
          <w:spacing w:val="-2"/>
          <w:sz w:val="20"/>
        </w:rPr>
        <w:t> </w:t>
      </w:r>
      <w:r>
        <w:rPr>
          <w:rFonts w:ascii="Arial"/>
          <w:i/>
          <w:sz w:val="20"/>
        </w:rPr>
        <w:t>Richards v Delbridge (1874) L.R. 18 Eq. 11</w:t>
      </w:r>
      <w:r>
        <w:rPr>
          <w:sz w:val="20"/>
        </w:rPr>
        <w:t>; </w:t>
      </w:r>
      <w:r>
        <w:rPr>
          <w:rFonts w:ascii="Arial"/>
          <w:i/>
          <w:sz w:val="20"/>
        </w:rPr>
        <w:t>Swain v Law Society [1983] 1 A.C. 598, </w:t>
      </w:r>
      <w:r>
        <w:rPr>
          <w:rFonts w:ascii="Arial"/>
          <w:i/>
          <w:spacing w:val="-4"/>
          <w:sz w:val="20"/>
        </w:rPr>
        <w:t>620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064" w:id="1066"/>
      <w:bookmarkEnd w:id="1066"/>
      <w:r>
        <w:rPr/>
      </w:r>
      <w:hyperlink w:history="true" w:anchor="_bookmark1009">
        <w:r>
          <w:rPr>
            <w:color w:val="005DA1"/>
            <w:spacing w:val="-4"/>
            <w:position w:val="5"/>
            <w:sz w:val="14"/>
            <w:u w:val="single" w:color="005DA1"/>
          </w:rPr>
          <w:t>543</w:t>
        </w:r>
      </w:hyperlink>
      <w:r>
        <w:rPr>
          <w:spacing w:val="-4"/>
          <w:position w:val="5"/>
          <w:sz w:val="14"/>
        </w:rPr>
        <w:t>.</w:t>
      </w:r>
      <w:r>
        <w:rPr>
          <w:position w:val="5"/>
          <w:sz w:val="14"/>
        </w:rPr>
        <w:tab/>
      </w:r>
      <w:r>
        <w:rPr>
          <w:rFonts w:ascii="Arial" w:hAnsi="Arial"/>
          <w:i/>
          <w:sz w:val="20"/>
        </w:rPr>
        <w:t>Re</w:t>
      </w:r>
      <w:r>
        <w:rPr>
          <w:rFonts w:ascii="Arial" w:hAnsi="Arial"/>
          <w:i/>
          <w:spacing w:val="35"/>
          <w:sz w:val="20"/>
        </w:rPr>
        <w:t> </w:t>
      </w:r>
      <w:r>
        <w:rPr>
          <w:rFonts w:ascii="Arial" w:hAnsi="Arial"/>
          <w:i/>
          <w:sz w:val="20"/>
        </w:rPr>
        <w:t>Clay’s</w:t>
      </w:r>
      <w:r>
        <w:rPr>
          <w:rFonts w:ascii="Arial" w:hAnsi="Arial"/>
          <w:i/>
          <w:spacing w:val="38"/>
          <w:sz w:val="20"/>
        </w:rPr>
        <w:t> </w:t>
      </w:r>
      <w:r>
        <w:rPr>
          <w:rFonts w:ascii="Arial" w:hAnsi="Arial"/>
          <w:i/>
          <w:sz w:val="20"/>
        </w:rPr>
        <w:t>Policy</w:t>
      </w:r>
      <w:r>
        <w:rPr>
          <w:rFonts w:ascii="Arial" w:hAnsi="Arial"/>
          <w:i/>
          <w:spacing w:val="38"/>
          <w:sz w:val="20"/>
        </w:rPr>
        <w:t> </w:t>
      </w:r>
      <w:r>
        <w:rPr>
          <w:rFonts w:ascii="Arial" w:hAnsi="Arial"/>
          <w:i/>
          <w:sz w:val="20"/>
        </w:rPr>
        <w:t>of</w:t>
      </w:r>
      <w:r>
        <w:rPr>
          <w:rFonts w:ascii="Arial" w:hAnsi="Arial"/>
          <w:i/>
          <w:spacing w:val="38"/>
          <w:sz w:val="20"/>
        </w:rPr>
        <w:t> </w:t>
      </w:r>
      <w:r>
        <w:rPr>
          <w:rFonts w:ascii="Arial" w:hAnsi="Arial"/>
          <w:i/>
          <w:sz w:val="20"/>
        </w:rPr>
        <w:t>Assurance</w:t>
      </w:r>
      <w:r>
        <w:rPr>
          <w:rFonts w:ascii="Arial" w:hAnsi="Arial"/>
          <w:i/>
          <w:spacing w:val="38"/>
          <w:sz w:val="20"/>
        </w:rPr>
        <w:t> </w:t>
      </w:r>
      <w:r>
        <w:rPr>
          <w:rFonts w:ascii="Arial" w:hAnsi="Arial"/>
          <w:i/>
          <w:sz w:val="20"/>
        </w:rPr>
        <w:t>[1937]</w:t>
      </w:r>
      <w:r>
        <w:rPr>
          <w:rFonts w:ascii="Arial" w:hAnsi="Arial"/>
          <w:i/>
          <w:spacing w:val="38"/>
          <w:sz w:val="20"/>
        </w:rPr>
        <w:t> </w:t>
      </w:r>
      <w:r>
        <w:rPr>
          <w:rFonts w:ascii="Arial" w:hAnsi="Arial"/>
          <w:i/>
          <w:sz w:val="20"/>
        </w:rPr>
        <w:t>2</w:t>
      </w:r>
      <w:r>
        <w:rPr>
          <w:rFonts w:ascii="Arial" w:hAnsi="Arial"/>
          <w:i/>
          <w:spacing w:val="38"/>
          <w:sz w:val="20"/>
        </w:rPr>
        <w:t> </w:t>
      </w:r>
      <w:r>
        <w:rPr>
          <w:rFonts w:ascii="Arial" w:hAnsi="Arial"/>
          <w:i/>
          <w:sz w:val="20"/>
        </w:rPr>
        <w:t>All</w:t>
      </w:r>
      <w:r>
        <w:rPr>
          <w:rFonts w:ascii="Arial" w:hAnsi="Arial"/>
          <w:i/>
          <w:spacing w:val="38"/>
          <w:sz w:val="20"/>
        </w:rPr>
        <w:t> </w:t>
      </w:r>
      <w:r>
        <w:rPr>
          <w:rFonts w:ascii="Arial" w:hAnsi="Arial"/>
          <w:i/>
          <w:sz w:val="20"/>
        </w:rPr>
        <w:t>E.R.</w:t>
      </w:r>
      <w:r>
        <w:rPr>
          <w:rFonts w:ascii="Arial" w:hAnsi="Arial"/>
          <w:i/>
          <w:spacing w:val="37"/>
          <w:sz w:val="20"/>
        </w:rPr>
        <w:t> </w:t>
      </w:r>
      <w:r>
        <w:rPr>
          <w:rFonts w:ascii="Arial" w:hAnsi="Arial"/>
          <w:i/>
          <w:sz w:val="20"/>
        </w:rPr>
        <w:t>548</w:t>
      </w:r>
      <w:r>
        <w:rPr>
          <w:sz w:val="20"/>
        </w:rPr>
        <w:t>;</w:t>
      </w:r>
      <w:r>
        <w:rPr>
          <w:spacing w:val="38"/>
          <w:sz w:val="20"/>
        </w:rPr>
        <w:t> </w:t>
      </w:r>
      <w:r>
        <w:rPr>
          <w:rFonts w:ascii="Arial" w:hAnsi="Arial"/>
          <w:i/>
          <w:sz w:val="20"/>
        </w:rPr>
        <w:t>Re</w:t>
      </w:r>
      <w:r>
        <w:rPr>
          <w:rFonts w:ascii="Arial" w:hAnsi="Arial"/>
          <w:i/>
          <w:spacing w:val="38"/>
          <w:sz w:val="20"/>
        </w:rPr>
        <w:t> </w:t>
      </w:r>
      <w:r>
        <w:rPr>
          <w:rFonts w:ascii="Arial" w:hAnsi="Arial"/>
          <w:i/>
          <w:sz w:val="20"/>
        </w:rPr>
        <w:t>Foster</w:t>
      </w:r>
      <w:r>
        <w:rPr>
          <w:rFonts w:ascii="Arial" w:hAnsi="Arial"/>
          <w:i/>
          <w:spacing w:val="38"/>
          <w:sz w:val="20"/>
        </w:rPr>
        <w:t> </w:t>
      </w:r>
      <w:r>
        <w:rPr>
          <w:rFonts w:ascii="Arial" w:hAnsi="Arial"/>
          <w:i/>
          <w:sz w:val="20"/>
        </w:rPr>
        <w:t>[1938]</w:t>
      </w:r>
      <w:r>
        <w:rPr>
          <w:rFonts w:ascii="Arial" w:hAnsi="Arial"/>
          <w:i/>
          <w:spacing w:val="38"/>
          <w:sz w:val="20"/>
        </w:rPr>
        <w:t> </w:t>
      </w:r>
      <w:r>
        <w:rPr>
          <w:rFonts w:ascii="Arial" w:hAnsi="Arial"/>
          <w:i/>
          <w:sz w:val="20"/>
        </w:rPr>
        <w:t>3</w:t>
      </w:r>
      <w:r>
        <w:rPr>
          <w:rFonts w:ascii="Arial" w:hAnsi="Arial"/>
          <w:i/>
          <w:spacing w:val="38"/>
          <w:sz w:val="20"/>
        </w:rPr>
        <w:t> </w:t>
      </w:r>
      <w:r>
        <w:rPr>
          <w:rFonts w:ascii="Arial" w:hAnsi="Arial"/>
          <w:i/>
          <w:sz w:val="20"/>
        </w:rPr>
        <w:t>All</w:t>
      </w:r>
      <w:r>
        <w:rPr>
          <w:rFonts w:ascii="Arial" w:hAnsi="Arial"/>
          <w:i/>
          <w:spacing w:val="38"/>
          <w:sz w:val="20"/>
        </w:rPr>
        <w:t> </w:t>
      </w:r>
      <w:r>
        <w:rPr>
          <w:rFonts w:ascii="Arial" w:hAnsi="Arial"/>
          <w:i/>
          <w:sz w:val="20"/>
        </w:rPr>
        <w:t>E.R.</w:t>
      </w:r>
      <w:r>
        <w:rPr>
          <w:rFonts w:ascii="Arial" w:hAnsi="Arial"/>
          <w:i/>
          <w:spacing w:val="38"/>
          <w:sz w:val="20"/>
        </w:rPr>
        <w:t> </w:t>
      </w:r>
      <w:r>
        <w:rPr>
          <w:rFonts w:ascii="Arial" w:hAnsi="Arial"/>
          <w:i/>
          <w:sz w:val="20"/>
        </w:rPr>
        <w:t>357</w:t>
      </w:r>
      <w:r>
        <w:rPr>
          <w:sz w:val="20"/>
        </w:rPr>
        <w:t>;</w:t>
      </w:r>
      <w:r>
        <w:rPr>
          <w:spacing w:val="38"/>
          <w:sz w:val="20"/>
        </w:rPr>
        <w:t> </w:t>
      </w:r>
      <w:r>
        <w:rPr>
          <w:rFonts w:ascii="Arial" w:hAnsi="Arial"/>
          <w:i/>
          <w:spacing w:val="-5"/>
          <w:sz w:val="20"/>
        </w:rPr>
        <w:t>Re</w:t>
      </w:r>
    </w:p>
    <w:p>
      <w:pPr>
        <w:pStyle w:val="BodyText"/>
        <w:spacing w:line="235" w:lineRule="auto" w:before="1"/>
        <w:ind w:left="705" w:right="167"/>
        <w:jc w:val="both"/>
      </w:pPr>
      <w:r>
        <w:rPr>
          <w:rFonts w:ascii="Arial" w:hAnsi="Arial"/>
          <w:i/>
        </w:rPr>
        <w:t>Stapleton-Bretherton [1941] Ch. 482</w:t>
      </w:r>
      <w:r>
        <w:rPr/>
        <w:t>; </w:t>
      </w:r>
      <w:r>
        <w:rPr>
          <w:rFonts w:ascii="Arial" w:hAnsi="Arial"/>
          <w:i/>
        </w:rPr>
        <w:t>Green v Russell [1959] 1 Q.B. 28</w:t>
      </w:r>
      <w:r>
        <w:rPr/>
        <w:t>; </w:t>
      </w:r>
      <w:r>
        <w:rPr>
          <w:rFonts w:ascii="Arial" w:hAnsi="Arial"/>
          <w:i/>
        </w:rPr>
        <w:t>Re Cook’s </w:t>
      </w:r>
      <w:r>
        <w:rPr>
          <w:rFonts w:ascii="Arial" w:hAnsi="Arial"/>
          <w:i/>
        </w:rPr>
        <w:t>Settlement Trusts [1965] Ch. 902</w:t>
      </w:r>
      <w:r>
        <w:rPr/>
        <w:t>. Under the Contracts (Rights of Third Parties) Act 1999, s.1(1)(b) and (2) it will suffice for the term to purport to confer a benefit on the third party, so long as it is not shown that the contracting parties did not intend the term to be enforceable by the third party. For the reasons given in para.18-002 above and para.18-121 below, however, it may be in the third party’s interest to establish an intention to create a trust, so that he can rely on the trust exception rather than on the 1999 Act.</w:t>
      </w:r>
    </w:p>
    <w:p>
      <w:pPr>
        <w:pStyle w:val="BodyText"/>
        <w:spacing w:before="7"/>
      </w:pPr>
    </w:p>
    <w:p>
      <w:pPr>
        <w:tabs>
          <w:tab w:pos="705" w:val="left" w:leader="none"/>
        </w:tabs>
        <w:spacing w:line="235" w:lineRule="auto" w:before="0"/>
        <w:ind w:left="705" w:right="168" w:hanging="541"/>
        <w:jc w:val="left"/>
        <w:rPr>
          <w:sz w:val="20"/>
        </w:rPr>
      </w:pPr>
      <w:bookmarkStart w:name="_bookmark1065" w:id="1067"/>
      <w:bookmarkEnd w:id="1067"/>
      <w:r>
        <w:rPr/>
      </w:r>
      <w:hyperlink w:history="true" w:anchor="_bookmark1010">
        <w:r>
          <w:rPr>
            <w:color w:val="005DA1"/>
            <w:spacing w:val="-4"/>
            <w:position w:val="5"/>
            <w:sz w:val="14"/>
            <w:u w:val="single" w:color="005DA1"/>
          </w:rPr>
          <w:t>544</w:t>
        </w:r>
      </w:hyperlink>
      <w:r>
        <w:rPr>
          <w:spacing w:val="-4"/>
          <w:position w:val="5"/>
          <w:sz w:val="14"/>
        </w:rPr>
        <w:t>.</w:t>
      </w:r>
      <w:r>
        <w:rPr>
          <w:position w:val="5"/>
          <w:sz w:val="14"/>
        </w:rPr>
        <w:tab/>
      </w:r>
      <w:r>
        <w:rPr>
          <w:sz w:val="20"/>
        </w:rPr>
        <w:t>See</w:t>
      </w:r>
      <w:r>
        <w:rPr>
          <w:spacing w:val="40"/>
          <w:sz w:val="20"/>
        </w:rPr>
        <w:t> </w:t>
      </w:r>
      <w:r>
        <w:rPr>
          <w:rFonts w:ascii="Arial"/>
          <w:i/>
          <w:sz w:val="20"/>
        </w:rPr>
        <w:t>Re</w:t>
      </w:r>
      <w:r>
        <w:rPr>
          <w:rFonts w:ascii="Arial"/>
          <w:i/>
          <w:spacing w:val="40"/>
          <w:sz w:val="20"/>
        </w:rPr>
        <w:t> </w:t>
      </w:r>
      <w:r>
        <w:rPr>
          <w:rFonts w:ascii="Arial"/>
          <w:i/>
          <w:sz w:val="20"/>
        </w:rPr>
        <w:t>Independent</w:t>
      </w:r>
      <w:r>
        <w:rPr>
          <w:rFonts w:ascii="Arial"/>
          <w:i/>
          <w:spacing w:val="40"/>
          <w:sz w:val="20"/>
        </w:rPr>
        <w:t> </w:t>
      </w:r>
      <w:r>
        <w:rPr>
          <w:rFonts w:ascii="Arial"/>
          <w:i/>
          <w:sz w:val="20"/>
        </w:rPr>
        <w:t>Air</w:t>
      </w:r>
      <w:r>
        <w:rPr>
          <w:rFonts w:ascii="Arial"/>
          <w:i/>
          <w:spacing w:val="40"/>
          <w:sz w:val="20"/>
        </w:rPr>
        <w:t> </w:t>
      </w:r>
      <w:r>
        <w:rPr>
          <w:rFonts w:ascii="Arial"/>
          <w:i/>
          <w:sz w:val="20"/>
        </w:rPr>
        <w:t>Travel</w:t>
      </w:r>
      <w:r>
        <w:rPr>
          <w:rFonts w:ascii="Arial"/>
          <w:i/>
          <w:spacing w:val="40"/>
          <w:sz w:val="20"/>
        </w:rPr>
        <w:t> </w:t>
      </w:r>
      <w:r>
        <w:rPr>
          <w:rFonts w:ascii="Arial"/>
          <w:i/>
          <w:sz w:val="20"/>
        </w:rPr>
        <w:t>Ltd,</w:t>
      </w:r>
      <w:r>
        <w:rPr>
          <w:rFonts w:ascii="Arial"/>
          <w:i/>
          <w:spacing w:val="40"/>
          <w:sz w:val="20"/>
        </w:rPr>
        <w:t> </w:t>
      </w:r>
      <w:r>
        <w:rPr>
          <w:rFonts w:ascii="Arial"/>
          <w:i/>
          <w:sz w:val="20"/>
        </w:rPr>
        <w:t>The</w:t>
      </w:r>
      <w:r>
        <w:rPr>
          <w:rFonts w:ascii="Arial"/>
          <w:i/>
          <w:spacing w:val="40"/>
          <w:sz w:val="20"/>
        </w:rPr>
        <w:t> </w:t>
      </w:r>
      <w:r>
        <w:rPr>
          <w:rFonts w:ascii="Arial"/>
          <w:i/>
          <w:sz w:val="20"/>
        </w:rPr>
        <w:t>Times,</w:t>
      </w:r>
      <w:r>
        <w:rPr>
          <w:rFonts w:ascii="Arial"/>
          <w:i/>
          <w:spacing w:val="40"/>
          <w:sz w:val="20"/>
        </w:rPr>
        <w:t> </w:t>
      </w:r>
      <w:r>
        <w:rPr>
          <w:rFonts w:ascii="Arial"/>
          <w:i/>
          <w:sz w:val="20"/>
        </w:rPr>
        <w:t>May</w:t>
      </w:r>
      <w:r>
        <w:rPr>
          <w:rFonts w:ascii="Arial"/>
          <w:i/>
          <w:spacing w:val="40"/>
          <w:sz w:val="20"/>
        </w:rPr>
        <w:t> </w:t>
      </w:r>
      <w:r>
        <w:rPr>
          <w:rFonts w:ascii="Arial"/>
          <w:i/>
          <w:sz w:val="20"/>
        </w:rPr>
        <w:t>20,</w:t>
      </w:r>
      <w:r>
        <w:rPr>
          <w:rFonts w:ascii="Arial"/>
          <w:i/>
          <w:spacing w:val="40"/>
          <w:sz w:val="20"/>
        </w:rPr>
        <w:t> </w:t>
      </w:r>
      <w:r>
        <w:rPr>
          <w:rFonts w:ascii="Arial"/>
          <w:i/>
          <w:sz w:val="20"/>
        </w:rPr>
        <w:t>1961</w:t>
      </w:r>
      <w:r>
        <w:rPr>
          <w:sz w:val="20"/>
        </w:rPr>
        <w:t>,</w:t>
      </w:r>
      <w:r>
        <w:rPr>
          <w:spacing w:val="40"/>
          <w:sz w:val="20"/>
        </w:rPr>
        <w:t> </w:t>
      </w:r>
      <w:r>
        <w:rPr>
          <w:sz w:val="20"/>
        </w:rPr>
        <w:t>where</w:t>
      </w:r>
      <w:r>
        <w:rPr>
          <w:spacing w:val="40"/>
          <w:sz w:val="20"/>
        </w:rPr>
        <w:t> </w:t>
      </w:r>
      <w:r>
        <w:rPr>
          <w:sz w:val="20"/>
        </w:rPr>
        <w:t>counsel,</w:t>
      </w:r>
      <w:r>
        <w:rPr>
          <w:spacing w:val="40"/>
          <w:sz w:val="20"/>
        </w:rPr>
        <w:t> </w:t>
      </w:r>
      <w:r>
        <w:rPr>
          <w:sz w:val="20"/>
        </w:rPr>
        <w:t>with</w:t>
      </w:r>
      <w:r>
        <w:rPr>
          <w:spacing w:val="40"/>
          <w:sz w:val="20"/>
        </w:rPr>
        <w:t> </w:t>
      </w:r>
      <w:r>
        <w:rPr>
          <w:sz w:val="20"/>
        </w:rPr>
        <w:t>the</w:t>
      </w:r>
      <w:r>
        <w:rPr>
          <w:spacing w:val="40"/>
          <w:sz w:val="20"/>
        </w:rPr>
        <w:t> </w:t>
      </w:r>
      <w:r>
        <w:rPr>
          <w:sz w:val="20"/>
        </w:rPr>
        <w:t>approval of the court, conceded this point.</w:t>
      </w:r>
    </w:p>
    <w:p>
      <w:pPr>
        <w:pStyle w:val="BodyText"/>
        <w:spacing w:before="6"/>
      </w:pPr>
    </w:p>
    <w:p>
      <w:pPr>
        <w:tabs>
          <w:tab w:pos="705" w:val="left" w:leader="none"/>
        </w:tabs>
        <w:spacing w:before="0"/>
        <w:ind w:left="165" w:right="0" w:firstLine="0"/>
        <w:jc w:val="left"/>
        <w:rPr>
          <w:sz w:val="20"/>
        </w:rPr>
      </w:pPr>
      <w:bookmarkStart w:name="_bookmark1066" w:id="1068"/>
      <w:bookmarkEnd w:id="1068"/>
      <w:r>
        <w:rPr/>
      </w:r>
      <w:hyperlink w:history="true" w:anchor="_bookmark1010">
        <w:r>
          <w:rPr>
            <w:color w:val="005DA1"/>
            <w:spacing w:val="-4"/>
            <w:position w:val="5"/>
            <w:sz w:val="14"/>
            <w:u w:val="single" w:color="005DA1"/>
          </w:rPr>
          <w:t>545</w:t>
        </w:r>
      </w:hyperlink>
      <w:r>
        <w:rPr>
          <w:spacing w:val="-4"/>
          <w:position w:val="5"/>
          <w:sz w:val="14"/>
        </w:rPr>
        <w:t>.</w:t>
      </w:r>
      <w:r>
        <w:rPr>
          <w:position w:val="5"/>
          <w:sz w:val="14"/>
        </w:rPr>
        <w:tab/>
      </w:r>
      <w:r>
        <w:rPr>
          <w:rFonts w:ascii="Arial"/>
          <w:i/>
          <w:sz w:val="20"/>
        </w:rPr>
        <w:t>Harmer v Armstrong [1934] Ch. </w:t>
      </w:r>
      <w:r>
        <w:rPr>
          <w:rFonts w:ascii="Arial"/>
          <w:i/>
          <w:spacing w:val="-5"/>
          <w:sz w:val="20"/>
        </w:rPr>
        <w:t>65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067" w:id="1069"/>
      <w:bookmarkEnd w:id="1069"/>
      <w:r>
        <w:rPr/>
      </w:r>
      <w:hyperlink w:history="true" w:anchor="_bookmark1011">
        <w:r>
          <w:rPr>
            <w:color w:val="005DA1"/>
            <w:spacing w:val="-4"/>
            <w:position w:val="5"/>
            <w:sz w:val="14"/>
            <w:u w:val="single" w:color="005DA1"/>
          </w:rPr>
          <w:t>546</w:t>
        </w:r>
      </w:hyperlink>
      <w:r>
        <w:rPr>
          <w:spacing w:val="-4"/>
          <w:position w:val="5"/>
          <w:sz w:val="14"/>
        </w:rPr>
        <w:t>.</w:t>
      </w:r>
      <w:r>
        <w:rPr>
          <w:position w:val="5"/>
          <w:sz w:val="14"/>
        </w:rPr>
        <w:tab/>
      </w:r>
      <w:r>
        <w:rPr>
          <w:rFonts w:ascii="Arial"/>
          <w:i/>
          <w:sz w:val="20"/>
        </w:rPr>
        <w:t>Swain</w:t>
      </w:r>
      <w:r>
        <w:rPr>
          <w:rFonts w:ascii="Arial"/>
          <w:i/>
          <w:spacing w:val="-1"/>
          <w:sz w:val="20"/>
        </w:rPr>
        <w:t> </w:t>
      </w:r>
      <w:r>
        <w:rPr>
          <w:rFonts w:ascii="Arial"/>
          <w:i/>
          <w:sz w:val="20"/>
        </w:rPr>
        <w:t>v Law Society [1983] 1 A.C. 598</w:t>
      </w:r>
      <w:r>
        <w:rPr>
          <w:sz w:val="20"/>
        </w:rPr>
        <w:t>, esp. at </w:t>
      </w:r>
      <w:r>
        <w:rPr>
          <w:spacing w:val="-4"/>
          <w:sz w:val="20"/>
        </w:rPr>
        <w:t>621.</w:t>
      </w:r>
    </w:p>
    <w:p>
      <w:pPr>
        <w:pStyle w:val="BodyText"/>
        <w:spacing w:before="8"/>
      </w:pPr>
    </w:p>
    <w:p>
      <w:pPr>
        <w:spacing w:line="235" w:lineRule="auto" w:before="1"/>
        <w:ind w:left="705" w:right="167" w:hanging="541"/>
        <w:jc w:val="both"/>
        <w:rPr>
          <w:sz w:val="20"/>
        </w:rPr>
      </w:pPr>
      <w:bookmarkStart w:name="_bookmark1068" w:id="1070"/>
      <w:bookmarkEnd w:id="1070"/>
      <w:r>
        <w:rPr/>
      </w:r>
      <w:hyperlink w:history="true" w:anchor="_bookmark1012">
        <w:r>
          <w:rPr>
            <w:color w:val="005DA1"/>
            <w:position w:val="5"/>
            <w:sz w:val="14"/>
            <w:u w:val="single" w:color="005DA1"/>
          </w:rPr>
          <w:t>547</w:t>
        </w:r>
      </w:hyperlink>
      <w:r>
        <w:rPr>
          <w:position w:val="5"/>
          <w:sz w:val="14"/>
        </w:rPr>
        <w:t>.</w:t>
      </w:r>
      <w:r>
        <w:rPr>
          <w:spacing w:val="40"/>
          <w:position w:val="5"/>
          <w:sz w:val="14"/>
        </w:rPr>
        <w:t>  </w:t>
      </w:r>
      <w:r>
        <w:rPr>
          <w:sz w:val="20"/>
        </w:rPr>
        <w:t>But where a trustee engages a professional adviser for the purpose of administering the trust, </w:t>
      </w:r>
      <w:r>
        <w:rPr>
          <w:sz w:val="20"/>
        </w:rPr>
        <w:t>a claim for negligence against that adviser cannot be brought by the beneficiary since such a claim is not part of the trust property (though any damages recovered by the trustee would be): </w:t>
      </w:r>
      <w:r>
        <w:rPr>
          <w:rFonts w:ascii="Arial"/>
          <w:i/>
          <w:sz w:val="20"/>
        </w:rPr>
        <w:t>Bradstock Trustee Services Ltd v Nabarro Nathanson [1995] 1 W.L.R. 1405</w:t>
      </w:r>
      <w:r>
        <w:rPr>
          <w:sz w:val="20"/>
        </w:rPr>
        <w:t>.</w:t>
      </w:r>
    </w:p>
    <w:p>
      <w:pPr>
        <w:pStyle w:val="BodyText"/>
        <w:spacing w:before="8"/>
      </w:pPr>
    </w:p>
    <w:p>
      <w:pPr>
        <w:spacing w:line="235" w:lineRule="auto" w:before="0"/>
        <w:ind w:left="705" w:right="167" w:hanging="541"/>
        <w:jc w:val="both"/>
        <w:rPr>
          <w:sz w:val="20"/>
        </w:rPr>
      </w:pPr>
      <w:bookmarkStart w:name="_bookmark1069" w:id="1071"/>
      <w:bookmarkEnd w:id="1071"/>
      <w:r>
        <w:rPr/>
      </w:r>
      <w:hyperlink w:history="true" w:anchor="_bookmark1012">
        <w:r>
          <w:rPr>
            <w:color w:val="005DA1"/>
            <w:position w:val="5"/>
            <w:sz w:val="14"/>
            <w:u w:val="single" w:color="005DA1"/>
          </w:rPr>
          <w:t>548</w:t>
        </w:r>
      </w:hyperlink>
      <w:r>
        <w:rPr>
          <w:position w:val="5"/>
          <w:sz w:val="14"/>
        </w:rPr>
        <w:t>.</w:t>
      </w:r>
      <w:r>
        <w:rPr>
          <w:spacing w:val="80"/>
          <w:position w:val="5"/>
          <w:sz w:val="14"/>
        </w:rPr>
        <w:t>  </w:t>
      </w:r>
      <w:r>
        <w:rPr>
          <w:sz w:val="20"/>
        </w:rPr>
        <w:t>cf.</w:t>
      </w:r>
      <w:r>
        <w:rPr>
          <w:spacing w:val="-1"/>
          <w:sz w:val="20"/>
        </w:rPr>
        <w:t> </w:t>
      </w:r>
      <w:r>
        <w:rPr>
          <w:rFonts w:ascii="Arial" w:hAnsi="Arial"/>
          <w:i/>
          <w:sz w:val="20"/>
        </w:rPr>
        <w:t>Performing</w:t>
      </w:r>
      <w:r>
        <w:rPr>
          <w:rFonts w:ascii="Arial" w:hAnsi="Arial"/>
          <w:i/>
          <w:spacing w:val="-2"/>
          <w:sz w:val="20"/>
        </w:rPr>
        <w:t> </w:t>
      </w:r>
      <w:r>
        <w:rPr>
          <w:rFonts w:ascii="Arial" w:hAnsi="Arial"/>
          <w:i/>
          <w:sz w:val="20"/>
        </w:rPr>
        <w:t>Right</w:t>
      </w:r>
      <w:r>
        <w:rPr>
          <w:rFonts w:ascii="Arial" w:hAnsi="Arial"/>
          <w:i/>
          <w:spacing w:val="-2"/>
          <w:sz w:val="20"/>
        </w:rPr>
        <w:t> </w:t>
      </w:r>
      <w:r>
        <w:rPr>
          <w:rFonts w:ascii="Arial" w:hAnsi="Arial"/>
          <w:i/>
          <w:sz w:val="20"/>
        </w:rPr>
        <w:t>Society</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London</w:t>
      </w:r>
      <w:r>
        <w:rPr>
          <w:rFonts w:ascii="Arial" w:hAnsi="Arial"/>
          <w:i/>
          <w:spacing w:val="-2"/>
          <w:sz w:val="20"/>
        </w:rPr>
        <w:t> </w:t>
      </w:r>
      <w:r>
        <w:rPr>
          <w:rFonts w:ascii="Arial" w:hAnsi="Arial"/>
          <w:i/>
          <w:sz w:val="20"/>
        </w:rPr>
        <w:t>Theatre</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Varieties</w:t>
      </w:r>
      <w:r>
        <w:rPr>
          <w:rFonts w:ascii="Arial" w:hAnsi="Arial"/>
          <w:i/>
          <w:spacing w:val="-2"/>
          <w:sz w:val="20"/>
        </w:rPr>
        <w:t> </w:t>
      </w:r>
      <w:r>
        <w:rPr>
          <w:rFonts w:ascii="Arial" w:hAnsi="Arial"/>
          <w:i/>
          <w:sz w:val="20"/>
        </w:rPr>
        <w:t>[1924]</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1</w:t>
      </w:r>
      <w:r>
        <w:rPr>
          <w:sz w:val="20"/>
        </w:rPr>
        <w:t>;</w:t>
      </w:r>
      <w:r>
        <w:rPr>
          <w:spacing w:val="-1"/>
          <w:sz w:val="20"/>
        </w:rPr>
        <w:t> </w:t>
      </w:r>
      <w:r>
        <w:rPr>
          <w:rFonts w:ascii="Arial" w:hAnsi="Arial"/>
          <w:i/>
          <w:sz w:val="20"/>
        </w:rPr>
        <w:t>Howard</w:t>
      </w:r>
      <w:r>
        <w:rPr>
          <w:rFonts w:ascii="Arial" w:hAnsi="Arial"/>
          <w:i/>
          <w:spacing w:val="-2"/>
          <w:sz w:val="20"/>
        </w:rPr>
        <w:t> </w:t>
      </w:r>
      <w:r>
        <w:rPr>
          <w:rFonts w:ascii="Arial" w:hAnsi="Arial"/>
          <w:i/>
          <w:sz w:val="20"/>
        </w:rPr>
        <w:t>Houlder</w:t>
      </w:r>
      <w:r>
        <w:rPr>
          <w:rFonts w:ascii="Arial" w:hAnsi="Arial"/>
          <w:i/>
          <w:spacing w:val="-2"/>
          <w:sz w:val="20"/>
        </w:rPr>
        <w:t> </w:t>
      </w:r>
      <w:r>
        <w:rPr>
          <w:rFonts w:ascii="Arial" w:hAnsi="Arial"/>
          <w:i/>
          <w:sz w:val="20"/>
        </w:rPr>
        <w:t>&amp; Partners v Marine General Transporters Co (The Panaghia P) [1983] 2 Lloyd’s Rep. 653, 655</w:t>
      </w:r>
      <w:r>
        <w:rPr>
          <w:sz w:val="20"/>
        </w:rPr>
        <w:t>; </w:t>
      </w:r>
      <w:r>
        <w:rPr>
          <w:rFonts w:ascii="Arial" w:hAnsi="Arial"/>
          <w:i/>
          <w:sz w:val="20"/>
        </w:rPr>
        <w:t>Atlas Shipping Agency (UK) Ltd v Suisse Atlantique Société d’ Armement Maritime SA [1995] 2 Lloyd’s Rep. 188, 193</w:t>
      </w:r>
      <w:r>
        <w:rPr>
          <w:sz w:val="20"/>
        </w:rPr>
        <w:t>; </w:t>
      </w:r>
      <w:r>
        <w:rPr>
          <w:rFonts w:ascii="Arial" w:hAnsi="Arial"/>
          <w:i/>
          <w:sz w:val="20"/>
        </w:rPr>
        <w:t>Barbados Trust Co Ltd v Bank of Zambia [2007] EWCA Civ 148, [2007]</w:t>
      </w:r>
      <w:r>
        <w:rPr>
          <w:rFonts w:ascii="Arial" w:hAnsi="Arial"/>
          <w:i/>
          <w:spacing w:val="40"/>
          <w:sz w:val="20"/>
        </w:rPr>
        <w:t> </w:t>
      </w:r>
      <w:r>
        <w:rPr>
          <w:rFonts w:ascii="Arial" w:hAnsi="Arial"/>
          <w:i/>
          <w:sz w:val="20"/>
        </w:rPr>
        <w:t>1 Lloyd’s Rep. 495 </w:t>
      </w:r>
      <w:r>
        <w:rPr>
          <w:sz w:val="20"/>
        </w:rPr>
        <w:t>at [102].</w:t>
      </w:r>
    </w:p>
    <w:p>
      <w:pPr>
        <w:pStyle w:val="BodyText"/>
        <w:spacing w:before="8"/>
      </w:pPr>
    </w:p>
    <w:p>
      <w:pPr>
        <w:tabs>
          <w:tab w:pos="705" w:val="left" w:leader="none"/>
        </w:tabs>
        <w:spacing w:line="235" w:lineRule="auto" w:before="0"/>
        <w:ind w:left="705" w:right="168" w:hanging="541"/>
        <w:jc w:val="left"/>
        <w:rPr>
          <w:sz w:val="20"/>
        </w:rPr>
      </w:pPr>
      <w:bookmarkStart w:name="_bookmark1070" w:id="1072"/>
      <w:bookmarkEnd w:id="1072"/>
      <w:r>
        <w:rPr/>
      </w:r>
      <w:hyperlink w:history="true" w:anchor="_bookmark1013">
        <w:r>
          <w:rPr>
            <w:color w:val="005DA1"/>
            <w:spacing w:val="-4"/>
            <w:position w:val="5"/>
            <w:sz w:val="14"/>
            <w:u w:val="single" w:color="005DA1"/>
          </w:rPr>
          <w:t>549</w:t>
        </w:r>
      </w:hyperlink>
      <w:r>
        <w:rPr>
          <w:spacing w:val="-4"/>
          <w:position w:val="5"/>
          <w:sz w:val="14"/>
        </w:rPr>
        <w:t>.</w:t>
      </w:r>
      <w:r>
        <w:rPr>
          <w:position w:val="5"/>
          <w:sz w:val="14"/>
        </w:rPr>
        <w:tab/>
      </w:r>
      <w:r>
        <w:rPr>
          <w:sz w:val="20"/>
        </w:rPr>
        <w:t>As</w:t>
      </w:r>
      <w:r>
        <w:rPr>
          <w:spacing w:val="40"/>
          <w:sz w:val="20"/>
        </w:rPr>
        <w:t> </w:t>
      </w:r>
      <w:r>
        <w:rPr>
          <w:sz w:val="20"/>
        </w:rPr>
        <w:t>in</w:t>
      </w:r>
      <w:r>
        <w:rPr>
          <w:spacing w:val="40"/>
          <w:sz w:val="20"/>
        </w:rPr>
        <w:t> </w:t>
      </w:r>
      <w:r>
        <w:rPr>
          <w:rFonts w:ascii="Arial" w:hAnsi="Arial"/>
          <w:i/>
          <w:sz w:val="20"/>
        </w:rPr>
        <w:t>Les</w:t>
      </w:r>
      <w:r>
        <w:rPr>
          <w:rFonts w:ascii="Arial" w:hAnsi="Arial"/>
          <w:i/>
          <w:spacing w:val="40"/>
          <w:sz w:val="20"/>
        </w:rPr>
        <w:t> </w:t>
      </w:r>
      <w:r>
        <w:rPr>
          <w:rFonts w:ascii="Arial" w:hAnsi="Arial"/>
          <w:i/>
          <w:sz w:val="20"/>
        </w:rPr>
        <w:t>Affréteurs</w:t>
      </w:r>
      <w:r>
        <w:rPr>
          <w:rFonts w:ascii="Arial" w:hAnsi="Arial"/>
          <w:i/>
          <w:spacing w:val="40"/>
          <w:sz w:val="20"/>
        </w:rPr>
        <w:t> </w:t>
      </w:r>
      <w:r>
        <w:rPr>
          <w:rFonts w:ascii="Arial" w:hAnsi="Arial"/>
          <w:i/>
          <w:sz w:val="20"/>
        </w:rPr>
        <w:t>Réunis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Leopold</w:t>
      </w:r>
      <w:r>
        <w:rPr>
          <w:rFonts w:ascii="Arial" w:hAnsi="Arial"/>
          <w:i/>
          <w:spacing w:val="40"/>
          <w:sz w:val="20"/>
        </w:rPr>
        <w:t> </w:t>
      </w:r>
      <w:r>
        <w:rPr>
          <w:rFonts w:ascii="Arial" w:hAnsi="Arial"/>
          <w:i/>
          <w:sz w:val="20"/>
        </w:rPr>
        <w:t>Walford</w:t>
      </w:r>
      <w:r>
        <w:rPr>
          <w:rFonts w:ascii="Arial" w:hAnsi="Arial"/>
          <w:i/>
          <w:spacing w:val="40"/>
          <w:sz w:val="20"/>
        </w:rPr>
        <w:t> </w:t>
      </w:r>
      <w:r>
        <w:rPr>
          <w:rFonts w:ascii="Arial" w:hAnsi="Arial"/>
          <w:i/>
          <w:sz w:val="20"/>
        </w:rPr>
        <w:t>(London)</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[1919]</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801</w:t>
      </w:r>
      <w:r>
        <w:rPr>
          <w:sz w:val="20"/>
        </w:rPr>
        <w:t>;</w:t>
      </w:r>
      <w:r>
        <w:rPr>
          <w:spacing w:val="40"/>
          <w:sz w:val="20"/>
        </w:rPr>
        <w:t> </w:t>
      </w:r>
      <w:r>
        <w:rPr>
          <w:sz w:val="20"/>
        </w:rPr>
        <w:t>cf.</w:t>
      </w:r>
      <w:r>
        <w:rPr>
          <w:spacing w:val="40"/>
          <w:sz w:val="20"/>
        </w:rPr>
        <w:t> </w:t>
      </w:r>
      <w:r>
        <w:rPr>
          <w:rFonts w:ascii="Arial" w:hAnsi="Arial"/>
          <w:i/>
          <w:sz w:val="20"/>
        </w:rPr>
        <w:t>William Brandt’s Sons &amp; Co v Dunlop Rubber Co [1905] A.C. 454</w:t>
      </w:r>
      <w:r>
        <w:rPr>
          <w:sz w:val="20"/>
        </w:rPr>
        <w:t>.</w:t>
      </w:r>
    </w:p>
    <w:p>
      <w:pPr>
        <w:pStyle w:val="BodyText"/>
        <w:spacing w:before="6"/>
      </w:pPr>
    </w:p>
    <w:p>
      <w:pPr>
        <w:pStyle w:val="BodyText"/>
        <w:tabs>
          <w:tab w:pos="705" w:val="left" w:leader="none"/>
        </w:tabs>
        <w:ind w:left="165"/>
      </w:pPr>
      <w:bookmarkStart w:name="_bookmark1071" w:id="1073"/>
      <w:bookmarkEnd w:id="1073"/>
      <w:r>
        <w:rPr/>
      </w:r>
      <w:hyperlink w:history="true" w:anchor="_bookmark1014">
        <w:r>
          <w:rPr>
            <w:color w:val="005DA1"/>
            <w:spacing w:val="-4"/>
            <w:position w:val="5"/>
            <w:sz w:val="14"/>
            <w:u w:val="single" w:color="005DA1"/>
          </w:rPr>
          <w:t>550</w:t>
        </w:r>
      </w:hyperlink>
      <w:r>
        <w:rPr>
          <w:spacing w:val="-4"/>
          <w:position w:val="5"/>
          <w:sz w:val="14"/>
        </w:rPr>
        <w:t>.</w:t>
      </w:r>
      <w:r>
        <w:rPr>
          <w:position w:val="5"/>
          <w:sz w:val="14"/>
        </w:rPr>
        <w:tab/>
      </w:r>
      <w:r>
        <w:rPr/>
        <w:t>i.e. subject to the exceptions stated in para.18-086, </w:t>
      </w:r>
      <w:r>
        <w:rPr>
          <w:spacing w:val="-2"/>
        </w:rPr>
        <w:t>below.</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72" w:id="1074"/>
      <w:bookmarkEnd w:id="1074"/>
      <w:r>
        <w:rPr/>
      </w:r>
      <w:hyperlink w:history="true" w:anchor="_bookmark1015">
        <w:r>
          <w:rPr>
            <w:color w:val="005DA1"/>
            <w:spacing w:val="-4"/>
            <w:position w:val="5"/>
            <w:sz w:val="14"/>
            <w:u w:val="single" w:color="005DA1"/>
          </w:rPr>
          <w:t>551</w:t>
        </w:r>
      </w:hyperlink>
      <w:r>
        <w:rPr>
          <w:spacing w:val="-4"/>
          <w:position w:val="5"/>
          <w:sz w:val="14"/>
        </w:rPr>
        <w:t>.</w:t>
      </w:r>
      <w:r>
        <w:rPr>
          <w:position w:val="5"/>
          <w:sz w:val="14"/>
        </w:rPr>
        <w:tab/>
      </w:r>
      <w:r>
        <w:rPr>
          <w:rFonts w:ascii="Arial"/>
          <w:i/>
          <w:sz w:val="20"/>
        </w:rPr>
        <w:t>Re</w:t>
      </w:r>
      <w:r>
        <w:rPr>
          <w:rFonts w:ascii="Arial"/>
          <w:i/>
          <w:spacing w:val="36"/>
          <w:sz w:val="20"/>
        </w:rPr>
        <w:t> </w:t>
      </w:r>
      <w:r>
        <w:rPr>
          <w:rFonts w:ascii="Arial"/>
          <w:i/>
          <w:sz w:val="20"/>
        </w:rPr>
        <w:t>Flavell</w:t>
      </w:r>
      <w:r>
        <w:rPr>
          <w:rFonts w:ascii="Arial"/>
          <w:i/>
          <w:spacing w:val="39"/>
          <w:sz w:val="20"/>
        </w:rPr>
        <w:t> </w:t>
      </w:r>
      <w:r>
        <w:rPr>
          <w:rFonts w:ascii="Arial"/>
          <w:i/>
          <w:sz w:val="20"/>
        </w:rPr>
        <w:t>(1883)</w:t>
      </w:r>
      <w:r>
        <w:rPr>
          <w:rFonts w:ascii="Arial"/>
          <w:i/>
          <w:spacing w:val="39"/>
          <w:sz w:val="20"/>
        </w:rPr>
        <w:t> </w:t>
      </w:r>
      <w:r>
        <w:rPr>
          <w:rFonts w:ascii="Arial"/>
          <w:i/>
          <w:sz w:val="20"/>
        </w:rPr>
        <w:t>25</w:t>
      </w:r>
      <w:r>
        <w:rPr>
          <w:rFonts w:ascii="Arial"/>
          <w:i/>
          <w:spacing w:val="39"/>
          <w:sz w:val="20"/>
        </w:rPr>
        <w:t> </w:t>
      </w:r>
      <w:r>
        <w:rPr>
          <w:rFonts w:ascii="Arial"/>
          <w:i/>
          <w:sz w:val="20"/>
        </w:rPr>
        <w:t>Ch.D.</w:t>
      </w:r>
      <w:r>
        <w:rPr>
          <w:rFonts w:ascii="Arial"/>
          <w:i/>
          <w:spacing w:val="39"/>
          <w:sz w:val="20"/>
        </w:rPr>
        <w:t> </w:t>
      </w:r>
      <w:r>
        <w:rPr>
          <w:rFonts w:ascii="Arial"/>
          <w:i/>
          <w:sz w:val="20"/>
        </w:rPr>
        <w:t>89</w:t>
      </w:r>
      <w:r>
        <w:rPr>
          <w:sz w:val="20"/>
        </w:rPr>
        <w:t>;</w:t>
      </w:r>
      <w:r>
        <w:rPr>
          <w:spacing w:val="39"/>
          <w:sz w:val="20"/>
        </w:rPr>
        <w:t> </w:t>
      </w:r>
      <w:r>
        <w:rPr>
          <w:rFonts w:ascii="Arial"/>
          <w:i/>
          <w:sz w:val="20"/>
        </w:rPr>
        <w:t>Re</w:t>
      </w:r>
      <w:r>
        <w:rPr>
          <w:rFonts w:ascii="Arial"/>
          <w:i/>
          <w:spacing w:val="39"/>
          <w:sz w:val="20"/>
        </w:rPr>
        <w:t> </w:t>
      </w:r>
      <w:r>
        <w:rPr>
          <w:rFonts w:ascii="Arial"/>
          <w:i/>
          <w:sz w:val="20"/>
        </w:rPr>
        <w:t>Gordon</w:t>
      </w:r>
      <w:r>
        <w:rPr>
          <w:rFonts w:ascii="Arial"/>
          <w:i/>
          <w:spacing w:val="39"/>
          <w:sz w:val="20"/>
        </w:rPr>
        <w:t> </w:t>
      </w:r>
      <w:r>
        <w:rPr>
          <w:rFonts w:ascii="Arial"/>
          <w:i/>
          <w:sz w:val="20"/>
        </w:rPr>
        <w:t>[1940]</w:t>
      </w:r>
      <w:r>
        <w:rPr>
          <w:rFonts w:ascii="Arial"/>
          <w:i/>
          <w:spacing w:val="38"/>
          <w:sz w:val="20"/>
        </w:rPr>
        <w:t> </w:t>
      </w:r>
      <w:r>
        <w:rPr>
          <w:rFonts w:ascii="Arial"/>
          <w:i/>
          <w:sz w:val="20"/>
        </w:rPr>
        <w:t>Ch.</w:t>
      </w:r>
      <w:r>
        <w:rPr>
          <w:rFonts w:ascii="Arial"/>
          <w:i/>
          <w:spacing w:val="39"/>
          <w:sz w:val="20"/>
        </w:rPr>
        <w:t> </w:t>
      </w:r>
      <w:r>
        <w:rPr>
          <w:rFonts w:ascii="Arial"/>
          <w:i/>
          <w:sz w:val="20"/>
        </w:rPr>
        <w:t>851</w:t>
      </w:r>
      <w:r>
        <w:rPr>
          <w:sz w:val="20"/>
        </w:rPr>
        <w:t>;</w:t>
      </w:r>
      <w:r>
        <w:rPr>
          <w:spacing w:val="39"/>
          <w:sz w:val="20"/>
        </w:rPr>
        <w:t> </w:t>
      </w:r>
      <w:r>
        <w:rPr>
          <w:sz w:val="20"/>
        </w:rPr>
        <w:t>cf.</w:t>
      </w:r>
      <w:r>
        <w:rPr>
          <w:spacing w:val="40"/>
          <w:sz w:val="20"/>
        </w:rPr>
        <w:t> </w:t>
      </w:r>
      <w:r>
        <w:rPr>
          <w:rFonts w:ascii="Arial"/>
          <w:i/>
          <w:sz w:val="20"/>
        </w:rPr>
        <w:t>Paul</w:t>
      </w:r>
      <w:r>
        <w:rPr>
          <w:rFonts w:ascii="Arial"/>
          <w:i/>
          <w:spacing w:val="39"/>
          <w:sz w:val="20"/>
        </w:rPr>
        <w:t> </w:t>
      </w:r>
      <w:r>
        <w:rPr>
          <w:rFonts w:ascii="Arial"/>
          <w:i/>
          <w:sz w:val="20"/>
        </w:rPr>
        <w:t>v</w:t>
      </w:r>
      <w:r>
        <w:rPr>
          <w:rFonts w:ascii="Arial"/>
          <w:i/>
          <w:spacing w:val="39"/>
          <w:sz w:val="20"/>
        </w:rPr>
        <w:t> </w:t>
      </w:r>
      <w:r>
        <w:rPr>
          <w:rFonts w:ascii="Arial"/>
          <w:i/>
          <w:sz w:val="20"/>
        </w:rPr>
        <w:t>Constance</w:t>
      </w:r>
      <w:r>
        <w:rPr>
          <w:rFonts w:ascii="Arial"/>
          <w:i/>
          <w:spacing w:val="39"/>
          <w:sz w:val="20"/>
        </w:rPr>
        <w:t> </w:t>
      </w:r>
      <w:r>
        <w:rPr>
          <w:rFonts w:ascii="Arial"/>
          <w:i/>
          <w:sz w:val="20"/>
        </w:rPr>
        <w:t>[1977]</w:t>
      </w:r>
      <w:r>
        <w:rPr>
          <w:rFonts w:ascii="Arial"/>
          <w:i/>
          <w:spacing w:val="39"/>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2"/>
          <w:sz w:val="20"/>
        </w:rPr>
        <w:t> </w:t>
      </w:r>
      <w:r>
        <w:rPr>
          <w:rFonts w:ascii="Arial"/>
          <w:i/>
          <w:spacing w:val="-4"/>
          <w:sz w:val="20"/>
        </w:rPr>
        <w:t>527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73" w:id="1075"/>
      <w:bookmarkEnd w:id="1075"/>
      <w:r>
        <w:rPr/>
      </w:r>
      <w:hyperlink w:history="true" w:anchor="_bookmark1015">
        <w:r>
          <w:rPr>
            <w:color w:val="005DA1"/>
            <w:spacing w:val="-4"/>
            <w:position w:val="5"/>
            <w:sz w:val="14"/>
            <w:u w:val="single" w:color="005DA1"/>
          </w:rPr>
          <w:t>552</w:t>
        </w:r>
      </w:hyperlink>
      <w:r>
        <w:rPr>
          <w:spacing w:val="-4"/>
          <w:position w:val="5"/>
          <w:sz w:val="14"/>
        </w:rPr>
        <w:t>.</w:t>
      </w:r>
      <w:r>
        <w:rPr>
          <w:position w:val="5"/>
          <w:sz w:val="14"/>
        </w:rPr>
        <w:tab/>
      </w:r>
      <w:r>
        <w:rPr>
          <w:rFonts w:ascii="Arial"/>
          <w:i/>
          <w:sz w:val="20"/>
        </w:rPr>
        <w:t>[1968]</w:t>
      </w:r>
      <w:r>
        <w:rPr>
          <w:rFonts w:ascii="Arial"/>
          <w:i/>
          <w:spacing w:val="-1"/>
          <w:sz w:val="20"/>
        </w:rPr>
        <w:t> </w:t>
      </w:r>
      <w:r>
        <w:rPr>
          <w:rFonts w:ascii="Arial"/>
          <w:i/>
          <w:sz w:val="20"/>
        </w:rPr>
        <w:t>A.C. 58</w:t>
      </w:r>
      <w:r>
        <w:rPr>
          <w:sz w:val="20"/>
        </w:rPr>
        <w:t>; above, para.18-</w:t>
      </w:r>
      <w:r>
        <w:rPr>
          <w:spacing w:val="-4"/>
          <w:sz w:val="20"/>
        </w:rPr>
        <w:t>022.</w:t>
      </w:r>
    </w:p>
    <w:p>
      <w:pPr>
        <w:pStyle w:val="BodyText"/>
        <w:spacing w:before="5"/>
      </w:pPr>
    </w:p>
    <w:p>
      <w:pPr>
        <w:tabs>
          <w:tab w:pos="705" w:val="left" w:leader="none"/>
        </w:tabs>
        <w:spacing w:before="0"/>
        <w:ind w:left="165" w:right="0" w:firstLine="0"/>
        <w:jc w:val="left"/>
        <w:rPr>
          <w:sz w:val="20"/>
        </w:rPr>
      </w:pPr>
      <w:bookmarkStart w:name="_bookmark1074" w:id="1076"/>
      <w:bookmarkEnd w:id="1076"/>
      <w:r>
        <w:rPr/>
      </w:r>
      <w:hyperlink w:history="true" w:anchor="_bookmark1016">
        <w:r>
          <w:rPr>
            <w:color w:val="005DA1"/>
            <w:spacing w:val="-4"/>
            <w:position w:val="5"/>
            <w:sz w:val="14"/>
            <w:u w:val="single" w:color="005DA1"/>
          </w:rPr>
          <w:t>553</w:t>
        </w:r>
      </w:hyperlink>
      <w:r>
        <w:rPr>
          <w:spacing w:val="-4"/>
          <w:position w:val="5"/>
          <w:sz w:val="14"/>
        </w:rPr>
        <w:t>.</w:t>
      </w:r>
      <w:r>
        <w:rPr>
          <w:position w:val="5"/>
          <w:sz w:val="14"/>
        </w:rPr>
        <w:tab/>
      </w:r>
      <w:r>
        <w:rPr>
          <w:sz w:val="20"/>
        </w:rPr>
        <w:t>Above, para.18-</w:t>
      </w:r>
      <w:r>
        <w:rPr>
          <w:spacing w:val="-4"/>
          <w:sz w:val="20"/>
        </w:rPr>
        <w:t>075.</w:t>
      </w:r>
    </w:p>
    <w:p>
      <w:pPr>
        <w:pStyle w:val="BodyText"/>
        <w:spacing w:before="5"/>
      </w:pPr>
    </w:p>
    <w:p>
      <w:pPr>
        <w:tabs>
          <w:tab w:pos="705" w:val="left" w:leader="none"/>
        </w:tabs>
        <w:spacing w:before="0"/>
        <w:ind w:left="165" w:right="0" w:firstLine="0"/>
        <w:jc w:val="left"/>
        <w:rPr>
          <w:sz w:val="20"/>
        </w:rPr>
      </w:pPr>
      <w:bookmarkStart w:name="_bookmark1075" w:id="1077"/>
      <w:bookmarkEnd w:id="1077"/>
      <w:r>
        <w:rPr/>
      </w:r>
      <w:hyperlink w:history="true" w:anchor="_bookmark1017">
        <w:r>
          <w:rPr>
            <w:color w:val="005DA1"/>
            <w:spacing w:val="-4"/>
            <w:position w:val="5"/>
            <w:sz w:val="14"/>
            <w:u w:val="single" w:color="005DA1"/>
          </w:rPr>
          <w:t>554</w:t>
        </w:r>
      </w:hyperlink>
      <w:r>
        <w:rPr>
          <w:spacing w:val="-4"/>
          <w:position w:val="5"/>
          <w:sz w:val="14"/>
        </w:rPr>
        <w:t>.</w:t>
      </w:r>
      <w:r>
        <w:rPr>
          <w:position w:val="5"/>
          <w:sz w:val="14"/>
        </w:rPr>
        <w:tab/>
      </w:r>
      <w:r>
        <w:rPr>
          <w:rFonts w:ascii="Arial"/>
          <w:i/>
          <w:sz w:val="20"/>
        </w:rPr>
        <w:t>[1892]</w:t>
      </w:r>
      <w:r>
        <w:rPr>
          <w:rFonts w:ascii="Arial"/>
          <w:i/>
          <w:spacing w:val="-2"/>
          <w:sz w:val="20"/>
        </w:rPr>
        <w:t> </w:t>
      </w:r>
      <w:r>
        <w:rPr>
          <w:rFonts w:ascii="Arial"/>
          <w:i/>
          <w:sz w:val="20"/>
        </w:rPr>
        <w:t>1 Q.B. </w:t>
      </w:r>
      <w:r>
        <w:rPr>
          <w:rFonts w:ascii="Arial"/>
          <w:i/>
          <w:spacing w:val="-4"/>
          <w:sz w:val="20"/>
        </w:rPr>
        <w:t>147</w:t>
      </w:r>
      <w:r>
        <w:rPr>
          <w:spacing w:val="-4"/>
          <w:sz w:val="20"/>
        </w:rPr>
        <w:t>.</w:t>
      </w:r>
    </w:p>
    <w:p>
      <w:pPr>
        <w:pStyle w:val="BodyText"/>
        <w:spacing w:before="5"/>
      </w:pPr>
    </w:p>
    <w:p>
      <w:pPr>
        <w:pStyle w:val="BodyText"/>
        <w:tabs>
          <w:tab w:pos="705" w:val="left" w:leader="none"/>
        </w:tabs>
        <w:ind w:left="165"/>
      </w:pPr>
      <w:bookmarkStart w:name="_bookmark1076" w:id="1078"/>
      <w:bookmarkEnd w:id="1078"/>
      <w:r>
        <w:rPr/>
      </w:r>
      <w:hyperlink w:history="true" w:anchor="_bookmark1018">
        <w:r>
          <w:rPr>
            <w:color w:val="005DA1"/>
            <w:spacing w:val="-4"/>
            <w:position w:val="5"/>
            <w:sz w:val="14"/>
            <w:u w:val="single" w:color="005DA1"/>
          </w:rPr>
          <w:t>555</w:t>
        </w:r>
      </w:hyperlink>
      <w:r>
        <w:rPr>
          <w:spacing w:val="-4"/>
          <w:position w:val="5"/>
          <w:sz w:val="14"/>
        </w:rPr>
        <w:t>.</w:t>
      </w:r>
      <w:r>
        <w:rPr>
          <w:position w:val="5"/>
          <w:sz w:val="14"/>
        </w:rPr>
        <w:tab/>
      </w:r>
      <w:r>
        <w:rPr/>
        <w:t>Married Women’s Property Act 1882, s.11; below, para.18-</w:t>
      </w:r>
      <w:r>
        <w:rPr>
          <w:spacing w:val="-4"/>
        </w:rPr>
        <w:t>131.</w:t>
      </w:r>
    </w:p>
    <w:p>
      <w:pPr>
        <w:pStyle w:val="BodyText"/>
        <w:spacing w:before="9"/>
      </w:pPr>
    </w:p>
    <w:p>
      <w:pPr>
        <w:tabs>
          <w:tab w:pos="705" w:val="left" w:leader="none"/>
        </w:tabs>
        <w:spacing w:line="235" w:lineRule="auto" w:before="0"/>
        <w:ind w:left="705" w:right="168" w:hanging="541"/>
        <w:jc w:val="left"/>
        <w:rPr>
          <w:sz w:val="20"/>
        </w:rPr>
      </w:pPr>
      <w:bookmarkStart w:name="_bookmark1077" w:id="1079"/>
      <w:bookmarkEnd w:id="1079"/>
      <w:r>
        <w:rPr/>
      </w:r>
      <w:hyperlink w:history="true" w:anchor="_bookmark1019">
        <w:r>
          <w:rPr>
            <w:color w:val="005DA1"/>
            <w:spacing w:val="-4"/>
            <w:position w:val="5"/>
            <w:sz w:val="14"/>
            <w:u w:val="single" w:color="005DA1"/>
          </w:rPr>
          <w:t>556</w:t>
        </w:r>
      </w:hyperlink>
      <w:r>
        <w:rPr>
          <w:spacing w:val="-4"/>
          <w:position w:val="5"/>
          <w:sz w:val="14"/>
        </w:rPr>
        <w:t>.</w:t>
      </w:r>
      <w:r>
        <w:rPr>
          <w:position w:val="5"/>
          <w:sz w:val="14"/>
        </w:rPr>
        <w:tab/>
      </w:r>
      <w:r>
        <w:rPr>
          <w:sz w:val="20"/>
        </w:rPr>
        <w:t>Ames, </w:t>
      </w:r>
      <w:r>
        <w:rPr>
          <w:rFonts w:ascii="Arial" w:hAnsi="Arial"/>
          <w:i/>
          <w:sz w:val="20"/>
        </w:rPr>
        <w:t>Lectures</w:t>
      </w:r>
      <w:r>
        <w:rPr>
          <w:sz w:val="20"/>
        </w:rPr>
        <w:t>, 320; </w:t>
      </w:r>
      <w:r>
        <w:rPr>
          <w:rFonts w:ascii="Arial" w:hAnsi="Arial"/>
          <w:i/>
          <w:sz w:val="20"/>
        </w:rPr>
        <w:t>Coulls v Bagot’s Executor &amp; Trustee Co Ltd [1967] A.L.R. 385, 410–411</w:t>
      </w:r>
      <w:r>
        <w:rPr>
          <w:sz w:val="20"/>
        </w:rPr>
        <w:t>, per Windeyer J. (dissenting); above para.18-048.</w:t>
      </w:r>
    </w:p>
    <w:p>
      <w:pPr>
        <w:pStyle w:val="BodyText"/>
        <w:spacing w:before="5"/>
      </w:pPr>
    </w:p>
    <w:p>
      <w:pPr>
        <w:pStyle w:val="BodyText"/>
        <w:tabs>
          <w:tab w:pos="705" w:val="left" w:leader="none"/>
        </w:tabs>
        <w:ind w:left="165"/>
      </w:pPr>
      <w:bookmarkStart w:name="_bookmark1078" w:id="1080"/>
      <w:bookmarkEnd w:id="1080"/>
      <w:r>
        <w:rPr/>
      </w:r>
      <w:hyperlink w:history="true" w:anchor="_bookmark1020">
        <w:r>
          <w:rPr>
            <w:color w:val="005DA1"/>
            <w:spacing w:val="-4"/>
            <w:position w:val="5"/>
            <w:sz w:val="14"/>
            <w:u w:val="single" w:color="005DA1"/>
          </w:rPr>
          <w:t>557</w:t>
        </w:r>
      </w:hyperlink>
      <w:r>
        <w:rPr>
          <w:spacing w:val="-4"/>
          <w:position w:val="5"/>
          <w:sz w:val="14"/>
        </w:rPr>
        <w:t>.</w:t>
      </w:r>
      <w:r>
        <w:rPr>
          <w:position w:val="5"/>
          <w:sz w:val="14"/>
        </w:rPr>
        <w:tab/>
      </w:r>
      <w:r>
        <w:rPr/>
        <w:t>cf.</w:t>
      </w:r>
      <w:r>
        <w:rPr>
          <w:spacing w:val="-2"/>
        </w:rPr>
        <w:t> </w:t>
      </w:r>
      <w:r>
        <w:rPr/>
        <w:t>above, para.18-</w:t>
      </w:r>
      <w:r>
        <w:rPr>
          <w:spacing w:val="-4"/>
        </w:rPr>
        <w:t>075.</w:t>
      </w:r>
    </w:p>
    <w:p>
      <w:pPr>
        <w:pStyle w:val="BodyText"/>
        <w:spacing w:before="5"/>
      </w:pPr>
    </w:p>
    <w:p>
      <w:pPr>
        <w:tabs>
          <w:tab w:pos="705" w:val="left" w:leader="none"/>
        </w:tabs>
        <w:spacing w:before="0"/>
        <w:ind w:left="165" w:right="0" w:firstLine="0"/>
        <w:jc w:val="left"/>
        <w:rPr>
          <w:sz w:val="20"/>
        </w:rPr>
      </w:pPr>
      <w:bookmarkStart w:name="_bookmark1079" w:id="1081"/>
      <w:bookmarkEnd w:id="1081"/>
      <w:r>
        <w:rPr/>
      </w:r>
      <w:hyperlink w:history="true" w:anchor="_bookmark1021">
        <w:r>
          <w:rPr>
            <w:color w:val="005DA1"/>
            <w:spacing w:val="-4"/>
            <w:position w:val="5"/>
            <w:sz w:val="14"/>
            <w:u w:val="single" w:color="005DA1"/>
          </w:rPr>
          <w:t>558</w:t>
        </w:r>
      </w:hyperlink>
      <w:r>
        <w:rPr>
          <w:spacing w:val="-4"/>
          <w:position w:val="5"/>
          <w:sz w:val="14"/>
        </w:rPr>
        <w:t>.</w:t>
      </w:r>
      <w:r>
        <w:rPr>
          <w:position w:val="5"/>
          <w:sz w:val="14"/>
        </w:rPr>
        <w:tab/>
      </w:r>
      <w:r>
        <w:rPr>
          <w:sz w:val="20"/>
        </w:rPr>
        <w:t>See</w:t>
      </w:r>
      <w:r>
        <w:rPr>
          <w:spacing w:val="-1"/>
          <w:sz w:val="20"/>
        </w:rPr>
        <w:t> </w:t>
      </w:r>
      <w:r>
        <w:rPr>
          <w:rFonts w:ascii="Arial"/>
          <w:i/>
          <w:sz w:val="20"/>
        </w:rPr>
        <w:t>[1892] 1 Q.B. 147, </w:t>
      </w:r>
      <w:r>
        <w:rPr>
          <w:rFonts w:ascii="Arial"/>
          <w:i/>
          <w:spacing w:val="-4"/>
          <w:sz w:val="20"/>
        </w:rPr>
        <w:t>157</w:t>
      </w:r>
      <w:r>
        <w:rPr>
          <w:spacing w:val="-4"/>
          <w:sz w:val="20"/>
        </w:rPr>
        <w:t>.</w:t>
      </w:r>
    </w:p>
    <w:p>
      <w:pPr>
        <w:spacing w:after="0"/>
        <w:jc w:val="left"/>
        <w:rPr>
          <w:sz w:val="20"/>
        </w:rPr>
        <w:sectPr>
          <w:pgSz w:w="11900" w:h="16840"/>
          <w:pgMar w:header="971" w:footer="0" w:top="1160" w:bottom="280" w:left="1275" w:right="1275"/>
        </w:sectPr>
      </w:pPr>
    </w:p>
    <w:p>
      <w:pPr>
        <w:pStyle w:val="BodyText"/>
        <w:spacing w:before="84"/>
      </w:pPr>
    </w:p>
    <w:p>
      <w:pPr>
        <w:spacing w:line="235" w:lineRule="auto" w:before="1"/>
        <w:ind w:left="705" w:right="168" w:hanging="541"/>
        <w:jc w:val="both"/>
        <w:rPr>
          <w:sz w:val="20"/>
        </w:rPr>
      </w:pPr>
      <w:hyperlink w:history="true" w:anchor="_bookmark1022">
        <w:r>
          <w:rPr>
            <w:color w:val="005DA1"/>
            <w:position w:val="5"/>
            <w:sz w:val="14"/>
            <w:u w:val="single" w:color="005DA1"/>
          </w:rPr>
          <w:t>559</w:t>
        </w:r>
      </w:hyperlink>
      <w:r>
        <w:rPr>
          <w:position w:val="5"/>
          <w:sz w:val="14"/>
        </w:rPr>
        <w:t>.</w:t>
      </w:r>
      <w:r>
        <w:rPr>
          <w:spacing w:val="40"/>
          <w:position w:val="5"/>
          <w:sz w:val="14"/>
        </w:rPr>
        <w:t>  </w:t>
      </w:r>
      <w:r>
        <w:rPr>
          <w:sz w:val="20"/>
        </w:rPr>
        <w:t>See the Himalaya clause in </w:t>
      </w:r>
      <w:r>
        <w:rPr>
          <w:rFonts w:ascii="Arial"/>
          <w:i/>
          <w:sz w:val="20"/>
        </w:rPr>
        <w:t>New Zealand Shipping Co Ltd v A. M. Satterthwaite &amp; Co Ltd </w:t>
      </w:r>
      <w:r>
        <w:rPr>
          <w:rFonts w:ascii="Arial"/>
          <w:i/>
          <w:sz w:val="20"/>
        </w:rPr>
        <w:t>(The Eurymedon) [1975] A.C. 154</w:t>
      </w:r>
      <w:r>
        <w:rPr>
          <w:sz w:val="20"/>
        </w:rPr>
        <w:t>; </w:t>
      </w:r>
      <w:r>
        <w:rPr>
          <w:rFonts w:ascii="Arial"/>
          <w:i/>
          <w:sz w:val="20"/>
        </w:rPr>
        <w:t>Port Jackson Stevedoring Pty Ltd v Salmond &amp; Spraggon (Australia) Pty Ltd (The New York Star) [1980] 1 W.L.R. 138</w:t>
      </w:r>
      <w:r>
        <w:rPr>
          <w:sz w:val="20"/>
        </w:rPr>
        <w:t>, above, para.15-051.</w:t>
      </w:r>
    </w:p>
    <w:p>
      <w:pPr>
        <w:pStyle w:val="BodyText"/>
        <w:spacing w:before="5"/>
      </w:pPr>
    </w:p>
    <w:p>
      <w:pPr>
        <w:tabs>
          <w:tab w:pos="705" w:val="left" w:leader="none"/>
        </w:tabs>
        <w:spacing w:before="0"/>
        <w:ind w:left="165" w:right="0" w:firstLine="0"/>
        <w:jc w:val="left"/>
        <w:rPr>
          <w:sz w:val="20"/>
        </w:rPr>
      </w:pPr>
      <w:bookmarkStart w:name="_bookmark1080" w:id="1082"/>
      <w:bookmarkEnd w:id="1082"/>
      <w:r>
        <w:rPr/>
      </w:r>
      <w:hyperlink w:history="true" w:anchor="_bookmark1023">
        <w:r>
          <w:rPr>
            <w:color w:val="005DA1"/>
            <w:spacing w:val="-4"/>
            <w:position w:val="5"/>
            <w:sz w:val="14"/>
            <w:u w:val="single" w:color="005DA1"/>
          </w:rPr>
          <w:t>560</w:t>
        </w:r>
      </w:hyperlink>
      <w:r>
        <w:rPr>
          <w:spacing w:val="-4"/>
          <w:position w:val="5"/>
          <w:sz w:val="14"/>
        </w:rPr>
        <w:t>.</w:t>
      </w:r>
      <w:r>
        <w:rPr>
          <w:position w:val="5"/>
          <w:sz w:val="14"/>
        </w:rPr>
        <w:tab/>
      </w:r>
      <w:r>
        <w:rPr>
          <w:sz w:val="20"/>
        </w:rPr>
        <w:t>Above, para.18-</w:t>
      </w:r>
      <w:r>
        <w:rPr>
          <w:spacing w:val="-4"/>
          <w:sz w:val="20"/>
        </w:rPr>
        <w:t>081.</w:t>
      </w:r>
    </w:p>
    <w:p>
      <w:pPr>
        <w:pStyle w:val="BodyText"/>
        <w:spacing w:before="5"/>
      </w:pPr>
    </w:p>
    <w:p>
      <w:pPr>
        <w:tabs>
          <w:tab w:pos="705" w:val="left" w:leader="none"/>
        </w:tabs>
        <w:spacing w:before="0"/>
        <w:ind w:left="165" w:right="0" w:firstLine="0"/>
        <w:jc w:val="left"/>
        <w:rPr>
          <w:sz w:val="20"/>
        </w:rPr>
      </w:pPr>
      <w:bookmarkStart w:name="_bookmark1081" w:id="1083"/>
      <w:bookmarkEnd w:id="1083"/>
      <w:r>
        <w:rPr/>
      </w:r>
      <w:hyperlink w:history="true" w:anchor="_bookmark1024">
        <w:r>
          <w:rPr>
            <w:color w:val="005DA1"/>
            <w:spacing w:val="-4"/>
            <w:position w:val="5"/>
            <w:sz w:val="14"/>
            <w:u w:val="single" w:color="005DA1"/>
          </w:rPr>
          <w:t>561</w:t>
        </w:r>
      </w:hyperlink>
      <w:r>
        <w:rPr>
          <w:spacing w:val="-4"/>
          <w:position w:val="5"/>
          <w:sz w:val="14"/>
        </w:rPr>
        <w:t>.</w:t>
      </w:r>
      <w:r>
        <w:rPr>
          <w:position w:val="5"/>
          <w:sz w:val="14"/>
        </w:rPr>
        <w:tab/>
      </w:r>
      <w:r>
        <w:rPr>
          <w:rFonts w:ascii="Arial"/>
          <w:i/>
          <w:sz w:val="20"/>
        </w:rPr>
        <w:t>Southern</w:t>
      </w:r>
      <w:r>
        <w:rPr>
          <w:rFonts w:ascii="Arial"/>
          <w:i/>
          <w:spacing w:val="-2"/>
          <w:sz w:val="20"/>
        </w:rPr>
        <w:t> </w:t>
      </w:r>
      <w:r>
        <w:rPr>
          <w:rFonts w:ascii="Arial"/>
          <w:i/>
          <w:sz w:val="20"/>
        </w:rPr>
        <w:t>Water Authority v Carey [1985] 2 All E.R. 1077, </w:t>
      </w:r>
      <w:r>
        <w:rPr>
          <w:rFonts w:ascii="Arial"/>
          <w:i/>
          <w:spacing w:val="-2"/>
          <w:sz w:val="20"/>
        </w:rPr>
        <w:t>1083</w:t>
      </w:r>
      <w:r>
        <w:rPr>
          <w:spacing w:val="-2"/>
          <w:sz w:val="20"/>
        </w:rPr>
        <w:t>.</w:t>
      </w:r>
    </w:p>
    <w:p>
      <w:pPr>
        <w:pStyle w:val="BodyText"/>
        <w:spacing w:before="5"/>
      </w:pPr>
    </w:p>
    <w:p>
      <w:pPr>
        <w:pStyle w:val="BodyText"/>
        <w:tabs>
          <w:tab w:pos="705" w:val="left" w:leader="none"/>
        </w:tabs>
        <w:ind w:left="165"/>
      </w:pPr>
      <w:bookmarkStart w:name="_bookmark1082" w:id="1084"/>
      <w:bookmarkEnd w:id="1084"/>
      <w:r>
        <w:rPr/>
      </w:r>
      <w:hyperlink w:history="true" w:anchor="_bookmark1025">
        <w:r>
          <w:rPr>
            <w:color w:val="005DA1"/>
            <w:spacing w:val="-4"/>
            <w:position w:val="5"/>
            <w:sz w:val="14"/>
            <w:u w:val="single" w:color="005DA1"/>
          </w:rPr>
          <w:t>562</w:t>
        </w:r>
      </w:hyperlink>
      <w:r>
        <w:rPr>
          <w:spacing w:val="-4"/>
          <w:position w:val="5"/>
          <w:sz w:val="14"/>
        </w:rPr>
        <w:t>.</w:t>
      </w:r>
      <w:r>
        <w:rPr>
          <w:position w:val="5"/>
          <w:sz w:val="14"/>
        </w:rPr>
        <w:tab/>
      </w:r>
      <w:r>
        <w:rPr/>
        <w:t>Above, paras 15-042 to 15-</w:t>
      </w:r>
      <w:r>
        <w:rPr>
          <w:spacing w:val="-4"/>
        </w:rPr>
        <w:t>052.</w:t>
      </w:r>
    </w:p>
    <w:p>
      <w:pPr>
        <w:pStyle w:val="BodyText"/>
        <w:spacing w:before="5"/>
      </w:pPr>
    </w:p>
    <w:p>
      <w:pPr>
        <w:tabs>
          <w:tab w:pos="705" w:val="left" w:leader="none"/>
        </w:tabs>
        <w:spacing w:line="227" w:lineRule="exact" w:before="0"/>
        <w:ind w:left="165" w:right="0" w:firstLine="0"/>
        <w:jc w:val="left"/>
        <w:rPr>
          <w:sz w:val="20"/>
        </w:rPr>
      </w:pPr>
      <w:bookmarkStart w:name="_bookmark1083" w:id="1085"/>
      <w:bookmarkEnd w:id="1085"/>
      <w:r>
        <w:rPr/>
      </w:r>
      <w:hyperlink w:history="true" w:anchor="_bookmark1026">
        <w:r>
          <w:rPr>
            <w:color w:val="005DA1"/>
            <w:spacing w:val="-4"/>
            <w:position w:val="5"/>
            <w:sz w:val="14"/>
            <w:u w:val="single" w:color="005DA1"/>
          </w:rPr>
          <w:t>563</w:t>
        </w:r>
      </w:hyperlink>
      <w:r>
        <w:rPr>
          <w:spacing w:val="-4"/>
          <w:position w:val="5"/>
          <w:sz w:val="14"/>
        </w:rPr>
        <w:t>.</w:t>
      </w:r>
      <w:r>
        <w:rPr>
          <w:position w:val="5"/>
          <w:sz w:val="14"/>
        </w:rPr>
        <w:tab/>
      </w:r>
      <w:r>
        <w:rPr>
          <w:rFonts w:ascii="Arial"/>
          <w:i/>
          <w:sz w:val="20"/>
        </w:rPr>
        <w:t>Drimmie</w:t>
      </w:r>
      <w:r>
        <w:rPr>
          <w:rFonts w:ascii="Arial"/>
          <w:i/>
          <w:spacing w:val="25"/>
          <w:sz w:val="20"/>
        </w:rPr>
        <w:t> </w:t>
      </w:r>
      <w:r>
        <w:rPr>
          <w:rFonts w:ascii="Arial"/>
          <w:i/>
          <w:sz w:val="20"/>
        </w:rPr>
        <w:t>v</w:t>
      </w:r>
      <w:r>
        <w:rPr>
          <w:rFonts w:ascii="Arial"/>
          <w:i/>
          <w:spacing w:val="26"/>
          <w:sz w:val="20"/>
        </w:rPr>
        <w:t> </w:t>
      </w:r>
      <w:r>
        <w:rPr>
          <w:rFonts w:ascii="Arial"/>
          <w:i/>
          <w:sz w:val="20"/>
        </w:rPr>
        <w:t>Davies</w:t>
      </w:r>
      <w:r>
        <w:rPr>
          <w:rFonts w:ascii="Arial"/>
          <w:i/>
          <w:spacing w:val="26"/>
          <w:sz w:val="20"/>
        </w:rPr>
        <w:t> </w:t>
      </w:r>
      <w:r>
        <w:rPr>
          <w:rFonts w:ascii="Arial"/>
          <w:i/>
          <w:sz w:val="20"/>
        </w:rPr>
        <w:t>[1899]</w:t>
      </w:r>
      <w:r>
        <w:rPr>
          <w:rFonts w:ascii="Arial"/>
          <w:i/>
          <w:spacing w:val="26"/>
          <w:sz w:val="20"/>
        </w:rPr>
        <w:t> </w:t>
      </w:r>
      <w:r>
        <w:rPr>
          <w:rFonts w:ascii="Arial"/>
          <w:i/>
          <w:sz w:val="20"/>
        </w:rPr>
        <w:t>1</w:t>
      </w:r>
      <w:r>
        <w:rPr>
          <w:rFonts w:ascii="Arial"/>
          <w:i/>
          <w:spacing w:val="26"/>
          <w:sz w:val="20"/>
        </w:rPr>
        <w:t> </w:t>
      </w:r>
      <w:r>
        <w:rPr>
          <w:rFonts w:ascii="Arial"/>
          <w:i/>
          <w:sz w:val="20"/>
        </w:rPr>
        <w:t>I.R.</w:t>
      </w:r>
      <w:r>
        <w:rPr>
          <w:rFonts w:ascii="Arial"/>
          <w:i/>
          <w:spacing w:val="26"/>
          <w:sz w:val="20"/>
        </w:rPr>
        <w:t> </w:t>
      </w:r>
      <w:r>
        <w:rPr>
          <w:rFonts w:ascii="Arial"/>
          <w:i/>
          <w:sz w:val="20"/>
        </w:rPr>
        <w:t>176,</w:t>
      </w:r>
      <w:r>
        <w:rPr>
          <w:rFonts w:ascii="Arial"/>
          <w:i/>
          <w:spacing w:val="26"/>
          <w:sz w:val="20"/>
        </w:rPr>
        <w:t> </w:t>
      </w:r>
      <w:r>
        <w:rPr>
          <w:rFonts w:ascii="Arial"/>
          <w:i/>
          <w:sz w:val="20"/>
        </w:rPr>
        <w:t>182</w:t>
      </w:r>
      <w:r>
        <w:rPr>
          <w:sz w:val="20"/>
        </w:rPr>
        <w:t>;</w:t>
      </w:r>
      <w:r>
        <w:rPr>
          <w:spacing w:val="26"/>
          <w:sz w:val="20"/>
        </w:rPr>
        <w:t> </w:t>
      </w:r>
      <w:r>
        <w:rPr>
          <w:sz w:val="20"/>
        </w:rPr>
        <w:t>Corbin</w:t>
      </w:r>
      <w:r>
        <w:rPr>
          <w:spacing w:val="26"/>
          <w:sz w:val="20"/>
        </w:rPr>
        <w:t> </w:t>
      </w:r>
      <w:r>
        <w:rPr>
          <w:sz w:val="20"/>
        </w:rPr>
        <w:t>(1930)</w:t>
      </w:r>
      <w:r>
        <w:rPr>
          <w:spacing w:val="26"/>
          <w:sz w:val="20"/>
        </w:rPr>
        <w:t> </w:t>
      </w:r>
      <w:r>
        <w:rPr>
          <w:sz w:val="20"/>
        </w:rPr>
        <w:t>46</w:t>
      </w:r>
      <w:r>
        <w:rPr>
          <w:spacing w:val="26"/>
          <w:sz w:val="20"/>
        </w:rPr>
        <w:t> </w:t>
      </w:r>
      <w:r>
        <w:rPr>
          <w:sz w:val="20"/>
        </w:rPr>
        <w:t>L.Q.R.</w:t>
      </w:r>
      <w:r>
        <w:rPr>
          <w:spacing w:val="26"/>
          <w:sz w:val="20"/>
        </w:rPr>
        <w:t> </w:t>
      </w:r>
      <w:r>
        <w:rPr>
          <w:sz w:val="20"/>
        </w:rPr>
        <w:t>12,</w:t>
      </w:r>
      <w:r>
        <w:rPr>
          <w:spacing w:val="26"/>
          <w:sz w:val="20"/>
        </w:rPr>
        <w:t> </w:t>
      </w:r>
      <w:r>
        <w:rPr>
          <w:sz w:val="20"/>
        </w:rPr>
        <w:t>36;</w:t>
      </w:r>
      <w:r>
        <w:rPr>
          <w:spacing w:val="26"/>
          <w:sz w:val="20"/>
        </w:rPr>
        <w:t> </w:t>
      </w:r>
      <w:r>
        <w:rPr>
          <w:sz w:val="20"/>
        </w:rPr>
        <w:t>cf.</w:t>
      </w:r>
      <w:r>
        <w:rPr>
          <w:spacing w:val="26"/>
          <w:sz w:val="20"/>
        </w:rPr>
        <w:t> </w:t>
      </w:r>
      <w:r>
        <w:rPr>
          <w:sz w:val="20"/>
        </w:rPr>
        <w:t>Langbein,</w:t>
      </w:r>
      <w:r>
        <w:rPr>
          <w:spacing w:val="26"/>
          <w:sz w:val="20"/>
        </w:rPr>
        <w:t> </w:t>
      </w:r>
      <w:r>
        <w:rPr>
          <w:spacing w:val="-5"/>
          <w:sz w:val="20"/>
        </w:rPr>
        <w:t>105</w:t>
      </w:r>
    </w:p>
    <w:p>
      <w:pPr>
        <w:pStyle w:val="BodyText"/>
        <w:spacing w:line="227" w:lineRule="exact"/>
        <w:ind w:left="705"/>
      </w:pPr>
      <w:r>
        <w:rPr/>
        <w:t>Yale L.J. 625, 646–647 </w:t>
      </w:r>
      <w:r>
        <w:rPr>
          <w:spacing w:val="-2"/>
        </w:rPr>
        <w:t>(1997).</w:t>
      </w:r>
    </w:p>
    <w:p>
      <w:pPr>
        <w:pStyle w:val="BodyText"/>
        <w:spacing w:before="5"/>
      </w:pPr>
    </w:p>
    <w:p>
      <w:pPr>
        <w:pStyle w:val="BodyText"/>
        <w:tabs>
          <w:tab w:pos="705" w:val="left" w:leader="none"/>
        </w:tabs>
        <w:ind w:left="165"/>
      </w:pPr>
      <w:bookmarkStart w:name="_bookmark1084" w:id="1086"/>
      <w:bookmarkEnd w:id="1086"/>
      <w:r>
        <w:rPr/>
      </w:r>
      <w:hyperlink w:history="true" w:anchor="_bookmark1027">
        <w:r>
          <w:rPr>
            <w:color w:val="005DA1"/>
            <w:spacing w:val="-4"/>
            <w:position w:val="5"/>
            <w:sz w:val="14"/>
            <w:u w:val="single" w:color="005DA1"/>
          </w:rPr>
          <w:t>564</w:t>
        </w:r>
      </w:hyperlink>
      <w:r>
        <w:rPr>
          <w:spacing w:val="-4"/>
          <w:position w:val="5"/>
          <w:sz w:val="14"/>
        </w:rPr>
        <w:t>.</w:t>
      </w:r>
      <w:r>
        <w:rPr>
          <w:position w:val="5"/>
          <w:sz w:val="14"/>
        </w:rPr>
        <w:tab/>
      </w:r>
      <w:r>
        <w:rPr/>
        <w:t>Judicature Act 1873, s.25(11); now Senior Courts Act 1981, </w:t>
      </w:r>
      <w:r>
        <w:rPr>
          <w:spacing w:val="-2"/>
        </w:rPr>
        <w:t>s.49(1).</w:t>
      </w:r>
    </w:p>
    <w:p>
      <w:pPr>
        <w:pStyle w:val="BodyText"/>
        <w:spacing w:before="5"/>
      </w:pPr>
    </w:p>
    <w:p>
      <w:pPr>
        <w:tabs>
          <w:tab w:pos="705" w:val="left" w:leader="none"/>
        </w:tabs>
        <w:spacing w:before="0"/>
        <w:ind w:left="165" w:right="0" w:firstLine="0"/>
        <w:jc w:val="left"/>
        <w:rPr>
          <w:sz w:val="20"/>
        </w:rPr>
      </w:pPr>
      <w:bookmarkStart w:name="_bookmark1085" w:id="1087"/>
      <w:bookmarkEnd w:id="1087"/>
      <w:r>
        <w:rPr/>
      </w:r>
      <w:hyperlink w:history="true" w:anchor="_bookmark1028">
        <w:r>
          <w:rPr>
            <w:color w:val="005DA1"/>
            <w:spacing w:val="-4"/>
            <w:position w:val="5"/>
            <w:sz w:val="14"/>
            <w:u w:val="single" w:color="005DA1"/>
          </w:rPr>
          <w:t>565</w:t>
        </w:r>
      </w:hyperlink>
      <w:r>
        <w:rPr>
          <w:spacing w:val="-4"/>
          <w:position w:val="5"/>
          <w:sz w:val="14"/>
        </w:rPr>
        <w:t>.</w:t>
      </w:r>
      <w:r>
        <w:rPr>
          <w:position w:val="5"/>
          <w:sz w:val="14"/>
        </w:rPr>
        <w:tab/>
      </w:r>
      <w:r>
        <w:rPr>
          <w:rFonts w:ascii="Arial"/>
          <w:i/>
          <w:sz w:val="20"/>
        </w:rPr>
        <w:t>Re Schebsman [1943] 1 Ch. at 370; approved [1944] Ch. at </w:t>
      </w:r>
      <w:r>
        <w:rPr>
          <w:rFonts w:ascii="Arial"/>
          <w:i/>
          <w:spacing w:val="-4"/>
          <w:sz w:val="20"/>
        </w:rPr>
        <w:t>104</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086" w:id="1088"/>
      <w:bookmarkEnd w:id="1088"/>
      <w:r>
        <w:rPr/>
      </w:r>
      <w:hyperlink w:history="true" w:anchor="_bookmark1029">
        <w:r>
          <w:rPr>
            <w:color w:val="005DA1"/>
            <w:spacing w:val="-4"/>
            <w:position w:val="5"/>
            <w:sz w:val="14"/>
            <w:u w:val="single" w:color="005DA1"/>
          </w:rPr>
          <w:t>566</w:t>
        </w:r>
      </w:hyperlink>
      <w:r>
        <w:rPr>
          <w:spacing w:val="-4"/>
          <w:position w:val="5"/>
          <w:sz w:val="14"/>
        </w:rPr>
        <w:t>.</w:t>
      </w:r>
      <w:r>
        <w:rPr>
          <w:position w:val="5"/>
          <w:sz w:val="14"/>
        </w:rPr>
        <w:tab/>
      </w:r>
      <w:r>
        <w:rPr>
          <w:rFonts w:ascii="Arial" w:hAnsi="Arial"/>
          <w:i/>
          <w:sz w:val="20"/>
        </w:rPr>
        <w:t>Barbados Trust Ltd v Bank of Zambia [2007] EWCA Civ 148, [2007] 1 Lloyd’s Rep. 495 </w:t>
      </w:r>
      <w:r>
        <w:rPr>
          <w:sz w:val="20"/>
        </w:rPr>
        <w:t>at [99], per Rix L.J. (italics supplied).</w:t>
      </w:r>
    </w:p>
    <w:p>
      <w:pPr>
        <w:pStyle w:val="BodyText"/>
        <w:spacing w:before="5"/>
      </w:pPr>
    </w:p>
    <w:p>
      <w:pPr>
        <w:tabs>
          <w:tab w:pos="705" w:val="left" w:leader="none"/>
        </w:tabs>
        <w:spacing w:before="0"/>
        <w:ind w:left="165" w:right="0" w:firstLine="0"/>
        <w:jc w:val="left"/>
        <w:rPr>
          <w:sz w:val="20"/>
        </w:rPr>
      </w:pPr>
      <w:bookmarkStart w:name="_bookmark1087" w:id="1089"/>
      <w:bookmarkEnd w:id="1089"/>
      <w:r>
        <w:rPr/>
      </w:r>
      <w:hyperlink w:history="true" w:anchor="_bookmark1030">
        <w:r>
          <w:rPr>
            <w:color w:val="005DA1"/>
            <w:spacing w:val="-4"/>
            <w:position w:val="5"/>
            <w:sz w:val="14"/>
            <w:u w:val="single" w:color="005DA1"/>
          </w:rPr>
          <w:t>567</w:t>
        </w:r>
      </w:hyperlink>
      <w:r>
        <w:rPr>
          <w:spacing w:val="-4"/>
          <w:position w:val="5"/>
          <w:sz w:val="14"/>
        </w:rPr>
        <w:t>.</w:t>
      </w:r>
      <w:r>
        <w:rPr>
          <w:position w:val="5"/>
          <w:sz w:val="14"/>
        </w:rPr>
        <w:tab/>
      </w:r>
      <w:r>
        <w:rPr>
          <w:sz w:val="20"/>
        </w:rPr>
        <w:t>Above, para.18-</w:t>
      </w:r>
      <w:r>
        <w:rPr>
          <w:spacing w:val="-4"/>
          <w:sz w:val="20"/>
        </w:rPr>
        <w:t>084.</w:t>
      </w:r>
    </w:p>
    <w:p>
      <w:pPr>
        <w:pStyle w:val="BodyText"/>
        <w:spacing w:before="9"/>
      </w:pPr>
    </w:p>
    <w:p>
      <w:pPr>
        <w:spacing w:line="235" w:lineRule="auto" w:before="0"/>
        <w:ind w:left="705" w:right="168" w:hanging="541"/>
        <w:jc w:val="both"/>
        <w:rPr>
          <w:sz w:val="20"/>
        </w:rPr>
      </w:pPr>
      <w:bookmarkStart w:name="_bookmark1088" w:id="1090"/>
      <w:bookmarkEnd w:id="1090"/>
      <w:r>
        <w:rPr/>
      </w:r>
      <w:hyperlink w:history="true" w:anchor="_bookmark1031">
        <w:r>
          <w:rPr>
            <w:color w:val="005DA1"/>
            <w:position w:val="5"/>
            <w:sz w:val="14"/>
            <w:u w:val="single" w:color="005DA1"/>
          </w:rPr>
          <w:t>568</w:t>
        </w:r>
      </w:hyperlink>
      <w:r>
        <w:rPr>
          <w:position w:val="5"/>
          <w:sz w:val="14"/>
        </w:rPr>
        <w:t>.</w:t>
      </w:r>
      <w:r>
        <w:rPr>
          <w:spacing w:val="80"/>
          <w:w w:val="150"/>
          <w:position w:val="5"/>
          <w:sz w:val="14"/>
        </w:rPr>
        <w:t> </w:t>
      </w:r>
      <w:r>
        <w:rPr>
          <w:rFonts w:ascii="Arial"/>
          <w:i/>
          <w:sz w:val="20"/>
        </w:rPr>
        <w:t>Colyear v Mulgrave (1836) 2 Keen 81</w:t>
      </w:r>
      <w:r>
        <w:rPr>
          <w:sz w:val="20"/>
        </w:rPr>
        <w:t>. The actual decision has been criticised but without impairing the principle stated in the text above: see </w:t>
      </w:r>
      <w:r>
        <w:rPr>
          <w:rFonts w:ascii="Arial"/>
          <w:i/>
          <w:sz w:val="20"/>
        </w:rPr>
        <w:t>Page v Cox (1852) 10 Hare 163</w:t>
      </w:r>
      <w:r>
        <w:rPr>
          <w:sz w:val="20"/>
        </w:rPr>
        <w:t>; </w:t>
      </w:r>
      <w:r>
        <w:rPr>
          <w:rFonts w:ascii="Arial"/>
          <w:i/>
          <w:sz w:val="20"/>
        </w:rPr>
        <w:t>Kekewich</w:t>
      </w:r>
      <w:r>
        <w:rPr>
          <w:rFonts w:ascii="Arial"/>
          <w:i/>
          <w:spacing w:val="40"/>
          <w:sz w:val="20"/>
        </w:rPr>
        <w:t> </w:t>
      </w:r>
      <w:r>
        <w:rPr>
          <w:rFonts w:ascii="Arial"/>
          <w:i/>
          <w:sz w:val="20"/>
        </w:rPr>
        <w:t>v Manning (1851) 1 D.M. &amp; G. 176</w:t>
      </w:r>
      <w:r>
        <w:rPr>
          <w:sz w:val="20"/>
        </w:rPr>
        <w:t>.</w:t>
      </w:r>
    </w:p>
    <w:p>
      <w:pPr>
        <w:pStyle w:val="BodyText"/>
        <w:spacing w:before="5"/>
      </w:pPr>
    </w:p>
    <w:p>
      <w:pPr>
        <w:tabs>
          <w:tab w:pos="705" w:val="left" w:leader="none"/>
        </w:tabs>
        <w:spacing w:before="0"/>
        <w:ind w:left="165" w:right="0" w:firstLine="0"/>
        <w:jc w:val="left"/>
        <w:rPr>
          <w:sz w:val="20"/>
        </w:rPr>
      </w:pPr>
      <w:bookmarkStart w:name="_bookmark1089" w:id="1091"/>
      <w:bookmarkEnd w:id="1091"/>
      <w:r>
        <w:rPr/>
      </w:r>
      <w:hyperlink w:history="true" w:anchor="_bookmark1032">
        <w:r>
          <w:rPr>
            <w:color w:val="005DA1"/>
            <w:spacing w:val="-4"/>
            <w:position w:val="5"/>
            <w:sz w:val="14"/>
            <w:u w:val="single" w:color="005DA1"/>
          </w:rPr>
          <w:t>569</w:t>
        </w:r>
      </w:hyperlink>
      <w:r>
        <w:rPr>
          <w:spacing w:val="-4"/>
          <w:position w:val="5"/>
          <w:sz w:val="14"/>
        </w:rPr>
        <w:t>.</w:t>
      </w:r>
      <w:r>
        <w:rPr>
          <w:position w:val="5"/>
          <w:sz w:val="14"/>
        </w:rPr>
        <w:tab/>
      </w:r>
      <w:r>
        <w:rPr>
          <w:sz w:val="20"/>
        </w:rPr>
        <w:t>e.g., </w:t>
      </w:r>
      <w:r>
        <w:rPr>
          <w:rFonts w:ascii="Arial"/>
          <w:i/>
          <w:sz w:val="20"/>
        </w:rPr>
        <w:t>Dunlop Pneumatic Tyre Co Ltd v Selfridge &amp; Co Ltd [1915] A.C. </w:t>
      </w:r>
      <w:r>
        <w:rPr>
          <w:rFonts w:ascii="Arial"/>
          <w:i/>
          <w:spacing w:val="-4"/>
          <w:sz w:val="20"/>
        </w:rPr>
        <w:t>847</w:t>
      </w:r>
      <w:r>
        <w:rPr>
          <w:spacing w:val="-4"/>
          <w:sz w:val="20"/>
        </w:rPr>
        <w:t>.</w:t>
      </w:r>
    </w:p>
    <w:p>
      <w:pPr>
        <w:pStyle w:val="BodyText"/>
        <w:spacing w:before="5"/>
      </w:pPr>
    </w:p>
    <w:p>
      <w:pPr>
        <w:tabs>
          <w:tab w:pos="540" w:val="left" w:leader="none"/>
        </w:tabs>
        <w:spacing w:line="227" w:lineRule="exact" w:before="0"/>
        <w:ind w:left="0" w:right="168" w:firstLine="0"/>
        <w:jc w:val="right"/>
        <w:rPr>
          <w:sz w:val="20"/>
        </w:rPr>
      </w:pPr>
      <w:bookmarkStart w:name="_bookmark1090" w:id="1092"/>
      <w:bookmarkEnd w:id="1092"/>
      <w:r>
        <w:rPr/>
      </w:r>
      <w:hyperlink w:history="true" w:anchor="_bookmark1033">
        <w:r>
          <w:rPr>
            <w:color w:val="005DA1"/>
            <w:spacing w:val="-4"/>
            <w:position w:val="5"/>
            <w:sz w:val="14"/>
            <w:u w:val="single" w:color="005DA1"/>
          </w:rPr>
          <w:t>570</w:t>
        </w:r>
      </w:hyperlink>
      <w:r>
        <w:rPr>
          <w:spacing w:val="-4"/>
          <w:position w:val="5"/>
          <w:sz w:val="14"/>
        </w:rPr>
        <w:t>.</w:t>
      </w:r>
      <w:r>
        <w:rPr>
          <w:position w:val="5"/>
          <w:sz w:val="14"/>
        </w:rPr>
        <w:tab/>
      </w:r>
      <w:r>
        <w:rPr>
          <w:rFonts w:ascii="Arial" w:hAnsi="Arial"/>
          <w:i/>
          <w:sz w:val="20"/>
        </w:rPr>
        <w:t>Re</w:t>
      </w:r>
      <w:r>
        <w:rPr>
          <w:rFonts w:ascii="Arial" w:hAnsi="Arial"/>
          <w:i/>
          <w:spacing w:val="15"/>
          <w:sz w:val="20"/>
        </w:rPr>
        <w:t> </w:t>
      </w:r>
      <w:r>
        <w:rPr>
          <w:rFonts w:ascii="Arial" w:hAnsi="Arial"/>
          <w:i/>
          <w:sz w:val="20"/>
        </w:rPr>
        <w:t>Burgess’</w:t>
      </w:r>
      <w:r>
        <w:rPr>
          <w:rFonts w:ascii="Arial" w:hAnsi="Arial"/>
          <w:i/>
          <w:spacing w:val="16"/>
          <w:sz w:val="20"/>
        </w:rPr>
        <w:t> </w:t>
      </w:r>
      <w:r>
        <w:rPr>
          <w:rFonts w:ascii="Arial" w:hAnsi="Arial"/>
          <w:i/>
          <w:sz w:val="20"/>
        </w:rPr>
        <w:t>Policy</w:t>
      </w:r>
      <w:r>
        <w:rPr>
          <w:rFonts w:ascii="Arial" w:hAnsi="Arial"/>
          <w:i/>
          <w:spacing w:val="16"/>
          <w:sz w:val="20"/>
        </w:rPr>
        <w:t> </w:t>
      </w:r>
      <w:r>
        <w:rPr>
          <w:rFonts w:ascii="Arial" w:hAnsi="Arial"/>
          <w:i/>
          <w:sz w:val="20"/>
        </w:rPr>
        <w:t>(1915)</w:t>
      </w:r>
      <w:r>
        <w:rPr>
          <w:rFonts w:ascii="Arial" w:hAnsi="Arial"/>
          <w:i/>
          <w:spacing w:val="16"/>
          <w:sz w:val="20"/>
        </w:rPr>
        <w:t> </w:t>
      </w:r>
      <w:r>
        <w:rPr>
          <w:rFonts w:ascii="Arial" w:hAnsi="Arial"/>
          <w:i/>
          <w:sz w:val="20"/>
        </w:rPr>
        <w:t>113</w:t>
      </w:r>
      <w:r>
        <w:rPr>
          <w:rFonts w:ascii="Arial" w:hAnsi="Arial"/>
          <w:i/>
          <w:spacing w:val="16"/>
          <w:sz w:val="20"/>
        </w:rPr>
        <w:t> </w:t>
      </w:r>
      <w:r>
        <w:rPr>
          <w:rFonts w:ascii="Arial" w:hAnsi="Arial"/>
          <w:i/>
          <w:sz w:val="20"/>
        </w:rPr>
        <w:t>L.T.</w:t>
      </w:r>
      <w:r>
        <w:rPr>
          <w:rFonts w:ascii="Arial" w:hAnsi="Arial"/>
          <w:i/>
          <w:spacing w:val="16"/>
          <w:sz w:val="20"/>
        </w:rPr>
        <w:t> </w:t>
      </w:r>
      <w:r>
        <w:rPr>
          <w:rFonts w:ascii="Arial" w:hAnsi="Arial"/>
          <w:i/>
          <w:sz w:val="20"/>
        </w:rPr>
        <w:t>443</w:t>
      </w:r>
      <w:r>
        <w:rPr>
          <w:sz w:val="20"/>
        </w:rPr>
        <w:t>;</w:t>
      </w:r>
      <w:r>
        <w:rPr>
          <w:spacing w:val="16"/>
          <w:sz w:val="20"/>
        </w:rPr>
        <w:t> </w:t>
      </w:r>
      <w:r>
        <w:rPr>
          <w:rFonts w:ascii="Arial" w:hAnsi="Arial"/>
          <w:i/>
          <w:sz w:val="20"/>
        </w:rPr>
        <w:t>Re</w:t>
      </w:r>
      <w:r>
        <w:rPr>
          <w:rFonts w:ascii="Arial" w:hAnsi="Arial"/>
          <w:i/>
          <w:spacing w:val="16"/>
          <w:sz w:val="20"/>
        </w:rPr>
        <w:t> </w:t>
      </w:r>
      <w:r>
        <w:rPr>
          <w:rFonts w:ascii="Arial" w:hAnsi="Arial"/>
          <w:i/>
          <w:sz w:val="20"/>
        </w:rPr>
        <w:t>Clay’s</w:t>
      </w:r>
      <w:r>
        <w:rPr>
          <w:rFonts w:ascii="Arial" w:hAnsi="Arial"/>
          <w:i/>
          <w:spacing w:val="16"/>
          <w:sz w:val="20"/>
        </w:rPr>
        <w:t> </w:t>
      </w:r>
      <w:r>
        <w:rPr>
          <w:rFonts w:ascii="Arial" w:hAnsi="Arial"/>
          <w:i/>
          <w:sz w:val="20"/>
        </w:rPr>
        <w:t>Policy</w:t>
      </w:r>
      <w:r>
        <w:rPr>
          <w:rFonts w:ascii="Arial" w:hAnsi="Arial"/>
          <w:i/>
          <w:spacing w:val="16"/>
          <w:sz w:val="20"/>
        </w:rPr>
        <w:t> </w:t>
      </w:r>
      <w:r>
        <w:rPr>
          <w:rFonts w:ascii="Arial" w:hAnsi="Arial"/>
          <w:i/>
          <w:sz w:val="20"/>
        </w:rPr>
        <w:t>of</w:t>
      </w:r>
      <w:r>
        <w:rPr>
          <w:rFonts w:ascii="Arial" w:hAnsi="Arial"/>
          <w:i/>
          <w:spacing w:val="16"/>
          <w:sz w:val="20"/>
        </w:rPr>
        <w:t> </w:t>
      </w:r>
      <w:r>
        <w:rPr>
          <w:rFonts w:ascii="Arial" w:hAnsi="Arial"/>
          <w:i/>
          <w:sz w:val="20"/>
        </w:rPr>
        <w:t>Assurance</w:t>
      </w:r>
      <w:r>
        <w:rPr>
          <w:rFonts w:ascii="Arial" w:hAnsi="Arial"/>
          <w:i/>
          <w:spacing w:val="16"/>
          <w:sz w:val="20"/>
        </w:rPr>
        <w:t> </w:t>
      </w:r>
      <w:r>
        <w:rPr>
          <w:rFonts w:ascii="Arial" w:hAnsi="Arial"/>
          <w:i/>
          <w:sz w:val="20"/>
        </w:rPr>
        <w:t>[1937]</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z w:val="20"/>
        </w:rPr>
        <w:t>All</w:t>
      </w:r>
      <w:r>
        <w:rPr>
          <w:rFonts w:ascii="Arial" w:hAnsi="Arial"/>
          <w:i/>
          <w:spacing w:val="16"/>
          <w:sz w:val="20"/>
        </w:rPr>
        <w:t> </w:t>
      </w:r>
      <w:r>
        <w:rPr>
          <w:rFonts w:ascii="Arial" w:hAnsi="Arial"/>
          <w:i/>
          <w:sz w:val="20"/>
        </w:rPr>
        <w:t>E.R.</w:t>
      </w:r>
      <w:r>
        <w:rPr>
          <w:rFonts w:ascii="Arial" w:hAnsi="Arial"/>
          <w:i/>
          <w:spacing w:val="16"/>
          <w:sz w:val="20"/>
        </w:rPr>
        <w:t> </w:t>
      </w:r>
      <w:r>
        <w:rPr>
          <w:rFonts w:ascii="Arial" w:hAnsi="Arial"/>
          <w:i/>
          <w:spacing w:val="-4"/>
          <w:sz w:val="20"/>
        </w:rPr>
        <w:t>548</w:t>
      </w:r>
      <w:r>
        <w:rPr>
          <w:spacing w:val="-4"/>
          <w:sz w:val="20"/>
        </w:rPr>
        <w:t>;</w:t>
      </w:r>
    </w:p>
    <w:p>
      <w:pPr>
        <w:spacing w:line="225" w:lineRule="exact" w:before="0"/>
        <w:ind w:left="0" w:right="168" w:firstLine="0"/>
        <w:jc w:val="right"/>
        <w:rPr>
          <w:rFonts w:ascii="Arial" w:hAnsi="Arial"/>
          <w:i/>
          <w:sz w:val="20"/>
        </w:rPr>
      </w:pPr>
      <w:r>
        <w:rPr>
          <w:rFonts w:ascii="Arial" w:hAnsi="Arial"/>
          <w:i/>
          <w:sz w:val="20"/>
        </w:rPr>
        <w:t>Re</w:t>
      </w:r>
      <w:r>
        <w:rPr>
          <w:rFonts w:ascii="Arial" w:hAnsi="Arial"/>
          <w:i/>
          <w:spacing w:val="8"/>
          <w:sz w:val="20"/>
        </w:rPr>
        <w:t> </w:t>
      </w:r>
      <w:r>
        <w:rPr>
          <w:rFonts w:ascii="Arial" w:hAnsi="Arial"/>
          <w:i/>
          <w:sz w:val="20"/>
        </w:rPr>
        <w:t>Sinclair’s</w:t>
      </w:r>
      <w:r>
        <w:rPr>
          <w:rFonts w:ascii="Arial" w:hAnsi="Arial"/>
          <w:i/>
          <w:spacing w:val="9"/>
          <w:sz w:val="20"/>
        </w:rPr>
        <w:t> </w:t>
      </w:r>
      <w:r>
        <w:rPr>
          <w:rFonts w:ascii="Arial" w:hAnsi="Arial"/>
          <w:i/>
          <w:sz w:val="20"/>
        </w:rPr>
        <w:t>Life</w:t>
      </w:r>
      <w:r>
        <w:rPr>
          <w:rFonts w:ascii="Arial" w:hAnsi="Arial"/>
          <w:i/>
          <w:spacing w:val="9"/>
          <w:sz w:val="20"/>
        </w:rPr>
        <w:t> </w:t>
      </w:r>
      <w:r>
        <w:rPr>
          <w:rFonts w:ascii="Arial" w:hAnsi="Arial"/>
          <w:i/>
          <w:sz w:val="20"/>
        </w:rPr>
        <w:t>Policy</w:t>
      </w:r>
      <w:r>
        <w:rPr>
          <w:rFonts w:ascii="Arial" w:hAnsi="Arial"/>
          <w:i/>
          <w:spacing w:val="9"/>
          <w:sz w:val="20"/>
        </w:rPr>
        <w:t> </w:t>
      </w:r>
      <w:r>
        <w:rPr>
          <w:rFonts w:ascii="Arial" w:hAnsi="Arial"/>
          <w:i/>
          <w:sz w:val="20"/>
        </w:rPr>
        <w:t>[1938]</w:t>
      </w:r>
      <w:r>
        <w:rPr>
          <w:rFonts w:ascii="Arial" w:hAnsi="Arial"/>
          <w:i/>
          <w:spacing w:val="9"/>
          <w:sz w:val="20"/>
        </w:rPr>
        <w:t> </w:t>
      </w:r>
      <w:r>
        <w:rPr>
          <w:rFonts w:ascii="Arial" w:hAnsi="Arial"/>
          <w:i/>
          <w:sz w:val="20"/>
        </w:rPr>
        <w:t>Ch.</w:t>
      </w:r>
      <w:r>
        <w:rPr>
          <w:rFonts w:ascii="Arial" w:hAnsi="Arial"/>
          <w:i/>
          <w:spacing w:val="9"/>
          <w:sz w:val="20"/>
        </w:rPr>
        <w:t> </w:t>
      </w:r>
      <w:r>
        <w:rPr>
          <w:rFonts w:ascii="Arial" w:hAnsi="Arial"/>
          <w:i/>
          <w:sz w:val="20"/>
        </w:rPr>
        <w:t>799</w:t>
      </w:r>
      <w:r>
        <w:rPr>
          <w:sz w:val="20"/>
        </w:rPr>
        <w:t>;</w:t>
      </w:r>
      <w:r>
        <w:rPr>
          <w:spacing w:val="9"/>
          <w:sz w:val="20"/>
        </w:rPr>
        <w:t> </w:t>
      </w:r>
      <w:r>
        <w:rPr>
          <w:rFonts w:ascii="Arial" w:hAnsi="Arial"/>
          <w:i/>
          <w:sz w:val="20"/>
        </w:rPr>
        <w:t>Re</w:t>
      </w:r>
      <w:r>
        <w:rPr>
          <w:rFonts w:ascii="Arial" w:hAnsi="Arial"/>
          <w:i/>
          <w:spacing w:val="8"/>
          <w:sz w:val="20"/>
        </w:rPr>
        <w:t> </w:t>
      </w:r>
      <w:r>
        <w:rPr>
          <w:rFonts w:ascii="Arial" w:hAnsi="Arial"/>
          <w:i/>
          <w:sz w:val="20"/>
        </w:rPr>
        <w:t>Schebsman</w:t>
      </w:r>
      <w:r>
        <w:rPr>
          <w:rFonts w:ascii="Arial" w:hAnsi="Arial"/>
          <w:i/>
          <w:spacing w:val="9"/>
          <w:sz w:val="20"/>
        </w:rPr>
        <w:t> </w:t>
      </w:r>
      <w:r>
        <w:rPr>
          <w:rFonts w:ascii="Arial" w:hAnsi="Arial"/>
          <w:i/>
          <w:sz w:val="20"/>
        </w:rPr>
        <w:t>[1944]</w:t>
      </w:r>
      <w:r>
        <w:rPr>
          <w:rFonts w:ascii="Arial" w:hAnsi="Arial"/>
          <w:i/>
          <w:spacing w:val="9"/>
          <w:sz w:val="20"/>
        </w:rPr>
        <w:t> </w:t>
      </w:r>
      <w:r>
        <w:rPr>
          <w:rFonts w:ascii="Arial" w:hAnsi="Arial"/>
          <w:i/>
          <w:sz w:val="20"/>
        </w:rPr>
        <w:t>Ch.</w:t>
      </w:r>
      <w:r>
        <w:rPr>
          <w:rFonts w:ascii="Arial" w:hAnsi="Arial"/>
          <w:i/>
          <w:spacing w:val="9"/>
          <w:sz w:val="20"/>
        </w:rPr>
        <w:t> </w:t>
      </w:r>
      <w:r>
        <w:rPr>
          <w:rFonts w:ascii="Arial" w:hAnsi="Arial"/>
          <w:i/>
          <w:sz w:val="20"/>
        </w:rPr>
        <w:t>83</w:t>
      </w:r>
      <w:r>
        <w:rPr>
          <w:sz w:val="20"/>
        </w:rPr>
        <w:t>;</w:t>
      </w:r>
      <w:r>
        <w:rPr>
          <w:spacing w:val="9"/>
          <w:sz w:val="20"/>
        </w:rPr>
        <w:t> </w:t>
      </w:r>
      <w:r>
        <w:rPr>
          <w:rFonts w:ascii="Arial" w:hAnsi="Arial"/>
          <w:i/>
          <w:sz w:val="20"/>
        </w:rPr>
        <w:t>Green</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Russell</w:t>
      </w:r>
      <w:r>
        <w:rPr>
          <w:rFonts w:ascii="Arial" w:hAnsi="Arial"/>
          <w:i/>
          <w:spacing w:val="9"/>
          <w:sz w:val="20"/>
        </w:rPr>
        <w:t> </w:t>
      </w:r>
      <w:r>
        <w:rPr>
          <w:rFonts w:ascii="Arial" w:hAnsi="Arial"/>
          <w:i/>
          <w:spacing w:val="-2"/>
          <w:sz w:val="20"/>
        </w:rPr>
        <w:t>[1959]</w:t>
      </w:r>
    </w:p>
    <w:p>
      <w:pPr>
        <w:spacing w:line="227" w:lineRule="exact" w:before="0"/>
        <w:ind w:left="705" w:right="0" w:firstLine="0"/>
        <w:jc w:val="left"/>
        <w:rPr>
          <w:sz w:val="20"/>
        </w:rPr>
      </w:pPr>
      <w:r>
        <w:rPr>
          <w:rFonts w:ascii="Arial"/>
          <w:i/>
          <w:sz w:val="20"/>
        </w:rPr>
        <w:t>Q.B. </w:t>
      </w:r>
      <w:r>
        <w:rPr>
          <w:rFonts w:ascii="Arial"/>
          <w:i/>
          <w:spacing w:val="-5"/>
          <w:sz w:val="20"/>
        </w:rPr>
        <w:t>28</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091" w:id="1093"/>
      <w:bookmarkEnd w:id="1093"/>
      <w:r>
        <w:rPr/>
      </w:r>
      <w:hyperlink w:history="true" w:anchor="_bookmark1034">
        <w:r>
          <w:rPr>
            <w:color w:val="005DA1"/>
            <w:spacing w:val="-4"/>
            <w:position w:val="5"/>
            <w:sz w:val="14"/>
            <w:u w:val="single" w:color="005DA1"/>
          </w:rPr>
          <w:t>571</w:t>
        </w:r>
      </w:hyperlink>
      <w:r>
        <w:rPr>
          <w:spacing w:val="-4"/>
          <w:position w:val="5"/>
          <w:sz w:val="14"/>
        </w:rPr>
        <w:t>.</w:t>
      </w:r>
      <w:r>
        <w:rPr>
          <w:position w:val="5"/>
          <w:sz w:val="14"/>
        </w:rPr>
        <w:tab/>
      </w:r>
      <w:r>
        <w:rPr>
          <w:rFonts w:ascii="Arial" w:hAnsi="Arial"/>
          <w:i/>
          <w:sz w:val="20"/>
        </w:rPr>
        <w:t>Hill</w:t>
      </w:r>
      <w:r>
        <w:rPr>
          <w:rFonts w:ascii="Arial" w:hAnsi="Arial"/>
          <w:i/>
          <w:spacing w:val="40"/>
          <w:sz w:val="20"/>
        </w:rPr>
        <w:t> </w:t>
      </w:r>
      <w:r>
        <w:rPr>
          <w:rFonts w:ascii="Arial" w:hAnsi="Arial"/>
          <w:i/>
          <w:sz w:val="20"/>
        </w:rPr>
        <w:t>v</w:t>
      </w:r>
      <w:r>
        <w:rPr>
          <w:rFonts w:ascii="Arial" w:hAnsi="Arial"/>
          <w:i/>
          <w:spacing w:val="41"/>
          <w:sz w:val="20"/>
        </w:rPr>
        <w:t> </w:t>
      </w:r>
      <w:r>
        <w:rPr>
          <w:rFonts w:ascii="Arial" w:hAnsi="Arial"/>
          <w:i/>
          <w:sz w:val="20"/>
        </w:rPr>
        <w:t>Gomme</w:t>
      </w:r>
      <w:r>
        <w:rPr>
          <w:rFonts w:ascii="Arial" w:hAnsi="Arial"/>
          <w:i/>
          <w:spacing w:val="41"/>
          <w:sz w:val="20"/>
        </w:rPr>
        <w:t> </w:t>
      </w:r>
      <w:r>
        <w:rPr>
          <w:rFonts w:ascii="Arial" w:hAnsi="Arial"/>
          <w:i/>
          <w:sz w:val="20"/>
        </w:rPr>
        <w:t>(1839)</w:t>
      </w:r>
      <w:r>
        <w:rPr>
          <w:rFonts w:ascii="Arial" w:hAnsi="Arial"/>
          <w:i/>
          <w:spacing w:val="41"/>
          <w:sz w:val="20"/>
        </w:rPr>
        <w:t> </w:t>
      </w:r>
      <w:r>
        <w:rPr>
          <w:rFonts w:ascii="Arial" w:hAnsi="Arial"/>
          <w:i/>
          <w:sz w:val="20"/>
        </w:rPr>
        <w:t>5</w:t>
      </w:r>
      <w:r>
        <w:rPr>
          <w:rFonts w:ascii="Arial" w:hAnsi="Arial"/>
          <w:i/>
          <w:spacing w:val="41"/>
          <w:sz w:val="20"/>
        </w:rPr>
        <w:t> </w:t>
      </w:r>
      <w:r>
        <w:rPr>
          <w:rFonts w:ascii="Arial" w:hAnsi="Arial"/>
          <w:i/>
          <w:sz w:val="20"/>
        </w:rPr>
        <w:t>My.</w:t>
      </w:r>
      <w:r>
        <w:rPr>
          <w:rFonts w:ascii="Arial" w:hAnsi="Arial"/>
          <w:i/>
          <w:spacing w:val="41"/>
          <w:sz w:val="20"/>
        </w:rPr>
        <w:t> </w:t>
      </w:r>
      <w:r>
        <w:rPr>
          <w:rFonts w:ascii="Arial" w:hAnsi="Arial"/>
          <w:i/>
          <w:sz w:val="20"/>
        </w:rPr>
        <w:t>&amp;</w:t>
      </w:r>
      <w:r>
        <w:rPr>
          <w:rFonts w:ascii="Arial" w:hAnsi="Arial"/>
          <w:i/>
          <w:spacing w:val="41"/>
          <w:sz w:val="20"/>
        </w:rPr>
        <w:t> </w:t>
      </w:r>
      <w:r>
        <w:rPr>
          <w:rFonts w:ascii="Arial" w:hAnsi="Arial"/>
          <w:i/>
          <w:sz w:val="20"/>
        </w:rPr>
        <w:t>Cr.</w:t>
      </w:r>
      <w:r>
        <w:rPr>
          <w:rFonts w:ascii="Arial" w:hAnsi="Arial"/>
          <w:i/>
          <w:spacing w:val="41"/>
          <w:sz w:val="20"/>
        </w:rPr>
        <w:t> </w:t>
      </w:r>
      <w:r>
        <w:rPr>
          <w:rFonts w:ascii="Arial" w:hAnsi="Arial"/>
          <w:i/>
          <w:sz w:val="20"/>
        </w:rPr>
        <w:t>250,</w:t>
      </w:r>
      <w:r>
        <w:rPr>
          <w:rFonts w:ascii="Arial" w:hAnsi="Arial"/>
          <w:i/>
          <w:spacing w:val="40"/>
          <w:sz w:val="20"/>
        </w:rPr>
        <w:t> </w:t>
      </w:r>
      <w:r>
        <w:rPr>
          <w:rFonts w:ascii="Arial" w:hAnsi="Arial"/>
          <w:i/>
          <w:sz w:val="20"/>
        </w:rPr>
        <w:t>254</w:t>
      </w:r>
      <w:r>
        <w:rPr>
          <w:sz w:val="20"/>
        </w:rPr>
        <w:t>;</w:t>
      </w:r>
      <w:r>
        <w:rPr>
          <w:spacing w:val="41"/>
          <w:sz w:val="20"/>
        </w:rPr>
        <w:t> </w:t>
      </w:r>
      <w:r>
        <w:rPr>
          <w:rFonts w:ascii="Arial" w:hAnsi="Arial"/>
          <w:i/>
          <w:sz w:val="20"/>
        </w:rPr>
        <w:t>Re</w:t>
      </w:r>
      <w:r>
        <w:rPr>
          <w:rFonts w:ascii="Arial" w:hAnsi="Arial"/>
          <w:i/>
          <w:spacing w:val="41"/>
          <w:sz w:val="20"/>
        </w:rPr>
        <w:t> </w:t>
      </w:r>
      <w:r>
        <w:rPr>
          <w:rFonts w:ascii="Arial" w:hAnsi="Arial"/>
          <w:i/>
          <w:sz w:val="20"/>
        </w:rPr>
        <w:t>D’Angibau</w:t>
      </w:r>
      <w:r>
        <w:rPr>
          <w:rFonts w:ascii="Arial" w:hAnsi="Arial"/>
          <w:i/>
          <w:spacing w:val="41"/>
          <w:sz w:val="20"/>
        </w:rPr>
        <w:t> </w:t>
      </w:r>
      <w:r>
        <w:rPr>
          <w:rFonts w:ascii="Arial" w:hAnsi="Arial"/>
          <w:i/>
          <w:sz w:val="20"/>
        </w:rPr>
        <w:t>(1880)</w:t>
      </w:r>
      <w:r>
        <w:rPr>
          <w:rFonts w:ascii="Arial" w:hAnsi="Arial"/>
          <w:i/>
          <w:spacing w:val="41"/>
          <w:sz w:val="20"/>
        </w:rPr>
        <w:t> </w:t>
      </w:r>
      <w:r>
        <w:rPr>
          <w:rFonts w:ascii="Arial" w:hAnsi="Arial"/>
          <w:i/>
          <w:sz w:val="20"/>
        </w:rPr>
        <w:t>15</w:t>
      </w:r>
      <w:r>
        <w:rPr>
          <w:rFonts w:ascii="Arial" w:hAnsi="Arial"/>
          <w:i/>
          <w:spacing w:val="41"/>
          <w:sz w:val="20"/>
        </w:rPr>
        <w:t> </w:t>
      </w:r>
      <w:r>
        <w:rPr>
          <w:rFonts w:ascii="Arial" w:hAnsi="Arial"/>
          <w:i/>
          <w:sz w:val="20"/>
        </w:rPr>
        <w:t>Ch.D.</w:t>
      </w:r>
      <w:r>
        <w:rPr>
          <w:rFonts w:ascii="Arial" w:hAnsi="Arial"/>
          <w:i/>
          <w:spacing w:val="41"/>
          <w:sz w:val="20"/>
        </w:rPr>
        <w:t> </w:t>
      </w:r>
      <w:r>
        <w:rPr>
          <w:rFonts w:ascii="Arial" w:hAnsi="Arial"/>
          <w:i/>
          <w:sz w:val="20"/>
        </w:rPr>
        <w:t>228</w:t>
      </w:r>
      <w:r>
        <w:rPr>
          <w:sz w:val="20"/>
        </w:rPr>
        <w:t>;</w:t>
      </w:r>
      <w:r>
        <w:rPr>
          <w:spacing w:val="41"/>
          <w:sz w:val="20"/>
        </w:rPr>
        <w:t> </w:t>
      </w:r>
      <w:r>
        <w:rPr>
          <w:rFonts w:ascii="Arial" w:hAnsi="Arial"/>
          <w:i/>
          <w:sz w:val="20"/>
        </w:rPr>
        <w:t>Green</w:t>
      </w:r>
      <w:r>
        <w:rPr>
          <w:rFonts w:ascii="Arial" w:hAnsi="Arial"/>
          <w:i/>
          <w:spacing w:val="41"/>
          <w:sz w:val="20"/>
        </w:rPr>
        <w:t> </w:t>
      </w:r>
      <w:r>
        <w:rPr>
          <w:rFonts w:ascii="Arial" w:hAnsi="Arial"/>
          <w:i/>
          <w:spacing w:val="-10"/>
          <w:sz w:val="20"/>
        </w:rPr>
        <w:t>v</w:t>
      </w:r>
    </w:p>
    <w:p>
      <w:pPr>
        <w:spacing w:line="235" w:lineRule="auto" w:before="2"/>
        <w:ind w:left="705" w:right="167" w:firstLine="0"/>
        <w:jc w:val="both"/>
        <w:rPr>
          <w:sz w:val="20"/>
        </w:rPr>
      </w:pPr>
      <w:r>
        <w:rPr>
          <w:rFonts w:ascii="Arial" w:hAnsi="Arial"/>
          <w:i/>
          <w:sz w:val="20"/>
        </w:rPr>
        <w:t>Patterson (1886) 32 Ch.D. 95, 107</w:t>
      </w:r>
      <w:r>
        <w:rPr>
          <w:sz w:val="20"/>
        </w:rPr>
        <w:t>; </w:t>
      </w:r>
      <w:r>
        <w:rPr>
          <w:rFonts w:ascii="Arial" w:hAnsi="Arial"/>
          <w:i/>
          <w:sz w:val="20"/>
        </w:rPr>
        <w:t>Re Plumptree’s Marriage Settlement [1910] 1 Ch. 609</w:t>
      </w:r>
      <w:r>
        <w:rPr>
          <w:sz w:val="20"/>
        </w:rPr>
        <w:t>; </w:t>
      </w:r>
      <w:r>
        <w:rPr>
          <w:rFonts w:ascii="Arial" w:hAnsi="Arial"/>
          <w:i/>
          <w:sz w:val="20"/>
        </w:rPr>
        <w:t>Re Cook’s Settlement Trust [1965] Ch. 902</w:t>
      </w:r>
      <w:r>
        <w:rPr>
          <w:sz w:val="20"/>
        </w:rPr>
        <w:t>. These cases, apart from forming an exception to the doctrine of privity, are also hard to reconcile with the modern definition of consideration: cf. above, para.4-033; the statement in </w:t>
      </w:r>
      <w:r>
        <w:rPr>
          <w:rFonts w:ascii="Arial" w:hAnsi="Arial"/>
          <w:i/>
          <w:sz w:val="20"/>
        </w:rPr>
        <w:t>Hill v Gomme</w:t>
      </w:r>
      <w:r>
        <w:rPr>
          <w:sz w:val="20"/>
        </w:rPr>
        <w:t>, above, that the children were “quasi-parties” is curiously reminiscent of the reasoning of </w:t>
      </w:r>
      <w:r>
        <w:rPr>
          <w:rFonts w:ascii="Arial" w:hAnsi="Arial"/>
          <w:i/>
          <w:sz w:val="20"/>
        </w:rPr>
        <w:t>Dutton v Poole</w:t>
      </w:r>
      <w:r>
        <w:rPr>
          <w:sz w:val="20"/>
        </w:rPr>
        <w:t>, cited in para.18-021, above.</w:t>
      </w:r>
    </w:p>
    <w:p>
      <w:pPr>
        <w:pStyle w:val="BodyText"/>
        <w:spacing w:before="191"/>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80128">
                <wp:simplePos x="0" y="0"/>
                <wp:positionH relativeFrom="page">
                  <wp:posOffset>4703826</wp:posOffset>
                </wp:positionH>
                <wp:positionV relativeFrom="paragraph">
                  <wp:posOffset>377436</wp:posOffset>
                </wp:positionV>
                <wp:extent cx="4254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36352"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4. - Contracts for the Benefit of Third </w:t>
      </w:r>
      <w:r>
        <w:rPr>
          <w:rFonts w:ascii="Arial"/>
          <w:b/>
          <w:spacing w:val="-2"/>
          <w:sz w:val="24"/>
        </w:rPr>
        <w:t>Parties</w:t>
      </w:r>
    </w:p>
    <w:p>
      <w:pPr>
        <w:spacing w:before="194"/>
        <w:ind w:left="2892" w:right="0" w:firstLine="0"/>
        <w:jc w:val="left"/>
        <w:rPr>
          <w:rFonts w:ascii="Arial"/>
          <w:b/>
          <w:sz w:val="24"/>
        </w:rPr>
      </w:pPr>
      <w:r>
        <w:rPr>
          <w:rFonts w:ascii="Arial"/>
          <w:b/>
          <w:sz w:val="24"/>
        </w:rPr>
        <w:t>(b) - Exceptions to the </w:t>
      </w:r>
      <w:r>
        <w:rPr>
          <w:rFonts w:ascii="Arial"/>
          <w:b/>
          <w:spacing w:val="-2"/>
          <w:sz w:val="24"/>
        </w:rPr>
        <w:t>Doctrine</w:t>
      </w:r>
    </w:p>
    <w:p>
      <w:pPr>
        <w:pStyle w:val="ListParagraph"/>
        <w:numPr>
          <w:ilvl w:val="0"/>
          <w:numId w:val="3"/>
        </w:numPr>
        <w:tabs>
          <w:tab w:pos="2157" w:val="left" w:leader="none"/>
        </w:tabs>
        <w:spacing w:line="240" w:lineRule="auto" w:before="194" w:after="0"/>
        <w:ind w:left="2157" w:right="0" w:hanging="359"/>
        <w:jc w:val="left"/>
        <w:rPr>
          <w:b/>
          <w:position w:val="11"/>
          <w:sz w:val="12"/>
        </w:rPr>
      </w:pPr>
      <w:bookmarkStart w:name="_bookmark1092" w:id="1094"/>
      <w:bookmarkEnd w:id="1094"/>
      <w:r>
        <w:rPr/>
      </w:r>
      <w:r>
        <w:rPr>
          <w:b/>
          <w:sz w:val="24"/>
        </w:rPr>
        <w:t>- Contracts (Rights of Third Parties) Act 1999</w:t>
      </w:r>
      <w:r>
        <w:rPr>
          <w:b/>
          <w:spacing w:val="-1"/>
          <w:sz w:val="24"/>
        </w:rPr>
        <w:t> </w:t>
      </w:r>
      <w:r>
        <w:rPr>
          <w:b/>
          <w:color w:val="005DA1"/>
          <w:spacing w:val="-5"/>
          <w:position w:val="11"/>
          <w:sz w:val="12"/>
          <w:u w:val="single" w:color="005DA1"/>
        </w:rPr>
        <w:t>572</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hAnsi="Arial"/>
          <w:b/>
          <w:sz w:val="18"/>
        </w:rPr>
      </w:pPr>
      <w:r>
        <w:rPr>
          <w:rFonts w:ascii="Arial" w:hAnsi="Arial"/>
          <w:b/>
          <w:sz w:val="18"/>
        </w:rPr>
        <w:t>Third party’s right of </w:t>
      </w:r>
      <w:r>
        <w:rPr>
          <w:rFonts w:ascii="Arial" w:hAnsi="Arial"/>
          <w:b/>
          <w:spacing w:val="-2"/>
          <w:sz w:val="18"/>
        </w:rPr>
        <w:t>enforcement</w:t>
      </w:r>
    </w:p>
    <w:p>
      <w:pPr>
        <w:pStyle w:val="BodyText"/>
        <w:spacing w:before="41"/>
        <w:rPr>
          <w:rFonts w:ascii="Arial"/>
          <w:b/>
          <w:sz w:val="18"/>
        </w:rPr>
      </w:pPr>
    </w:p>
    <w:p>
      <w:pPr>
        <w:pStyle w:val="Heading2"/>
      </w:pPr>
      <w:r>
        <w:rPr/>
        <w:t>18-</w:t>
      </w:r>
      <w:r>
        <w:rPr>
          <w:spacing w:val="-5"/>
        </w:rPr>
        <w:t>090</w:t>
      </w:r>
    </w:p>
    <w:p>
      <w:pPr>
        <w:pStyle w:val="BodyText"/>
        <w:spacing w:line="235" w:lineRule="auto" w:before="203"/>
        <w:ind w:left="165" w:right="167"/>
        <w:jc w:val="both"/>
      </w:pPr>
      <w:bookmarkStart w:name="_bookmark1093" w:id="1095"/>
      <w:bookmarkEnd w:id="1095"/>
      <w:r>
        <w:rPr/>
      </w:r>
      <w:r>
        <w:rPr/>
        <w:t>“A general and wide-ranging exception to” the doctrine of privity is created by this Act, the central purpose of which </w:t>
      </w:r>
      <w:r>
        <w:rPr>
          <w:color w:val="005DA1"/>
          <w:u w:val="single" w:color="005DA1"/>
          <w:vertAlign w:val="superscript"/>
        </w:rPr>
        <w:t>573</w:t>
      </w:r>
      <w:r>
        <w:rPr>
          <w:color w:val="005DA1"/>
          <w:vertAlign w:val="baseline"/>
        </w:rPr>
        <w:t> </w:t>
      </w:r>
      <w:r>
        <w:rPr>
          <w:vertAlign w:val="baseline"/>
        </w:rPr>
        <w:t>is to enable a third party to acquire rights under a contract if, and to the </w:t>
      </w:r>
      <w:r>
        <w:rPr>
          <w:vertAlign w:val="baseline"/>
        </w:rPr>
        <w:t>extent that, the parties to the contract so intend. Section 1(1) provides that a person who is not a party to the contract may in his own right enforce a term of the contract in the two situations to be described in paras 18-091 to 18-095 below. In discussing these situations and other provisions of the Act, it will be </w:t>
      </w:r>
      <w:bookmarkStart w:name="_bookmark1094" w:id="1096"/>
      <w:bookmarkEnd w:id="1096"/>
      <w:r>
        <w:rPr>
          <w:vertAlign w:val="baseline"/>
        </w:rPr>
        <w:t>convenient</w:t>
      </w:r>
      <w:r>
        <w:rPr>
          <w:vertAlign w:val="baseline"/>
        </w:rPr>
        <w:t> to refer to the person who makes the promise which the third party is claiming to enforce (the promisor) as A, to the person to whom that promise is made (the promisee) as B </w:t>
      </w:r>
      <w:r>
        <w:rPr>
          <w:color w:val="005DA1"/>
          <w:u w:val="single" w:color="005DA1"/>
          <w:vertAlign w:val="superscript"/>
        </w:rPr>
        <w:t>574</w:t>
      </w:r>
      <w:r>
        <w:rPr>
          <w:color w:val="005DA1"/>
          <w:vertAlign w:val="baseline"/>
        </w:rPr>
        <w:t> </w:t>
      </w:r>
      <w:r>
        <w:rPr>
          <w:vertAlign w:val="baseline"/>
        </w:rPr>
        <w:t>and to the third party as C.</w:t>
      </w:r>
    </w:p>
    <w:p>
      <w:pPr>
        <w:pStyle w:val="BodyText"/>
      </w:pPr>
    </w:p>
    <w:p>
      <w:pPr>
        <w:pStyle w:val="BodyText"/>
        <w:spacing w:before="35"/>
      </w:pPr>
    </w:p>
    <w:p>
      <w:pPr>
        <w:spacing w:before="0"/>
        <w:ind w:left="165" w:right="0" w:firstLine="0"/>
        <w:jc w:val="both"/>
        <w:rPr>
          <w:rFonts w:ascii="Arial"/>
          <w:b/>
          <w:sz w:val="18"/>
        </w:rPr>
      </w:pPr>
      <w:r>
        <w:rPr>
          <w:rFonts w:ascii="Arial"/>
          <w:b/>
          <w:sz w:val="18"/>
        </w:rPr>
        <w:t>Express </w:t>
      </w:r>
      <w:r>
        <w:rPr>
          <w:rFonts w:ascii="Arial"/>
          <w:b/>
          <w:spacing w:val="-2"/>
          <w:sz w:val="18"/>
        </w:rPr>
        <w:t>provision</w:t>
      </w:r>
    </w:p>
    <w:p>
      <w:pPr>
        <w:pStyle w:val="BodyText"/>
        <w:spacing w:before="42"/>
        <w:rPr>
          <w:rFonts w:ascii="Arial"/>
          <w:b/>
          <w:sz w:val="18"/>
        </w:rPr>
      </w:pPr>
    </w:p>
    <w:p>
      <w:pPr>
        <w:pStyle w:val="Heading2"/>
      </w:pPr>
      <w:r>
        <w:rPr/>
        <w:t>18-</w:t>
      </w:r>
      <w:r>
        <w:rPr>
          <w:spacing w:val="-5"/>
        </w:rPr>
        <w:t>091</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Under s.1(1)(a) of the 1999 Act, C can enforce a term of the contract if “the contract expressly provides that he may”: e.g. where a contract contains a promise by A to B to pay £1,000 to C and goes on to provide that C is to be entitled to enforce the term which contains this promise. If the contract contains such a provision, there is no further requirement (as there is under s.1(1)(b), to be discussed in paras 18-093 and 18-095 below) that the promise must have been made for C’s </w:t>
      </w:r>
      <w:r>
        <w:rPr/>
        <w:t>own </w:t>
      </w:r>
      <w:bookmarkStart w:name="_bookmark1095" w:id="1097"/>
      <w:bookmarkEnd w:id="1097"/>
      <w:r>
        <w:rPr/>
        <w:t>benefit:</w:t>
      </w:r>
      <w:r>
        <w:rPr/>
        <w:t> C can, for example, enforce the term even though the payment is to be made to him as trustee for D. </w:t>
      </w:r>
      <w:r>
        <w:rPr>
          <w:color w:val="005DA1"/>
          <w:u w:val="single" w:color="005DA1"/>
          <w:vertAlign w:val="superscript"/>
        </w:rPr>
        <w:t>575</w:t>
      </w:r>
      <w:r>
        <w:rPr>
          <w:color w:val="005DA1"/>
          <w:vertAlign w:val="baseline"/>
        </w:rPr>
        <w:t> </w:t>
      </w:r>
      <w:r>
        <w:rPr>
          <w:vertAlign w:val="baseline"/>
        </w:rPr>
        <w:t>Express contractual provisions of the kind just described, to the effect that C is to be entitled to enforce the term containing the promise made by A to B, were, before the 1999 Act, rare, presumably because under the doctrine of privity they would at common law have been ineffective. The 1999 Act provides a new drafting device to enable the contracting parties to give effect to their </w:t>
      </w:r>
      <w:bookmarkStart w:name="_bookmark1096" w:id="1098"/>
      <w:bookmarkEnd w:id="1098"/>
      <w:r>
        <w:rPr>
          <w:vertAlign w:val="baseline"/>
        </w:rPr>
        <w:t>intention</w:t>
      </w:r>
      <w:r>
        <w:rPr>
          <w:vertAlign w:val="baseline"/>
        </w:rPr>
        <w:t> that C is to acquire an enforceable right against A. Apart from the Act, a similar result can be achieved by creating a trust of A’s promise in favour of C </w:t>
      </w:r>
      <w:r>
        <w:rPr>
          <w:color w:val="005DA1"/>
          <w:u w:val="single" w:color="005DA1"/>
          <w:vertAlign w:val="superscript"/>
        </w:rPr>
        <w:t>576</w:t>
      </w:r>
      <w:r>
        <w:rPr>
          <w:color w:val="005DA1"/>
          <w:vertAlign w:val="baseline"/>
        </w:rPr>
        <w:t> </w:t>
      </w:r>
      <w:r>
        <w:rPr>
          <w:vertAlign w:val="baseline"/>
        </w:rPr>
        <w:t>or by making C a co-promisee with B. </w:t>
      </w:r>
      <w:r>
        <w:rPr>
          <w:color w:val="005DA1"/>
          <w:u w:val="single" w:color="005DA1"/>
          <w:vertAlign w:val="superscript"/>
        </w:rPr>
        <w:t>577</w:t>
      </w:r>
      <w:r>
        <w:rPr>
          <w:color w:val="005DA1"/>
          <w:vertAlign w:val="baseline"/>
        </w:rPr>
        <w:t> </w:t>
      </w:r>
      <w:bookmarkStart w:name="_bookmark1097" w:id="1099"/>
      <w:bookmarkEnd w:id="1099"/>
      <w:r>
        <w:rPr>
          <w:color w:val="005DA1"/>
          <w:w w:val="92"/>
          <w:vertAlign w:val="baseline"/>
        </w:rPr>
      </w:r>
      <w:r>
        <w:rPr>
          <w:vertAlign w:val="baseline"/>
        </w:rPr>
        <w:t>There is a procedural advantage in making use of the machinery of s.1(1)(a) in that, if C sues under this provision, he will not (it seems) need to join B as a party to the action </w:t>
      </w:r>
      <w:r>
        <w:rPr>
          <w:color w:val="005DA1"/>
          <w:u w:val="single" w:color="005DA1"/>
          <w:vertAlign w:val="superscript"/>
        </w:rPr>
        <w:t>578</w:t>
      </w:r>
      <w:r>
        <w:rPr>
          <w:vertAlign w:val="baseline"/>
        </w:rPr>
        <w:t>; though the court could </w:t>
      </w:r>
      <w:bookmarkStart w:name="_bookmark1098" w:id="1100"/>
      <w:bookmarkEnd w:id="1100"/>
      <w:r>
        <w:rPr>
          <w:vertAlign w:val="baseline"/>
        </w:rPr>
        <w:t>order</w:t>
      </w:r>
      <w:r>
        <w:rPr>
          <w:spacing w:val="-1"/>
          <w:vertAlign w:val="baseline"/>
        </w:rPr>
        <w:t> </w:t>
      </w:r>
      <w:r>
        <w:rPr>
          <w:vertAlign w:val="baseline"/>
        </w:rPr>
        <w:t>B</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so</w:t>
      </w:r>
      <w:r>
        <w:rPr>
          <w:spacing w:val="-1"/>
          <w:vertAlign w:val="baseline"/>
        </w:rPr>
        <w:t> </w:t>
      </w:r>
      <w:r>
        <w:rPr>
          <w:vertAlign w:val="baseline"/>
        </w:rPr>
        <w:t>joined</w:t>
      </w:r>
      <w:r>
        <w:rPr>
          <w:spacing w:val="-1"/>
          <w:vertAlign w:val="baseline"/>
        </w:rPr>
        <w:t> </w:t>
      </w:r>
      <w:r>
        <w:rPr>
          <w:vertAlign w:val="baseline"/>
        </w:rPr>
        <w:t>where</w:t>
      </w:r>
      <w:r>
        <w:rPr>
          <w:spacing w:val="-1"/>
          <w:vertAlign w:val="baseline"/>
        </w:rPr>
        <w:t> </w:t>
      </w:r>
      <w:r>
        <w:rPr>
          <w:vertAlign w:val="baseline"/>
        </w:rPr>
        <w:t>claims</w:t>
      </w:r>
      <w:r>
        <w:rPr>
          <w:spacing w:val="-1"/>
          <w:vertAlign w:val="baseline"/>
        </w:rPr>
        <w:t> </w:t>
      </w:r>
      <w:r>
        <w:rPr>
          <w:vertAlign w:val="baseline"/>
        </w:rPr>
        <w:t>against</w:t>
      </w:r>
      <w:r>
        <w:rPr>
          <w:spacing w:val="-1"/>
          <w:vertAlign w:val="baseline"/>
        </w:rPr>
        <w:t> </w:t>
      </w:r>
      <w:r>
        <w:rPr>
          <w:vertAlign w:val="baseline"/>
        </w:rPr>
        <w:t>A</w:t>
      </w:r>
      <w:r>
        <w:rPr>
          <w:spacing w:val="-1"/>
          <w:vertAlign w:val="baseline"/>
        </w:rPr>
        <w:t> </w:t>
      </w:r>
      <w:r>
        <w:rPr>
          <w:vertAlign w:val="baseline"/>
        </w:rPr>
        <w:t>were</w:t>
      </w:r>
      <w:r>
        <w:rPr>
          <w:spacing w:val="-1"/>
          <w:vertAlign w:val="baseline"/>
        </w:rPr>
        <w:t> </w:t>
      </w:r>
      <w:r>
        <w:rPr>
          <w:vertAlign w:val="baseline"/>
        </w:rPr>
        <w:t>made</w:t>
      </w:r>
      <w:r>
        <w:rPr>
          <w:spacing w:val="-1"/>
          <w:vertAlign w:val="baseline"/>
        </w:rPr>
        <w:t> </w:t>
      </w:r>
      <w:r>
        <w:rPr>
          <w:vertAlign w:val="baseline"/>
        </w:rPr>
        <w:t>by</w:t>
      </w:r>
      <w:r>
        <w:rPr>
          <w:spacing w:val="-1"/>
          <w:vertAlign w:val="baseline"/>
        </w:rPr>
        <w:t> </w:t>
      </w:r>
      <w:r>
        <w:rPr>
          <w:vertAlign w:val="baseline"/>
        </w:rPr>
        <w:t>both</w:t>
      </w:r>
      <w:r>
        <w:rPr>
          <w:spacing w:val="-1"/>
          <w:vertAlign w:val="baseline"/>
        </w:rPr>
        <w:t> </w:t>
      </w:r>
      <w:r>
        <w:rPr>
          <w:vertAlign w:val="baseline"/>
        </w:rPr>
        <w:t>B</w:t>
      </w:r>
      <w:r>
        <w:rPr>
          <w:spacing w:val="-1"/>
          <w:vertAlign w:val="baseline"/>
        </w:rPr>
        <w:t> </w:t>
      </w:r>
      <w:r>
        <w:rPr>
          <w:vertAlign w:val="baseline"/>
        </w:rPr>
        <w:t>and</w:t>
      </w:r>
      <w:r>
        <w:rPr>
          <w:spacing w:val="-1"/>
          <w:vertAlign w:val="baseline"/>
        </w:rPr>
        <w:t> </w:t>
      </w:r>
      <w:r>
        <w:rPr>
          <w:vertAlign w:val="baseline"/>
        </w:rPr>
        <w:t>C,</w:t>
      </w:r>
      <w:r>
        <w:rPr>
          <w:spacing w:val="-1"/>
          <w:vertAlign w:val="baseline"/>
        </w:rPr>
        <w:t> </w:t>
      </w:r>
      <w:r>
        <w:rPr>
          <w:vertAlign w:val="baseline"/>
        </w:rPr>
        <w:t>or</w:t>
      </w:r>
      <w:r>
        <w:rPr>
          <w:spacing w:val="-1"/>
          <w:vertAlign w:val="baseline"/>
        </w:rPr>
        <w:t> </w:t>
      </w:r>
      <w:r>
        <w:rPr>
          <w:vertAlign w:val="baseline"/>
        </w:rPr>
        <w:t>where</w:t>
      </w:r>
      <w:r>
        <w:rPr>
          <w:spacing w:val="-1"/>
          <w:vertAlign w:val="baseline"/>
        </w:rPr>
        <w:t> </w:t>
      </w:r>
      <w:r>
        <w:rPr>
          <w:vertAlign w:val="baseline"/>
        </w:rPr>
        <w:t>A</w:t>
      </w:r>
      <w:r>
        <w:rPr>
          <w:spacing w:val="-1"/>
          <w:vertAlign w:val="baseline"/>
        </w:rPr>
        <w:t> </w:t>
      </w:r>
      <w:r>
        <w:rPr>
          <w:vertAlign w:val="baseline"/>
        </w:rPr>
        <w:t>relied</w:t>
      </w:r>
      <w:r>
        <w:rPr>
          <w:spacing w:val="-1"/>
          <w:vertAlign w:val="baseline"/>
        </w:rPr>
        <w:t> </w:t>
      </w:r>
      <w:r>
        <w:rPr>
          <w:vertAlign w:val="baseline"/>
        </w:rPr>
        <w:t>against </w:t>
      </w:r>
      <w:bookmarkStart w:name="_bookmark1099" w:id="1101"/>
      <w:bookmarkEnd w:id="1101"/>
      <w:r>
        <w:rPr>
          <w:vertAlign w:val="baseline"/>
        </w:rPr>
        <w:t>C</w:t>
      </w:r>
      <w:r>
        <w:rPr>
          <w:vertAlign w:val="baseline"/>
        </w:rPr>
        <w:t> on a defence available to A against B, </w:t>
      </w:r>
      <w:r>
        <w:rPr>
          <w:color w:val="005DA1"/>
          <w:u w:val="single" w:color="005DA1"/>
          <w:vertAlign w:val="superscript"/>
        </w:rPr>
        <w:t>579</w:t>
      </w:r>
      <w:r>
        <w:rPr>
          <w:color w:val="005DA1"/>
          <w:vertAlign w:val="baseline"/>
        </w:rPr>
        <w:t> </w:t>
      </w:r>
      <w:r>
        <w:rPr>
          <w:vertAlign w:val="baseline"/>
        </w:rPr>
        <w:t>since in such a case B’s presence before the court is</w:t>
      </w:r>
      <w:r>
        <w:rPr>
          <w:spacing w:val="40"/>
          <w:vertAlign w:val="baseline"/>
        </w:rPr>
        <w:t> </w:t>
      </w:r>
      <w:r>
        <w:rPr>
          <w:vertAlign w:val="baseline"/>
        </w:rPr>
        <w:t>likely</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“desirable</w:t>
      </w:r>
      <w:r>
        <w:rPr>
          <w:spacing w:val="1"/>
          <w:vertAlign w:val="baseline"/>
        </w:rPr>
        <w:t> </w:t>
      </w:r>
      <w:r>
        <w:rPr>
          <w:vertAlign w:val="baseline"/>
        </w:rPr>
        <w:t>…</w:t>
      </w:r>
      <w:r>
        <w:rPr>
          <w:spacing w:val="1"/>
          <w:vertAlign w:val="baseline"/>
        </w:rPr>
        <w:t> </w:t>
      </w:r>
      <w:r>
        <w:rPr>
          <w:vertAlign w:val="baseline"/>
        </w:rPr>
        <w:t>so</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can</w:t>
      </w:r>
      <w:r>
        <w:rPr>
          <w:spacing w:val="1"/>
          <w:vertAlign w:val="baseline"/>
        </w:rPr>
        <w:t> </w:t>
      </w:r>
      <w:r>
        <w:rPr>
          <w:vertAlign w:val="baseline"/>
        </w:rPr>
        <w:t>resolve</w:t>
      </w:r>
      <w:r>
        <w:rPr>
          <w:spacing w:val="1"/>
          <w:vertAlign w:val="baseline"/>
        </w:rPr>
        <w:t> </w:t>
      </w:r>
      <w:r>
        <w:rPr>
          <w:vertAlign w:val="baseline"/>
        </w:rPr>
        <w:t>all</w:t>
      </w:r>
      <w:r>
        <w:rPr>
          <w:spacing w:val="1"/>
          <w:vertAlign w:val="baseline"/>
        </w:rPr>
        <w:t> </w:t>
      </w:r>
      <w:r>
        <w:rPr>
          <w:vertAlign w:val="baseline"/>
        </w:rPr>
        <w:t>the</w:t>
      </w:r>
      <w:r>
        <w:rPr>
          <w:spacing w:val="1"/>
          <w:vertAlign w:val="baseline"/>
        </w:rPr>
        <w:t> </w:t>
      </w:r>
      <w:r>
        <w:rPr>
          <w:vertAlign w:val="baseline"/>
        </w:rPr>
        <w:t>matters</w:t>
      </w:r>
      <w:r>
        <w:rPr>
          <w:spacing w:val="1"/>
          <w:vertAlign w:val="baseline"/>
        </w:rPr>
        <w:t> </w:t>
      </w:r>
      <w:r>
        <w:rPr>
          <w:vertAlign w:val="baseline"/>
        </w:rPr>
        <w:t>in</w:t>
      </w:r>
      <w:r>
        <w:rPr>
          <w:spacing w:val="1"/>
          <w:vertAlign w:val="baseline"/>
        </w:rPr>
        <w:t> </w:t>
      </w:r>
      <w:r>
        <w:rPr>
          <w:vertAlign w:val="baseline"/>
        </w:rPr>
        <w:t>dispute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proceedings.”</w:t>
      </w:r>
      <w:r>
        <w:rPr>
          <w:spacing w:val="-1"/>
          <w:vertAlign w:val="baseline"/>
        </w:rPr>
        <w:t> </w:t>
      </w:r>
      <w:r>
        <w:rPr>
          <w:color w:val="005DA1"/>
          <w:spacing w:val="-8"/>
          <w:u w:val="single" w:color="005DA1"/>
          <w:vertAlign w:val="superscript"/>
        </w:rPr>
        <w:t>580</w:t>
      </w:r>
    </w:p>
    <w:p>
      <w:pPr>
        <w:pStyle w:val="BodyText"/>
        <w:spacing w:line="235" w:lineRule="auto" w:before="114"/>
        <w:ind w:left="165" w:right="167" w:firstLine="178"/>
        <w:jc w:val="both"/>
      </w:pPr>
      <w:r>
        <w:rPr>
          <w:position w:val="-2"/>
        </w:rPr>
        <w:drawing>
          <wp:inline distT="0" distB="0" distL="0" distR="0">
            <wp:extent cx="107988" cy="107988"/>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37"/>
        </w:rPr>
        <w:t> </w:t>
      </w:r>
      <w:r>
        <w:rPr/>
        <w:t>If</w:t>
      </w:r>
      <w:r>
        <w:rPr>
          <w:spacing w:val="31"/>
        </w:rPr>
        <w:t> </w:t>
      </w:r>
      <w:r>
        <w:rPr/>
        <w:t>C</w:t>
      </w:r>
      <w:r>
        <w:rPr>
          <w:spacing w:val="31"/>
        </w:rPr>
        <w:t> </w:t>
      </w:r>
      <w:r>
        <w:rPr/>
        <w:t>does</w:t>
      </w:r>
      <w:r>
        <w:rPr>
          <w:spacing w:val="31"/>
        </w:rPr>
        <w:t> </w:t>
      </w:r>
      <w:r>
        <w:rPr/>
        <w:t>have</w:t>
      </w:r>
      <w:r>
        <w:rPr>
          <w:spacing w:val="31"/>
        </w:rPr>
        <w:t> </w:t>
      </w:r>
      <w:r>
        <w:rPr/>
        <w:t>a</w:t>
      </w:r>
      <w:r>
        <w:rPr>
          <w:spacing w:val="31"/>
        </w:rPr>
        <w:t> </w:t>
      </w:r>
      <w:r>
        <w:rPr/>
        <w:t>claim</w:t>
      </w:r>
      <w:r>
        <w:rPr>
          <w:spacing w:val="31"/>
        </w:rPr>
        <w:t> </w:t>
      </w:r>
      <w:r>
        <w:rPr/>
        <w:t>apart</w:t>
      </w:r>
      <w:r>
        <w:rPr>
          <w:spacing w:val="31"/>
        </w:rPr>
        <w:t> </w:t>
      </w:r>
      <w:r>
        <w:rPr/>
        <w:t>from</w:t>
      </w:r>
      <w:r>
        <w:rPr>
          <w:spacing w:val="31"/>
        </w:rPr>
        <w:t> </w:t>
      </w:r>
      <w:r>
        <w:rPr/>
        <w:t>the</w:t>
      </w:r>
      <w:r>
        <w:rPr>
          <w:spacing w:val="31"/>
        </w:rPr>
        <w:t> </w:t>
      </w:r>
      <w:r>
        <w:rPr/>
        <w:t>Act</w:t>
      </w:r>
      <w:r>
        <w:rPr>
          <w:spacing w:val="31"/>
        </w:rPr>
        <w:t> </w:t>
      </w:r>
      <w:r>
        <w:rPr/>
        <w:t>as</w:t>
      </w:r>
      <w:r>
        <w:rPr>
          <w:spacing w:val="31"/>
        </w:rPr>
        <w:t> </w:t>
      </w:r>
      <w:r>
        <w:rPr/>
        <w:t>the</w:t>
      </w:r>
      <w:r>
        <w:rPr>
          <w:spacing w:val="31"/>
        </w:rPr>
        <w:t> </w:t>
      </w:r>
      <w:r>
        <w:rPr/>
        <w:t>beneficiary</w:t>
      </w:r>
      <w:r>
        <w:rPr>
          <w:spacing w:val="31"/>
        </w:rPr>
        <w:t> </w:t>
      </w:r>
      <w:r>
        <w:rPr/>
        <w:t>of</w:t>
      </w:r>
      <w:r>
        <w:rPr>
          <w:spacing w:val="31"/>
        </w:rPr>
        <w:t> </w:t>
      </w:r>
      <w:r>
        <w:rPr/>
        <w:t>a</w:t>
      </w:r>
      <w:r>
        <w:rPr>
          <w:spacing w:val="31"/>
        </w:rPr>
        <w:t> </w:t>
      </w:r>
      <w:r>
        <w:rPr/>
        <w:t>trust</w:t>
      </w:r>
      <w:r>
        <w:rPr>
          <w:spacing w:val="31"/>
        </w:rPr>
        <w:t> </w:t>
      </w:r>
      <w:r>
        <w:rPr/>
        <w:t>of</w:t>
      </w:r>
      <w:r>
        <w:rPr>
          <w:spacing w:val="31"/>
        </w:rPr>
        <w:t> </w:t>
      </w:r>
      <w:r>
        <w:rPr/>
        <w:t>A’s</w:t>
      </w:r>
      <w:r>
        <w:rPr>
          <w:spacing w:val="31"/>
        </w:rPr>
        <w:t> </w:t>
      </w:r>
      <w:r>
        <w:rPr/>
        <w:t>promise</w:t>
      </w:r>
      <w:r>
        <w:rPr>
          <w:spacing w:val="31"/>
        </w:rPr>
        <w:t> </w:t>
      </w:r>
      <w:r>
        <w:rPr/>
        <w:t>or</w:t>
      </w:r>
      <w:r>
        <w:rPr>
          <w:spacing w:val="31"/>
        </w:rPr>
        <w:t> </w:t>
      </w:r>
      <w:r>
        <w:rPr/>
        <w:t>as co-promisee, it may, in spite of the need to join B to the action, be in C’s interest to pursue that claim since it would not be subject to other provisions of the Act which may restrict C’s rights under it: e.g.</w:t>
      </w:r>
      <w:r>
        <w:rPr>
          <w:spacing w:val="40"/>
        </w:rPr>
        <w:t> </w:t>
      </w:r>
      <w:bookmarkStart w:name="_bookmark1100" w:id="1102"/>
      <w:bookmarkEnd w:id="1102"/>
      <w:r>
        <w:rPr/>
        <w:t>to</w:t>
      </w:r>
      <w:r>
        <w:rPr/>
        <w:t> those relating to the rescission or variation of the contract between A and B, or to defences available to A against B. </w:t>
      </w:r>
      <w:r>
        <w:rPr>
          <w:color w:val="005DA1"/>
          <w:u w:val="single" w:color="005DA1"/>
          <w:vertAlign w:val="superscript"/>
        </w:rPr>
        <w:t>581</w:t>
      </w:r>
    </w:p>
    <w:p>
      <w:pPr>
        <w:pStyle w:val="BodyText"/>
        <w:spacing w:after="0" w:line="235" w:lineRule="auto"/>
        <w:jc w:val="both"/>
        <w:sectPr>
          <w:headerReference w:type="default" r:id="rId20"/>
          <w:pgSz w:w="11900" w:h="16840"/>
          <w:pgMar w:header="971" w:footer="0" w:top="1160" w:bottom="280" w:left="1275" w:right="1275"/>
          <w:pgNumType w:start="1"/>
        </w:sectPr>
      </w:pPr>
    </w:p>
    <w:p>
      <w:pPr>
        <w:pStyle w:val="BodyText"/>
        <w:spacing w:before="130"/>
        <w:rPr>
          <w:sz w:val="24"/>
        </w:rPr>
      </w:pPr>
    </w:p>
    <w:p>
      <w:pPr>
        <w:pStyle w:val="Heading2"/>
      </w:pPr>
      <w:r>
        <w:rPr/>
        <w:t>18-</w:t>
      </w:r>
      <w:r>
        <w:rPr>
          <w:spacing w:val="-5"/>
        </w:rPr>
        <w:t>092</w:t>
      </w:r>
    </w:p>
    <w:p>
      <w:pPr>
        <w:pStyle w:val="BodyText"/>
        <w:spacing w:line="235" w:lineRule="auto" w:before="203"/>
        <w:ind w:left="165" w:right="167"/>
        <w:jc w:val="both"/>
      </w:pPr>
      <w:bookmarkStart w:name="_bookmark1101" w:id="1103"/>
      <w:bookmarkEnd w:id="1103"/>
      <w:r>
        <w:rPr/>
      </w:r>
      <w:r>
        <w:rPr/>
        <w:t>Section 1(1)(a) is also likely to apply to terms such as Himalaya clauses, </w:t>
      </w:r>
      <w:r>
        <w:rPr>
          <w:color w:val="005DA1"/>
          <w:u w:val="single" w:color="005DA1"/>
          <w:vertAlign w:val="superscript"/>
        </w:rPr>
        <w:t>582</w:t>
      </w:r>
      <w:r>
        <w:rPr>
          <w:color w:val="005DA1"/>
          <w:vertAlign w:val="baseline"/>
        </w:rPr>
        <w:t> </w:t>
      </w:r>
      <w:r>
        <w:rPr>
          <w:vertAlign w:val="baseline"/>
        </w:rPr>
        <w:t>contained in a </w:t>
      </w:r>
      <w:r>
        <w:rPr>
          <w:vertAlign w:val="baseline"/>
        </w:rPr>
        <w:t>contract between A and B by which A promises B that any exemptions from or limitations of liability available under that contract to B shall also be available for the benefit of C, who typically will be an employee, agent or subcontractor employed by B for the purpose of performing some or all of B’s obligations </w:t>
      </w:r>
      <w:bookmarkStart w:name="_bookmark1102" w:id="1104"/>
      <w:bookmarkEnd w:id="1104"/>
      <w:r>
        <w:rPr>
          <w:vertAlign w:val="baseline"/>
        </w:rPr>
        <w:t>under</w:t>
      </w:r>
      <w:r>
        <w:rPr>
          <w:vertAlign w:val="baseline"/>
        </w:rPr>
        <w:t> the contract. This follows from s.1(6) of the 1999 Act, by which references to C’s “enforcing” a term which “excludes or limits liability” </w:t>
      </w:r>
      <w:r>
        <w:rPr>
          <w:color w:val="005DA1"/>
          <w:u w:val="single" w:color="005DA1"/>
          <w:vertAlign w:val="superscript"/>
        </w:rPr>
        <w:t>583</w:t>
      </w:r>
      <w:r>
        <w:rPr>
          <w:color w:val="005DA1"/>
          <w:vertAlign w:val="baseline"/>
        </w:rPr>
        <w:t> </w:t>
      </w:r>
      <w:r>
        <w:rPr>
          <w:vertAlign w:val="baseline"/>
        </w:rPr>
        <w:t>are to be “construed as references to his availing himself of the exclusion or limitation.” Words in the contract to the effect that C is to be protected by the </w:t>
      </w:r>
      <w:bookmarkStart w:name="_bookmark1103" w:id="1105"/>
      <w:bookmarkEnd w:id="1105"/>
      <w:r>
        <w:rPr>
          <w:vertAlign w:val="baseline"/>
        </w:rPr>
        <w:t>exemption</w:t>
      </w:r>
      <w:r>
        <w:rPr>
          <w:vertAlign w:val="baseline"/>
        </w:rPr>
        <w:t> or limitation clause therefore amount in themselves to an express provision that C may enforce the clause </w:t>
      </w:r>
      <w:r>
        <w:rPr>
          <w:color w:val="005DA1"/>
          <w:u w:val="single" w:color="005DA1"/>
          <w:vertAlign w:val="superscript"/>
        </w:rPr>
        <w:t>584</w:t>
      </w:r>
      <w:r>
        <w:rPr>
          <w:vertAlign w:val="baseline"/>
        </w:rPr>
        <w:t>; no further words will be necessary. C’s protection under the Act will, however, be based on a theory different from that which accounts for the effectiveness of Himalaya clauses at </w:t>
      </w:r>
      <w:bookmarkStart w:name="_bookmark1104" w:id="1106"/>
      <w:bookmarkEnd w:id="1106"/>
      <w:r>
        <w:rPr>
          <w:vertAlign w:val="baseline"/>
        </w:rPr>
        <w:t>common</w:t>
      </w:r>
      <w:r>
        <w:rPr>
          <w:vertAlign w:val="baseline"/>
        </w:rPr>
        <w:t> law. The common law theory is that such clauses, and the conduct of the relevant parties, </w:t>
      </w:r>
      <w:bookmarkStart w:name="_bookmark1105" w:id="1107"/>
      <w:bookmarkEnd w:id="1107"/>
      <w:r>
        <w:rPr>
          <w:vertAlign w:val="baseline"/>
        </w:rPr>
        <w:t>can</w:t>
      </w:r>
      <w:r>
        <w:rPr>
          <w:vertAlign w:val="baseline"/>
        </w:rPr>
        <w:t> give rise to a separate or collateral contract between A and C. </w:t>
      </w:r>
      <w:r>
        <w:rPr>
          <w:color w:val="005DA1"/>
          <w:u w:val="single" w:color="005DA1"/>
          <w:vertAlign w:val="superscript"/>
        </w:rPr>
        <w:t>585</w:t>
      </w:r>
      <w:r>
        <w:rPr>
          <w:color w:val="005DA1"/>
          <w:vertAlign w:val="baseline"/>
        </w:rPr>
        <w:t> </w:t>
      </w:r>
      <w:r>
        <w:rPr>
          <w:vertAlign w:val="baseline"/>
        </w:rPr>
        <w:t>Under the Act, by contrast, C </w:t>
      </w:r>
      <w:bookmarkStart w:name="_bookmark1106" w:id="1108"/>
      <w:bookmarkEnd w:id="1108"/>
      <w:r>
        <w:rPr>
          <w:vertAlign w:val="baseline"/>
        </w:rPr>
        <w:t>enforces</w:t>
      </w:r>
      <w:r>
        <w:rPr>
          <w:vertAlign w:val="baseline"/>
        </w:rPr>
        <w:t> a term of a contract to which he is </w:t>
      </w:r>
      <w:r>
        <w:rPr>
          <w:rFonts w:ascii="Arial" w:hAnsi="Arial"/>
          <w:i/>
          <w:vertAlign w:val="baseline"/>
        </w:rPr>
        <w:t>not </w:t>
      </w:r>
      <w:r>
        <w:rPr>
          <w:vertAlign w:val="baseline"/>
        </w:rPr>
        <w:t>a party. </w:t>
      </w:r>
      <w:r>
        <w:rPr>
          <w:color w:val="005DA1"/>
          <w:u w:val="single" w:color="005DA1"/>
          <w:vertAlign w:val="superscript"/>
        </w:rPr>
        <w:t>586</w:t>
      </w:r>
      <w:r>
        <w:rPr>
          <w:color w:val="005DA1"/>
          <w:vertAlign w:val="baseline"/>
        </w:rPr>
        <w:t> </w:t>
      </w:r>
      <w:r>
        <w:rPr>
          <w:vertAlign w:val="baseline"/>
        </w:rPr>
        <w:t>It follows that the agency requirements imposed at common law for the “enforceability” of such clauses </w:t>
      </w:r>
      <w:r>
        <w:rPr>
          <w:color w:val="005DA1"/>
          <w:u w:val="single" w:color="005DA1"/>
          <w:vertAlign w:val="superscript"/>
        </w:rPr>
        <w:t>587</w:t>
      </w:r>
      <w:r>
        <w:rPr>
          <w:color w:val="005DA1"/>
          <w:vertAlign w:val="baseline"/>
        </w:rPr>
        <w:t> </w:t>
      </w:r>
      <w:r>
        <w:rPr>
          <w:vertAlign w:val="baseline"/>
        </w:rPr>
        <w:t>are irrelevant for the purpose of</w:t>
      </w:r>
      <w:r>
        <w:rPr>
          <w:spacing w:val="40"/>
          <w:vertAlign w:val="baseline"/>
        </w:rPr>
        <w:t> </w:t>
      </w:r>
      <w:bookmarkStart w:name="_bookmark1107" w:id="1109"/>
      <w:bookmarkEnd w:id="1109"/>
      <w:r>
        <w:rPr>
          <w:vertAlign w:val="baseline"/>
        </w:rPr>
        <w:t>the</w:t>
      </w:r>
      <w:r>
        <w:rPr>
          <w:vertAlign w:val="baseline"/>
        </w:rPr>
        <w:t> Act. On the other hand, under the Act C’s right to “enforce” a Himalaya clause is subject to the provisions of the Act </w:t>
      </w:r>
      <w:r>
        <w:rPr>
          <w:color w:val="005DA1"/>
          <w:u w:val="single" w:color="005DA1"/>
          <w:vertAlign w:val="superscript"/>
        </w:rPr>
        <w:t>588</w:t>
      </w:r>
      <w:r>
        <w:rPr>
          <w:color w:val="005DA1"/>
          <w:vertAlign w:val="baseline"/>
        </w:rPr>
        <w:t> </w:t>
      </w:r>
      <w:r>
        <w:rPr>
          <w:vertAlign w:val="baseline"/>
        </w:rPr>
        <w:t>while at common law the operation of such a clause is subject only to </w:t>
      </w:r>
      <w:bookmarkStart w:name="_bookmark1108" w:id="1110"/>
      <w:bookmarkEnd w:id="1110"/>
      <w:r>
        <w:rPr>
          <w:vertAlign w:val="baseline"/>
        </w:rPr>
        <w:t>common</w:t>
      </w:r>
      <w:r>
        <w:rPr>
          <w:vertAlign w:val="baseline"/>
        </w:rPr>
        <w:t> law restrictions, and if C wishes to rely on his common law rights, in preference to those under the Act, it is open to him to do so. </w:t>
      </w:r>
      <w:r>
        <w:rPr>
          <w:color w:val="005DA1"/>
          <w:u w:val="single" w:color="005DA1"/>
          <w:vertAlign w:val="superscript"/>
        </w:rPr>
        <w:t>589</w:t>
      </w:r>
      <w:r>
        <w:rPr>
          <w:color w:val="005DA1"/>
          <w:vertAlign w:val="baseline"/>
        </w:rPr>
        <w:t> </w:t>
      </w:r>
      <w:r>
        <w:rPr>
          <w:vertAlign w:val="baseline"/>
        </w:rPr>
        <w:t>For these (among other) </w:t>
      </w:r>
      <w:r>
        <w:rPr>
          <w:color w:val="005DA1"/>
          <w:u w:val="single" w:color="005DA1"/>
          <w:vertAlign w:val="superscript"/>
        </w:rPr>
        <w:t>590</w:t>
      </w:r>
      <w:r>
        <w:rPr>
          <w:color w:val="005DA1"/>
          <w:vertAlign w:val="baseline"/>
        </w:rPr>
        <w:t> </w:t>
      </w:r>
      <w:r>
        <w:rPr>
          <w:vertAlign w:val="baseline"/>
        </w:rPr>
        <w:t>reasons, what may be called the</w:t>
      </w:r>
      <w:r>
        <w:rPr>
          <w:spacing w:val="-1"/>
          <w:vertAlign w:val="baseline"/>
        </w:rPr>
        <w:t> </w:t>
      </w:r>
      <w:r>
        <w:rPr>
          <w:vertAlign w:val="baseline"/>
        </w:rPr>
        <w:t>old</w:t>
      </w:r>
      <w:r>
        <w:rPr>
          <w:spacing w:val="-1"/>
          <w:vertAlign w:val="baseline"/>
        </w:rPr>
        <w:t> </w:t>
      </w:r>
      <w:r>
        <w:rPr>
          <w:vertAlign w:val="baseline"/>
        </w:rPr>
        <w:t>law</w:t>
      </w:r>
      <w:r>
        <w:rPr>
          <w:spacing w:val="-1"/>
          <w:vertAlign w:val="baseline"/>
        </w:rPr>
        <w:t> </w:t>
      </w:r>
      <w:r>
        <w:rPr>
          <w:vertAlign w:val="baseline"/>
        </w:rPr>
        <w:t>relating</w:t>
      </w:r>
      <w:r>
        <w:rPr>
          <w:spacing w:val="-1"/>
          <w:vertAlign w:val="baseline"/>
        </w:rPr>
        <w:t> </w:t>
      </w:r>
      <w:r>
        <w:rPr>
          <w:vertAlign w:val="baseline"/>
        </w:rPr>
        <w:t>to</w:t>
      </w:r>
      <w:r>
        <w:rPr>
          <w:spacing w:val="-1"/>
          <w:vertAlign w:val="baseline"/>
        </w:rPr>
        <w:t> </w:t>
      </w:r>
      <w:r>
        <w:rPr>
          <w:vertAlign w:val="baseline"/>
        </w:rPr>
        <w:t>Himalaya</w:t>
      </w:r>
      <w:r>
        <w:rPr>
          <w:spacing w:val="-1"/>
          <w:vertAlign w:val="baseline"/>
        </w:rPr>
        <w:t> </w:t>
      </w:r>
      <w:r>
        <w:rPr>
          <w:vertAlign w:val="baseline"/>
        </w:rPr>
        <w:t>clauses</w:t>
      </w:r>
      <w:r>
        <w:rPr>
          <w:spacing w:val="-1"/>
          <w:vertAlign w:val="baseline"/>
        </w:rPr>
        <w:t> </w:t>
      </w:r>
      <w:r>
        <w:rPr>
          <w:vertAlign w:val="baseline"/>
        </w:rPr>
        <w:t>retains</w:t>
      </w:r>
      <w:r>
        <w:rPr>
          <w:spacing w:val="-1"/>
          <w:vertAlign w:val="baseline"/>
        </w:rPr>
        <w:t> </w:t>
      </w:r>
      <w:r>
        <w:rPr>
          <w:vertAlign w:val="baseline"/>
        </w:rPr>
        <w:t>a</w:t>
      </w:r>
      <w:r>
        <w:rPr>
          <w:spacing w:val="-1"/>
          <w:vertAlign w:val="baseline"/>
        </w:rPr>
        <w:t> </w:t>
      </w:r>
      <w:r>
        <w:rPr>
          <w:vertAlign w:val="baseline"/>
        </w:rPr>
        <w:t>considerable</w:t>
      </w:r>
      <w:r>
        <w:rPr>
          <w:spacing w:val="-1"/>
          <w:vertAlign w:val="baseline"/>
        </w:rPr>
        <w:t> </w:t>
      </w:r>
      <w:r>
        <w:rPr>
          <w:vertAlign w:val="baseline"/>
        </w:rPr>
        <w:t>degree</w:t>
      </w:r>
      <w:r>
        <w:rPr>
          <w:spacing w:val="-1"/>
          <w:vertAlign w:val="baseline"/>
        </w:rPr>
        <w:t> </w:t>
      </w:r>
      <w:r>
        <w:rPr>
          <w:vertAlign w:val="baseline"/>
        </w:rPr>
        <w:t>of</w:t>
      </w:r>
      <w:r>
        <w:rPr>
          <w:spacing w:val="-1"/>
          <w:vertAlign w:val="baseline"/>
        </w:rPr>
        <w:t> </w:t>
      </w:r>
      <w:r>
        <w:rPr>
          <w:vertAlign w:val="baseline"/>
        </w:rPr>
        <w:t>practical</w:t>
      </w:r>
      <w:r>
        <w:rPr>
          <w:spacing w:val="-1"/>
          <w:vertAlign w:val="baseline"/>
        </w:rPr>
        <w:t> </w:t>
      </w:r>
      <w:r>
        <w:rPr>
          <w:vertAlign w:val="baseline"/>
        </w:rPr>
        <w:t>importance,</w:t>
      </w:r>
      <w:r>
        <w:rPr>
          <w:spacing w:val="-1"/>
          <w:vertAlign w:val="baseline"/>
        </w:rPr>
        <w:t> </w:t>
      </w:r>
      <w:r>
        <w:rPr>
          <w:vertAlign w:val="baseline"/>
        </w:rPr>
        <w:t>so</w:t>
      </w:r>
      <w:r>
        <w:rPr>
          <w:spacing w:val="-1"/>
          <w:vertAlign w:val="baseline"/>
        </w:rPr>
        <w:t> </w:t>
      </w:r>
      <w:r>
        <w:rPr>
          <w:vertAlign w:val="baseline"/>
        </w:rPr>
        <w:t>that it would not be safe to rely exclusively on the simpler forms of words that can protect third parties under the 1999 Act.</w:t>
      </w:r>
    </w:p>
    <w:p>
      <w:pPr>
        <w:pStyle w:val="BodyText"/>
      </w:pPr>
    </w:p>
    <w:p>
      <w:pPr>
        <w:pStyle w:val="BodyText"/>
        <w:spacing w:before="30"/>
      </w:pPr>
    </w:p>
    <w:p>
      <w:pPr>
        <w:spacing w:before="0"/>
        <w:ind w:left="165" w:right="0" w:firstLine="0"/>
        <w:jc w:val="both"/>
        <w:rPr>
          <w:rFonts w:ascii="Arial"/>
          <w:b/>
          <w:sz w:val="18"/>
        </w:rPr>
      </w:pPr>
      <w:r>
        <w:rPr>
          <w:rFonts w:ascii="Arial"/>
          <w:b/>
          <w:sz w:val="18"/>
        </w:rPr>
        <w:t>Term purporting to confer benefit on third </w:t>
      </w:r>
      <w:r>
        <w:rPr>
          <w:rFonts w:ascii="Arial"/>
          <w:b/>
          <w:spacing w:val="-2"/>
          <w:sz w:val="18"/>
        </w:rPr>
        <w:t>party</w:t>
      </w:r>
    </w:p>
    <w:p>
      <w:pPr>
        <w:pStyle w:val="BodyText"/>
        <w:spacing w:before="42"/>
        <w:rPr>
          <w:rFonts w:ascii="Arial"/>
          <w:b/>
          <w:sz w:val="18"/>
        </w:rPr>
      </w:pPr>
    </w:p>
    <w:p>
      <w:pPr>
        <w:pStyle w:val="Heading2"/>
      </w:pPr>
      <w:r>
        <w:rPr/>
        <w:t>18-</w:t>
      </w:r>
      <w:r>
        <w:rPr>
          <w:spacing w:val="-5"/>
        </w:rPr>
        <w:t>093</w:t>
      </w:r>
    </w:p>
    <w:p>
      <w:pPr>
        <w:pStyle w:val="BodyText"/>
        <w:spacing w:before="88"/>
        <w:rPr>
          <w:rFonts w:ascii="Arial"/>
          <w:b/>
        </w:rPr>
      </w:pPr>
    </w:p>
    <w:p>
      <w:pPr>
        <w:pStyle w:val="BodyText"/>
        <w:spacing w:before="1"/>
        <w:ind w:left="165"/>
        <w:jc w:val="both"/>
      </w:pPr>
      <w:r>
        <w:rPr>
          <w:position w:val="-2"/>
        </w:rPr>
        <w:drawing>
          <wp:inline distT="0" distB="0" distL="0" distR="0">
            <wp:extent cx="107988" cy="107988"/>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2"/>
        </w:rPr>
        <w:t> </w:t>
      </w:r>
      <w:bookmarkStart w:name="_bookmark1109" w:id="1111"/>
      <w:bookmarkEnd w:id="1111"/>
      <w:r>
        <w:rPr>
          <w:rFonts w:ascii="Times New Roman" w:hAnsi="Times New Roman"/>
          <w:spacing w:val="22"/>
        </w:rPr>
      </w:r>
      <w:r>
        <w:rPr/>
        <w:t>Under</w:t>
      </w:r>
      <w:r>
        <w:rPr>
          <w:spacing w:val="18"/>
        </w:rPr>
        <w:t> </w:t>
      </w:r>
      <w:r>
        <w:rPr/>
        <w:t>subs.1(1)(b)</w:t>
      </w:r>
      <w:r>
        <w:rPr>
          <w:spacing w:val="18"/>
        </w:rPr>
        <w:t> </w:t>
      </w:r>
      <w:r>
        <w:rPr/>
        <w:t>of</w:t>
      </w:r>
      <w:r>
        <w:rPr>
          <w:spacing w:val="18"/>
        </w:rPr>
        <w:t> </w:t>
      </w:r>
      <w:r>
        <w:rPr/>
        <w:t>the</w:t>
      </w:r>
      <w:r>
        <w:rPr>
          <w:spacing w:val="18"/>
        </w:rPr>
        <w:t> </w:t>
      </w:r>
      <w:r>
        <w:rPr/>
        <w:t>1999</w:t>
      </w:r>
      <w:r>
        <w:rPr>
          <w:spacing w:val="18"/>
        </w:rPr>
        <w:t> </w:t>
      </w:r>
      <w:r>
        <w:rPr/>
        <w:t>Act,</w:t>
      </w:r>
      <w:r>
        <w:rPr>
          <w:spacing w:val="18"/>
        </w:rPr>
        <w:t> </w:t>
      </w:r>
      <w:r>
        <w:rPr/>
        <w:t>C</w:t>
      </w:r>
      <w:r>
        <w:rPr>
          <w:spacing w:val="18"/>
        </w:rPr>
        <w:t> </w:t>
      </w:r>
      <w:r>
        <w:rPr/>
        <w:t>may</w:t>
      </w:r>
      <w:r>
        <w:rPr>
          <w:spacing w:val="18"/>
        </w:rPr>
        <w:t> </w:t>
      </w:r>
      <w:r>
        <w:rPr/>
        <w:t>enforce</w:t>
      </w:r>
      <w:r>
        <w:rPr>
          <w:spacing w:val="18"/>
        </w:rPr>
        <w:t> </w:t>
      </w:r>
      <w:r>
        <w:rPr/>
        <w:t>a</w:t>
      </w:r>
      <w:r>
        <w:rPr>
          <w:spacing w:val="18"/>
        </w:rPr>
        <w:t> </w:t>
      </w:r>
      <w:r>
        <w:rPr/>
        <w:t>term</w:t>
      </w:r>
      <w:r>
        <w:rPr>
          <w:spacing w:val="18"/>
        </w:rPr>
        <w:t> </w:t>
      </w:r>
      <w:r>
        <w:rPr/>
        <w:t>of</w:t>
      </w:r>
      <w:r>
        <w:rPr>
          <w:spacing w:val="18"/>
        </w:rPr>
        <w:t> </w:t>
      </w:r>
      <w:r>
        <w:rPr/>
        <w:t>the</w:t>
      </w:r>
      <w:r>
        <w:rPr>
          <w:spacing w:val="18"/>
        </w:rPr>
        <w:t> </w:t>
      </w:r>
      <w:r>
        <w:rPr/>
        <w:t>contract</w:t>
      </w:r>
      <w:r>
        <w:rPr>
          <w:spacing w:val="18"/>
        </w:rPr>
        <w:t> </w:t>
      </w:r>
      <w:r>
        <w:rPr/>
        <w:t>if</w:t>
      </w:r>
      <w:r>
        <w:rPr>
          <w:spacing w:val="18"/>
        </w:rPr>
        <w:t> </w:t>
      </w:r>
      <w:r>
        <w:rPr/>
        <w:t>“the</w:t>
      </w:r>
      <w:r>
        <w:rPr>
          <w:spacing w:val="18"/>
        </w:rPr>
        <w:t> </w:t>
      </w:r>
      <w:r>
        <w:rPr/>
        <w:t>term</w:t>
      </w:r>
      <w:r>
        <w:rPr>
          <w:spacing w:val="18"/>
        </w:rPr>
        <w:t> </w:t>
      </w:r>
      <w:r>
        <w:rPr/>
        <w:t>purports</w:t>
      </w:r>
      <w:r>
        <w:rPr>
          <w:spacing w:val="18"/>
        </w:rPr>
        <w:t> </w:t>
      </w:r>
      <w:r>
        <w:rPr/>
        <w:t>to</w:t>
      </w:r>
    </w:p>
    <w:p>
      <w:pPr>
        <w:pStyle w:val="BodyText"/>
        <w:spacing w:line="235" w:lineRule="auto" w:before="118"/>
        <w:ind w:left="165" w:right="167"/>
        <w:jc w:val="both"/>
      </w:pPr>
      <w:r>
        <w:rPr/>
        <w:t>confer a benefit on him” </w:t>
      </w:r>
      <w:r>
        <w:rPr>
          <w:color w:val="005DA1"/>
          <w:u w:val="single" w:color="005DA1"/>
          <w:vertAlign w:val="superscript"/>
        </w:rPr>
        <w:t>591</w:t>
      </w:r>
      <w:r>
        <w:rPr>
          <w:color w:val="005DA1"/>
          <w:spacing w:val="80"/>
          <w:w w:val="150"/>
          <w:vertAlign w:val="baseline"/>
        </w:rPr>
        <w:t> </w:t>
      </w:r>
      <w:r>
        <w:rPr>
          <w:color w:val="005DA1"/>
          <w:spacing w:val="-19"/>
          <w:position w:val="-2"/>
          <w:vertAlign w:val="baseline"/>
        </w:rPr>
        <w:drawing>
          <wp:inline distT="0" distB="0" distL="0" distR="0">
            <wp:extent cx="107988" cy="10798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vertAlign w:val="baseline"/>
        </w:rPr>
        <w:t>; but his right to do so in such a case is subject to s.1(2), by which C </w:t>
      </w:r>
      <w:bookmarkStart w:name="_bookmark1110" w:id="1112"/>
      <w:bookmarkEnd w:id="1112"/>
      <w:r>
        <w:rPr>
          <w:vertAlign w:val="baseline"/>
        </w:rPr>
        <w:t>has</w:t>
      </w:r>
      <w:r>
        <w:rPr>
          <w:spacing w:val="13"/>
          <w:vertAlign w:val="baseline"/>
        </w:rPr>
        <w:t> </w:t>
      </w:r>
      <w:r>
        <w:rPr>
          <w:vertAlign w:val="baseline"/>
        </w:rPr>
        <w:t>no</w:t>
      </w:r>
      <w:r>
        <w:rPr>
          <w:spacing w:val="13"/>
          <w:vertAlign w:val="baseline"/>
        </w:rPr>
        <w:t> </w:t>
      </w:r>
      <w:r>
        <w:rPr>
          <w:vertAlign w:val="baseline"/>
        </w:rPr>
        <w:t>such</w:t>
      </w:r>
      <w:r>
        <w:rPr>
          <w:spacing w:val="13"/>
          <w:vertAlign w:val="baseline"/>
        </w:rPr>
        <w:t> </w:t>
      </w:r>
      <w:r>
        <w:rPr>
          <w:vertAlign w:val="baseline"/>
        </w:rPr>
        <w:t>right</w:t>
      </w:r>
      <w:r>
        <w:rPr>
          <w:spacing w:val="13"/>
          <w:vertAlign w:val="baseline"/>
        </w:rPr>
        <w:t> </w:t>
      </w:r>
      <w:r>
        <w:rPr>
          <w:vertAlign w:val="baseline"/>
        </w:rPr>
        <w:t>“if</w:t>
      </w:r>
      <w:r>
        <w:rPr>
          <w:spacing w:val="13"/>
          <w:vertAlign w:val="baseline"/>
        </w:rPr>
        <w:t> </w:t>
      </w:r>
      <w:r>
        <w:rPr>
          <w:vertAlign w:val="baseline"/>
        </w:rPr>
        <w:t>on</w:t>
      </w:r>
      <w:r>
        <w:rPr>
          <w:spacing w:val="13"/>
          <w:vertAlign w:val="baseline"/>
        </w:rPr>
        <w:t> </w:t>
      </w:r>
      <w:r>
        <w:rPr>
          <w:vertAlign w:val="baseline"/>
        </w:rPr>
        <w:t>a</w:t>
      </w:r>
      <w:r>
        <w:rPr>
          <w:spacing w:val="13"/>
          <w:vertAlign w:val="baseline"/>
        </w:rPr>
        <w:t> </w:t>
      </w:r>
      <w:r>
        <w:rPr>
          <w:vertAlign w:val="baseline"/>
        </w:rPr>
        <w:t>proper</w:t>
      </w:r>
      <w:r>
        <w:rPr>
          <w:spacing w:val="13"/>
          <w:vertAlign w:val="baseline"/>
        </w:rPr>
        <w:t> </w:t>
      </w:r>
      <w:r>
        <w:rPr>
          <w:vertAlign w:val="baseline"/>
        </w:rPr>
        <w:t>construction</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contract</w:t>
      </w:r>
      <w:r>
        <w:rPr>
          <w:spacing w:val="13"/>
          <w:vertAlign w:val="baseline"/>
        </w:rPr>
        <w:t> </w:t>
      </w:r>
      <w:r>
        <w:rPr>
          <w:vertAlign w:val="baseline"/>
        </w:rPr>
        <w:t>it</w:t>
      </w:r>
      <w:r>
        <w:rPr>
          <w:spacing w:val="13"/>
          <w:vertAlign w:val="baseline"/>
        </w:rPr>
        <w:t> </w:t>
      </w:r>
      <w:r>
        <w:rPr>
          <w:vertAlign w:val="baseline"/>
        </w:rPr>
        <w:t>appears</w:t>
      </w:r>
      <w:r>
        <w:rPr>
          <w:spacing w:val="13"/>
          <w:vertAlign w:val="baseline"/>
        </w:rPr>
        <w:t> </w:t>
      </w:r>
      <w:r>
        <w:rPr>
          <w:vertAlign w:val="baseline"/>
        </w:rPr>
        <w:t>that</w:t>
      </w:r>
      <w:r>
        <w:rPr>
          <w:spacing w:val="13"/>
          <w:vertAlign w:val="baseline"/>
        </w:rPr>
        <w:t> </w:t>
      </w:r>
      <w:r>
        <w:rPr>
          <w:vertAlign w:val="baseline"/>
        </w:rPr>
        <w:t>[A</w:t>
      </w:r>
      <w:r>
        <w:rPr>
          <w:spacing w:val="13"/>
          <w:vertAlign w:val="baseline"/>
        </w:rPr>
        <w:t> </w:t>
      </w:r>
      <w:r>
        <w:rPr>
          <w:vertAlign w:val="baseline"/>
        </w:rPr>
        <w:t>and</w:t>
      </w:r>
      <w:r>
        <w:rPr>
          <w:spacing w:val="13"/>
          <w:vertAlign w:val="baseline"/>
        </w:rPr>
        <w:t> </w:t>
      </w:r>
      <w:r>
        <w:rPr>
          <w:vertAlign w:val="baseline"/>
        </w:rPr>
        <w:t>B]</w:t>
      </w:r>
      <w:r>
        <w:rPr>
          <w:spacing w:val="13"/>
          <w:vertAlign w:val="baseline"/>
        </w:rPr>
        <w:t> </w:t>
      </w:r>
      <w:r>
        <w:rPr>
          <w:vertAlign w:val="baseline"/>
        </w:rPr>
        <w:t>did</w:t>
      </w:r>
      <w:r>
        <w:rPr>
          <w:spacing w:val="13"/>
          <w:vertAlign w:val="baseline"/>
        </w:rPr>
        <w:t> </w:t>
      </w:r>
      <w:r>
        <w:rPr>
          <w:vertAlign w:val="baseline"/>
        </w:rPr>
        <w:t>not</w:t>
      </w:r>
      <w:r>
        <w:rPr>
          <w:spacing w:val="13"/>
          <w:vertAlign w:val="baseline"/>
        </w:rPr>
        <w:t> </w:t>
      </w:r>
      <w:r>
        <w:rPr>
          <w:spacing w:val="-2"/>
          <w:vertAlign w:val="baseline"/>
        </w:rPr>
        <w:t>intend</w:t>
      </w:r>
    </w:p>
    <w:p>
      <w:pPr>
        <w:pStyle w:val="BodyText"/>
        <w:spacing w:line="235" w:lineRule="auto" w:before="120"/>
        <w:ind w:left="165" w:right="167"/>
        <w:jc w:val="both"/>
      </w:pPr>
      <w:r>
        <w:rPr/>
        <w:t>the term to be enforceable by” C. </w:t>
      </w:r>
      <w:r>
        <w:rPr>
          <w:color w:val="005DA1"/>
          <w:u w:val="single" w:color="005DA1"/>
          <w:vertAlign w:val="superscript"/>
        </w:rPr>
        <w:t>592</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13"/>
          <w:vertAlign w:val="baseline"/>
        </w:rPr>
        <w:t> </w:t>
      </w:r>
      <w:r>
        <w:rPr>
          <w:vertAlign w:val="baseline"/>
        </w:rPr>
        <w:t>These will probably be the most significant provisions of the 1999 Act and their interpretation is likely to give rise to a number of difficulties. It seems that a “benefit” within s.1(1)(b) can include any performance due under the contract between A and B: </w:t>
      </w:r>
      <w:r>
        <w:rPr>
          <w:vertAlign w:val="baseline"/>
        </w:rPr>
        <w:t>thus</w:t>
      </w:r>
      <w:r>
        <w:rPr>
          <w:spacing w:val="80"/>
          <w:vertAlign w:val="baseline"/>
        </w:rPr>
        <w:t> </w:t>
      </w:r>
      <w:r>
        <w:rPr>
          <w:vertAlign w:val="baseline"/>
        </w:rPr>
        <w:t>it can include a payment of money, a transfer of property, or the rendering of a service; it can also (by virtue of s.1(6)) include the benefit of an exemption or limitation clause. The requirement that the term </w:t>
      </w:r>
      <w:bookmarkStart w:name="_bookmark1111" w:id="1113"/>
      <w:bookmarkEnd w:id="1113"/>
      <w:r>
        <w:rPr>
          <w:vertAlign w:val="baseline"/>
        </w:rPr>
        <w:t>must</w:t>
      </w:r>
      <w:r>
        <w:rPr>
          <w:vertAlign w:val="baseline"/>
        </w:rPr>
        <w:t> “purport” to confer a benefit on C has been held to mean that it must have “the effect of </w:t>
      </w:r>
      <w:bookmarkStart w:name="_bookmark1112" w:id="1114"/>
      <w:bookmarkEnd w:id="1114"/>
      <w:r>
        <w:rPr>
          <w:vertAlign w:val="baseline"/>
        </w:rPr>
        <w:t>conferring</w:t>
      </w:r>
      <w:r>
        <w:rPr>
          <w:vertAlign w:val="baseline"/>
        </w:rPr>
        <w:t> a benefit” </w:t>
      </w:r>
      <w:r>
        <w:rPr>
          <w:color w:val="005DA1"/>
          <w:u w:val="single" w:color="005DA1"/>
          <w:vertAlign w:val="superscript"/>
        </w:rPr>
        <w:t>593</w:t>
      </w:r>
      <w:r>
        <w:rPr>
          <w:color w:val="005DA1"/>
          <w:vertAlign w:val="baseline"/>
        </w:rPr>
        <w:t> </w:t>
      </w:r>
      <w:r>
        <w:rPr>
          <w:vertAlign w:val="baseline"/>
        </w:rPr>
        <w:t>on him. If that is the position, there is no further requirement that benefiting</w:t>
      </w:r>
      <w:r>
        <w:rPr>
          <w:spacing w:val="40"/>
          <w:vertAlign w:val="baseline"/>
        </w:rPr>
        <w:t> </w:t>
      </w:r>
      <w:r>
        <w:rPr>
          <w:vertAlign w:val="baseline"/>
        </w:rPr>
        <w:t>the third party must be “the predominant purpose or intent behind the term.”</w:t>
      </w:r>
      <w:r>
        <w:rPr>
          <w:spacing w:val="-1"/>
          <w:vertAlign w:val="baseline"/>
        </w:rPr>
        <w:t> </w:t>
      </w:r>
      <w:r>
        <w:rPr>
          <w:color w:val="005DA1"/>
          <w:u w:val="single" w:color="005DA1"/>
          <w:vertAlign w:val="superscript"/>
        </w:rPr>
        <w:t>594</w:t>
      </w:r>
      <w:r>
        <w:rPr>
          <w:color w:val="005DA1"/>
          <w:vertAlign w:val="baseline"/>
        </w:rPr>
        <w:t> </w:t>
      </w:r>
      <w:r>
        <w:rPr>
          <w:vertAlign w:val="baseline"/>
        </w:rPr>
        <w:t>But it is submitted that it must be </w:t>
      </w:r>
      <w:r>
        <w:rPr>
          <w:rFonts w:ascii="Arial" w:hAnsi="Arial"/>
          <w:i/>
          <w:vertAlign w:val="baseline"/>
        </w:rPr>
        <w:t>a </w:t>
      </w:r>
      <w:r>
        <w:rPr>
          <w:vertAlign w:val="baseline"/>
        </w:rPr>
        <w:t>purpose of the parties, so that it would not suffice for C to show merely that he would </w:t>
      </w:r>
      <w:bookmarkStart w:name="_bookmark1113" w:id="1115"/>
      <w:bookmarkEnd w:id="1115"/>
      <w:r>
        <w:rPr>
          <w:vertAlign w:val="baseline"/>
        </w:rPr>
        <w:t>happen</w:t>
      </w:r>
      <w:r>
        <w:rPr>
          <w:vertAlign w:val="baseline"/>
        </w:rPr>
        <w:t> to benefit from the performance of the term where A and B had no intention at all to confer </w:t>
      </w:r>
      <w:bookmarkStart w:name="_bookmark1114" w:id="1116"/>
      <w:bookmarkEnd w:id="1116"/>
      <w:r>
        <w:rPr>
          <w:vertAlign w:val="baseline"/>
        </w:rPr>
        <w:t>that</w:t>
      </w:r>
      <w:r>
        <w:rPr>
          <w:spacing w:val="42"/>
          <w:vertAlign w:val="baseline"/>
        </w:rPr>
        <w:t> </w:t>
      </w:r>
      <w:r>
        <w:rPr>
          <w:vertAlign w:val="baseline"/>
        </w:rPr>
        <w:t>benefit</w:t>
      </w:r>
      <w:r>
        <w:rPr>
          <w:spacing w:val="42"/>
          <w:vertAlign w:val="baseline"/>
        </w:rPr>
        <w:t> </w:t>
      </w:r>
      <w:r>
        <w:rPr>
          <w:vertAlign w:val="baseline"/>
        </w:rPr>
        <w:t>on</w:t>
      </w:r>
      <w:r>
        <w:rPr>
          <w:spacing w:val="42"/>
          <w:vertAlign w:val="baseline"/>
        </w:rPr>
        <w:t> </w:t>
      </w:r>
      <w:r>
        <w:rPr>
          <w:vertAlign w:val="baseline"/>
        </w:rPr>
        <w:t>him.</w:t>
      </w:r>
      <w:r>
        <w:rPr>
          <w:spacing w:val="42"/>
          <w:vertAlign w:val="baseline"/>
        </w:rPr>
        <w:t> </w:t>
      </w:r>
      <w:r>
        <w:rPr>
          <w:color w:val="005DA1"/>
          <w:u w:val="single" w:color="005DA1"/>
          <w:vertAlign w:val="superscript"/>
        </w:rPr>
        <w:t>595</w:t>
      </w:r>
      <w:r>
        <w:rPr>
          <w:color w:val="005DA1"/>
          <w:spacing w:val="42"/>
          <w:vertAlign w:val="baseline"/>
        </w:rPr>
        <w:t> </w:t>
      </w:r>
      <w:r>
        <w:rPr>
          <w:vertAlign w:val="baseline"/>
        </w:rPr>
        <w:t>The</w:t>
      </w:r>
      <w:r>
        <w:rPr>
          <w:spacing w:val="42"/>
          <w:vertAlign w:val="baseline"/>
        </w:rPr>
        <w:t> </w:t>
      </w:r>
      <w:r>
        <w:rPr>
          <w:vertAlign w:val="baseline"/>
        </w:rPr>
        <w:t>question</w:t>
      </w:r>
      <w:r>
        <w:rPr>
          <w:spacing w:val="42"/>
          <w:vertAlign w:val="baseline"/>
        </w:rPr>
        <w:t> </w:t>
      </w:r>
      <w:r>
        <w:rPr>
          <w:vertAlign w:val="baseline"/>
        </w:rPr>
        <w:t>whether</w:t>
      </w:r>
      <w:r>
        <w:rPr>
          <w:spacing w:val="42"/>
          <w:vertAlign w:val="baseline"/>
        </w:rPr>
        <w:t> </w:t>
      </w:r>
      <w:r>
        <w:rPr>
          <w:vertAlign w:val="baseline"/>
        </w:rPr>
        <w:t>A</w:t>
      </w:r>
      <w:r>
        <w:rPr>
          <w:spacing w:val="42"/>
          <w:vertAlign w:val="baseline"/>
        </w:rPr>
        <w:t> </w:t>
      </w:r>
      <w:r>
        <w:rPr>
          <w:vertAlign w:val="baseline"/>
        </w:rPr>
        <w:t>and</w:t>
      </w:r>
      <w:r>
        <w:rPr>
          <w:spacing w:val="42"/>
          <w:vertAlign w:val="baseline"/>
        </w:rPr>
        <w:t> </w:t>
      </w:r>
      <w:r>
        <w:rPr>
          <w:vertAlign w:val="baseline"/>
        </w:rPr>
        <w:t>B</w:t>
      </w:r>
      <w:r>
        <w:rPr>
          <w:spacing w:val="42"/>
          <w:vertAlign w:val="baseline"/>
        </w:rPr>
        <w:t> </w:t>
      </w:r>
      <w:r>
        <w:rPr>
          <w:vertAlign w:val="baseline"/>
        </w:rPr>
        <w:t>had</w:t>
      </w:r>
      <w:r>
        <w:rPr>
          <w:spacing w:val="42"/>
          <w:vertAlign w:val="baseline"/>
        </w:rPr>
        <w:t> </w:t>
      </w:r>
      <w:r>
        <w:rPr>
          <w:vertAlign w:val="baseline"/>
        </w:rPr>
        <w:t>any</w:t>
      </w:r>
      <w:r>
        <w:rPr>
          <w:spacing w:val="42"/>
          <w:vertAlign w:val="baseline"/>
        </w:rPr>
        <w:t> </w:t>
      </w:r>
      <w:r>
        <w:rPr>
          <w:vertAlign w:val="baseline"/>
        </w:rPr>
        <w:t>such</w:t>
      </w:r>
      <w:r>
        <w:rPr>
          <w:spacing w:val="42"/>
          <w:vertAlign w:val="baseline"/>
        </w:rPr>
        <w:t> </w:t>
      </w:r>
      <w:r>
        <w:rPr>
          <w:vertAlign w:val="baseline"/>
        </w:rPr>
        <w:t>intention</w:t>
      </w:r>
      <w:r>
        <w:rPr>
          <w:spacing w:val="42"/>
          <w:vertAlign w:val="baseline"/>
        </w:rPr>
        <w:t> </w:t>
      </w:r>
      <w:r>
        <w:rPr>
          <w:vertAlign w:val="baseline"/>
        </w:rPr>
        <w:t>would</w:t>
      </w:r>
      <w:r>
        <w:rPr>
          <w:spacing w:val="42"/>
          <w:vertAlign w:val="baseline"/>
        </w:rPr>
        <w:t> </w:t>
      </w:r>
      <w:r>
        <w:rPr>
          <w:vertAlign w:val="baseline"/>
        </w:rPr>
        <w:t>be</w:t>
      </w:r>
      <w:r>
        <w:rPr>
          <w:spacing w:val="42"/>
          <w:vertAlign w:val="baseline"/>
        </w:rPr>
        <w:t> </w:t>
      </w:r>
      <w:r>
        <w:rPr>
          <w:vertAlign w:val="baseline"/>
        </w:rPr>
        <w:t>one</w:t>
      </w:r>
      <w:r>
        <w:rPr>
          <w:spacing w:val="42"/>
          <w:vertAlign w:val="baseline"/>
        </w:rPr>
        <w:t> </w:t>
      </w:r>
      <w:r>
        <w:rPr>
          <w:spacing w:val="-5"/>
          <w:vertAlign w:val="baseline"/>
        </w:rPr>
        <w:t>of</w:t>
      </w:r>
    </w:p>
    <w:p>
      <w:pPr>
        <w:pStyle w:val="BodyText"/>
        <w:spacing w:line="235" w:lineRule="auto" w:before="115"/>
        <w:ind w:left="164" w:right="167"/>
        <w:jc w:val="both"/>
      </w:pPr>
      <w:r>
        <w:rPr/>
        <w:t>construction. </w:t>
      </w:r>
      <w:r>
        <w:rPr>
          <w:color w:val="005DA1"/>
          <w:u w:val="single" w:color="005DA1"/>
          <w:vertAlign w:val="superscript"/>
        </w:rPr>
        <w:t>596</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40"/>
          <w:vertAlign w:val="baseline"/>
        </w:rPr>
        <w:t> </w:t>
      </w:r>
      <w:r>
        <w:rPr>
          <w:vertAlign w:val="baseline"/>
        </w:rPr>
        <w:t>If, for example, A were employed by B “to cut my hedge adjoining C’s </w:t>
      </w:r>
      <w:r>
        <w:rPr>
          <w:vertAlign w:val="baseline"/>
        </w:rPr>
        <w:t>land”, performance by A might benefit C, but the term would not “purport to confer a benefit” on C. The </w:t>
      </w:r>
      <w:bookmarkStart w:name="_bookmark1115" w:id="1117"/>
      <w:bookmarkEnd w:id="1117"/>
      <w:r>
        <w:rPr>
          <w:vertAlign w:val="baseline"/>
        </w:rPr>
        <w:t>question</w:t>
      </w:r>
      <w:r>
        <w:rPr>
          <w:vertAlign w:val="baseline"/>
        </w:rPr>
        <w:t> of construction could be particularly hard to answer where A was a subcontractor employed by B to render services in relation to property owned by C. </w:t>
      </w:r>
      <w:r>
        <w:rPr>
          <w:color w:val="005DA1"/>
          <w:u w:val="single" w:color="005DA1"/>
          <w:vertAlign w:val="superscript"/>
        </w:rPr>
        <w:t>597</w:t>
      </w:r>
      <w:r>
        <w:rPr>
          <w:color w:val="005DA1"/>
          <w:vertAlign w:val="baseline"/>
        </w:rPr>
        <w:t> </w:t>
      </w:r>
      <w:r>
        <w:rPr>
          <w:vertAlign w:val="baseline"/>
        </w:rPr>
        <w:t>Assuming that the </w:t>
      </w:r>
      <w:r>
        <w:rPr>
          <w:rFonts w:ascii="Arial" w:hAnsi="Arial"/>
          <w:i/>
          <w:vertAlign w:val="baseline"/>
        </w:rPr>
        <w:t>term </w:t>
      </w:r>
      <w:r>
        <w:rPr>
          <w:vertAlign w:val="baseline"/>
        </w:rPr>
        <w:t>does purport to confer a benefit on C, it is then necessary to construe the </w:t>
      </w:r>
      <w:r>
        <w:rPr>
          <w:rFonts w:ascii="Arial" w:hAnsi="Arial"/>
          <w:i/>
          <w:vertAlign w:val="baseline"/>
        </w:rPr>
        <w:t>contract </w:t>
      </w:r>
      <w:r>
        <w:rPr>
          <w:vertAlign w:val="baseline"/>
        </w:rPr>
        <w:t>as a whole to determine the nature and</w:t>
      </w:r>
      <w:r>
        <w:rPr>
          <w:spacing w:val="-1"/>
          <w:vertAlign w:val="baseline"/>
        </w:rPr>
        <w:t> </w:t>
      </w:r>
      <w:r>
        <w:rPr>
          <w:vertAlign w:val="baseline"/>
        </w:rPr>
        <w:t>extent</w:t>
      </w:r>
      <w:r>
        <w:rPr>
          <w:spacing w:val="-1"/>
          <w:vertAlign w:val="baseline"/>
        </w:rPr>
        <w:t> </w:t>
      </w:r>
      <w:r>
        <w:rPr>
          <w:vertAlign w:val="baseline"/>
        </w:rPr>
        <w:t>of</w:t>
      </w:r>
      <w:r>
        <w:rPr>
          <w:spacing w:val="-1"/>
          <w:vertAlign w:val="baseline"/>
        </w:rPr>
        <w:t> </w:t>
      </w:r>
      <w:r>
        <w:rPr>
          <w:vertAlign w:val="baseline"/>
        </w:rPr>
        <w:t>C’s</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enforce</w:t>
      </w:r>
      <w:r>
        <w:rPr>
          <w:spacing w:val="-1"/>
          <w:vertAlign w:val="baseline"/>
        </w:rPr>
        <w:t> </w:t>
      </w:r>
      <w:r>
        <w:rPr>
          <w:vertAlign w:val="baseline"/>
        </w:rPr>
        <w:t>the</w:t>
      </w:r>
      <w:r>
        <w:rPr>
          <w:spacing w:val="-1"/>
          <w:vertAlign w:val="baseline"/>
        </w:rPr>
        <w:t> </w:t>
      </w:r>
      <w:r>
        <w:rPr>
          <w:vertAlign w:val="baseline"/>
        </w:rPr>
        <w:t>term.</w:t>
      </w:r>
      <w:r>
        <w:rPr>
          <w:spacing w:val="-1"/>
          <w:vertAlign w:val="baseline"/>
        </w:rPr>
        <w:t> </w:t>
      </w:r>
      <w:r>
        <w:rPr>
          <w:vertAlign w:val="baseline"/>
        </w:rPr>
        <w:t>This</w:t>
      </w:r>
      <w:r>
        <w:rPr>
          <w:spacing w:val="-1"/>
          <w:vertAlign w:val="baseline"/>
        </w:rPr>
        <w:t> </w:t>
      </w:r>
      <w:r>
        <w:rPr>
          <w:vertAlign w:val="baseline"/>
        </w:rPr>
        <w:t>follows</w:t>
      </w:r>
      <w:r>
        <w:rPr>
          <w:spacing w:val="-1"/>
          <w:vertAlign w:val="baseline"/>
        </w:rPr>
        <w:t> </w:t>
      </w:r>
      <w:r>
        <w:rPr>
          <w:vertAlign w:val="baseline"/>
        </w:rPr>
        <w:t>from</w:t>
      </w:r>
      <w:r>
        <w:rPr>
          <w:spacing w:val="-1"/>
          <w:vertAlign w:val="baseline"/>
        </w:rPr>
        <w:t> </w:t>
      </w:r>
      <w:r>
        <w:rPr>
          <w:vertAlign w:val="baseline"/>
        </w:rPr>
        <w:t>s.1(4),</w:t>
      </w:r>
      <w:r>
        <w:rPr>
          <w:spacing w:val="-1"/>
          <w:vertAlign w:val="baseline"/>
        </w:rPr>
        <w:t> </w:t>
      </w:r>
      <w:r>
        <w:rPr>
          <w:vertAlign w:val="baseline"/>
        </w:rPr>
        <w:t>under</w:t>
      </w:r>
      <w:r>
        <w:rPr>
          <w:spacing w:val="-1"/>
          <w:vertAlign w:val="baseline"/>
        </w:rPr>
        <w:t> </w:t>
      </w:r>
      <w:r>
        <w:rPr>
          <w:vertAlign w:val="baseline"/>
        </w:rPr>
        <w:t>which</w:t>
      </w:r>
      <w:r>
        <w:rPr>
          <w:spacing w:val="-1"/>
          <w:vertAlign w:val="baseline"/>
        </w:rPr>
        <w:t> </w:t>
      </w:r>
      <w:r>
        <w:rPr>
          <w:vertAlign w:val="baseline"/>
        </w:rPr>
        <w:t>“this</w:t>
      </w:r>
      <w:r>
        <w:rPr>
          <w:spacing w:val="-1"/>
          <w:vertAlign w:val="baseline"/>
        </w:rPr>
        <w:t> </w:t>
      </w:r>
      <w:r>
        <w:rPr>
          <w:vertAlign w:val="baseline"/>
        </w:rPr>
        <w:t>section</w:t>
      </w:r>
      <w:r>
        <w:rPr>
          <w:spacing w:val="-1"/>
          <w:vertAlign w:val="baseline"/>
        </w:rPr>
        <w:t> </w:t>
      </w:r>
      <w:r>
        <w:rPr>
          <w:vertAlign w:val="baseline"/>
        </w:rPr>
        <w:t>does</w:t>
      </w:r>
      <w:r>
        <w:rPr>
          <w:spacing w:val="-1"/>
          <w:vertAlign w:val="baseline"/>
        </w:rPr>
        <w:t> </w:t>
      </w:r>
      <w:r>
        <w:rPr>
          <w:vertAlign w:val="baseline"/>
        </w:rPr>
        <w:t>not confer a right on [C] to enforce a term of a contract otherwise than subject to and in accordance with any other relevant terms of the contract.” This provision would, for example, apply if the term which C was seeking to enforce provided for the payment to him of £1,000, but another term of the contract provided that claims under the former term must be made within one year or that the claim must be </w:t>
      </w:r>
      <w:bookmarkStart w:name="_bookmark1116" w:id="1118"/>
      <w:bookmarkEnd w:id="1118"/>
      <w:r>
        <w:rPr>
          <w:vertAlign w:val="baseline"/>
        </w:rPr>
        <w:t>made</w:t>
      </w:r>
      <w:r>
        <w:rPr>
          <w:vertAlign w:val="baseline"/>
        </w:rPr>
        <w:t> by arbitration (and not by litigation). On the other hand, it has been held that s.1(4) did not enable C to enforce an “adjudication” clause in the contract between A and B. </w:t>
      </w:r>
      <w:r>
        <w:rPr>
          <w:color w:val="005DA1"/>
          <w:u w:val="single" w:color="005DA1"/>
          <w:vertAlign w:val="superscript"/>
        </w:rPr>
        <w:t>598</w:t>
      </w:r>
      <w:r>
        <w:rPr>
          <w:color w:val="005DA1"/>
          <w:vertAlign w:val="baseline"/>
        </w:rPr>
        <w:t> </w:t>
      </w:r>
      <w:r>
        <w:rPr>
          <w:vertAlign w:val="baseline"/>
        </w:rPr>
        <w:t>It was said that the </w:t>
      </w:r>
      <w:bookmarkStart w:name="_bookmark1117" w:id="1119"/>
      <w:bookmarkEnd w:id="1119"/>
      <w:r>
        <w:rPr>
          <w:vertAlign w:val="baseline"/>
        </w:rPr>
        <w:t>“relevant</w:t>
      </w:r>
      <w:r>
        <w:rPr>
          <w:vertAlign w:val="baseline"/>
        </w:rPr>
        <w:t> rights” which C sought to enforce did not “engage the conditions within section 1(4) of the 1999 Act”, though s.1(4) “would be engaged if there were an arbitration clause”,</w:t>
      </w:r>
      <w:r>
        <w:rPr>
          <w:spacing w:val="-1"/>
          <w:vertAlign w:val="baseline"/>
        </w:rPr>
        <w:t> </w:t>
      </w:r>
      <w:r>
        <w:rPr>
          <w:color w:val="005DA1"/>
          <w:u w:val="single" w:color="005DA1"/>
          <w:vertAlign w:val="superscript"/>
        </w:rPr>
        <w:t>599</w:t>
      </w:r>
      <w:r>
        <w:rPr>
          <w:color w:val="005DA1"/>
          <w:vertAlign w:val="baseline"/>
        </w:rPr>
        <w:t> </w:t>
      </w:r>
      <w:r>
        <w:rPr>
          <w:vertAlign w:val="baseline"/>
        </w:rPr>
        <w:t>the reason for this distinction</w:t>
      </w:r>
      <w:r>
        <w:rPr>
          <w:spacing w:val="15"/>
          <w:vertAlign w:val="baseline"/>
        </w:rPr>
        <w:t> </w:t>
      </w:r>
      <w:r>
        <w:rPr>
          <w:vertAlign w:val="baseline"/>
        </w:rPr>
        <w:t>being</w:t>
      </w:r>
      <w:r>
        <w:rPr>
          <w:spacing w:val="15"/>
          <w:vertAlign w:val="baseline"/>
        </w:rPr>
        <w:t> </w:t>
      </w:r>
      <w:r>
        <w:rPr>
          <w:vertAlign w:val="baseline"/>
        </w:rPr>
        <w:t>that</w:t>
      </w:r>
      <w:r>
        <w:rPr>
          <w:spacing w:val="15"/>
          <w:vertAlign w:val="baseline"/>
        </w:rPr>
        <w:t> </w:t>
      </w:r>
      <w:r>
        <w:rPr>
          <w:vertAlign w:val="baseline"/>
        </w:rPr>
        <w:t>“[a]djudication,</w:t>
      </w:r>
      <w:r>
        <w:rPr>
          <w:spacing w:val="15"/>
          <w:vertAlign w:val="baseline"/>
        </w:rPr>
        <w:t> </w:t>
      </w:r>
      <w:r>
        <w:rPr>
          <w:vertAlign w:val="baseline"/>
        </w:rPr>
        <w:t>unlike</w:t>
      </w:r>
      <w:r>
        <w:rPr>
          <w:spacing w:val="15"/>
          <w:vertAlign w:val="baseline"/>
        </w:rPr>
        <w:t> </w:t>
      </w:r>
      <w:r>
        <w:rPr>
          <w:vertAlign w:val="baseline"/>
        </w:rPr>
        <w:t>arbitration,</w:t>
      </w:r>
      <w:r>
        <w:rPr>
          <w:spacing w:val="15"/>
          <w:vertAlign w:val="baseline"/>
        </w:rPr>
        <w:t> </w:t>
      </w:r>
      <w:r>
        <w:rPr>
          <w:vertAlign w:val="baseline"/>
        </w:rPr>
        <w:t>is</w:t>
      </w:r>
      <w:r>
        <w:rPr>
          <w:spacing w:val="15"/>
          <w:vertAlign w:val="baseline"/>
        </w:rPr>
        <w:t> </w:t>
      </w:r>
      <w:r>
        <w:rPr>
          <w:vertAlign w:val="baseline"/>
        </w:rPr>
        <w:t>not</w:t>
      </w:r>
      <w:r>
        <w:rPr>
          <w:spacing w:val="15"/>
          <w:vertAlign w:val="baseline"/>
        </w:rPr>
        <w:t> </w:t>
      </w:r>
      <w:r>
        <w:rPr>
          <w:vertAlign w:val="baseline"/>
        </w:rPr>
        <w:t>a</w:t>
      </w:r>
      <w:r>
        <w:rPr>
          <w:spacing w:val="15"/>
          <w:vertAlign w:val="baseline"/>
        </w:rPr>
        <w:t> </w:t>
      </w:r>
      <w:r>
        <w:rPr>
          <w:vertAlign w:val="baseline"/>
        </w:rPr>
        <w:t>mandatory</w:t>
      </w:r>
      <w:r>
        <w:rPr>
          <w:spacing w:val="15"/>
          <w:vertAlign w:val="baseline"/>
        </w:rPr>
        <w:t> </w:t>
      </w:r>
      <w:r>
        <w:rPr>
          <w:vertAlign w:val="baseline"/>
        </w:rPr>
        <w:t>alternative</w:t>
      </w:r>
      <w:r>
        <w:rPr>
          <w:spacing w:val="15"/>
          <w:vertAlign w:val="baseline"/>
        </w:rPr>
        <w:t> </w:t>
      </w:r>
      <w:r>
        <w:rPr>
          <w:vertAlign w:val="baseline"/>
        </w:rPr>
        <w:t>way</w:t>
      </w:r>
      <w:r>
        <w:rPr>
          <w:spacing w:val="15"/>
          <w:vertAlign w:val="baseline"/>
        </w:rPr>
        <w:t> </w:t>
      </w:r>
      <w:r>
        <w:rPr>
          <w:vertAlign w:val="baseline"/>
        </w:rPr>
        <w:t>in</w:t>
      </w:r>
      <w:r>
        <w:rPr>
          <w:spacing w:val="15"/>
          <w:vertAlign w:val="baseline"/>
        </w:rPr>
        <w:t> </w:t>
      </w:r>
      <w:r>
        <w:rPr>
          <w:vertAlign w:val="baseline"/>
        </w:rPr>
        <w:t>which</w:t>
      </w:r>
      <w:r>
        <w:rPr>
          <w:spacing w:val="15"/>
          <w:vertAlign w:val="baseline"/>
        </w:rPr>
        <w:t> </w:t>
      </w:r>
      <w:r>
        <w:rPr>
          <w:spacing w:val="-10"/>
          <w:vertAlign w:val="baseline"/>
        </w:rPr>
        <w:t>a</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118" w:id="1120"/>
      <w:bookmarkEnd w:id="1120"/>
      <w:r>
        <w:rPr/>
      </w:r>
      <w:r>
        <w:rPr/>
        <w:t>party has to enforce its rights. Adjudication is a voluntary method of dispute resolution in the </w:t>
      </w:r>
      <w:r>
        <w:rPr/>
        <w:t>sense that a party may, but is not obliged to, have a dispute temporarily resolved …”. </w:t>
      </w:r>
      <w:r>
        <w:rPr>
          <w:color w:val="005DA1"/>
          <w:u w:val="single" w:color="005DA1"/>
          <w:vertAlign w:val="superscript"/>
        </w:rPr>
        <w:t>600</w:t>
      </w:r>
      <w:r>
        <w:rPr>
          <w:color w:val="005DA1"/>
          <w:vertAlign w:val="baseline"/>
        </w:rPr>
        <w:t> </w:t>
      </w:r>
      <w:r>
        <w:rPr>
          <w:vertAlign w:val="baseline"/>
        </w:rPr>
        <w:t>This reasoning </w:t>
      </w:r>
      <w:bookmarkStart w:name="_bookmark1119" w:id="1121"/>
      <w:bookmarkEnd w:id="1121"/>
      <w:r>
        <w:rPr>
          <w:vertAlign w:val="baseline"/>
        </w:rPr>
        <w:t>gives</w:t>
      </w:r>
      <w:r>
        <w:rPr>
          <w:vertAlign w:val="baseline"/>
        </w:rPr>
        <w:t> rise to the problem that, while the phrase “conditions within section 1(4)” appears to reflect the Explanatory notes to the 1999 Act, </w:t>
      </w:r>
      <w:r>
        <w:rPr>
          <w:color w:val="005DA1"/>
          <w:u w:val="single" w:color="005DA1"/>
          <w:vertAlign w:val="superscript"/>
        </w:rPr>
        <w:t>601</w:t>
      </w:r>
      <w:r>
        <w:rPr>
          <w:color w:val="005DA1"/>
          <w:vertAlign w:val="baseline"/>
        </w:rPr>
        <w:t> </w:t>
      </w:r>
      <w:r>
        <w:rPr>
          <w:vertAlign w:val="baseline"/>
        </w:rPr>
        <w:t>s.1(4) itself does not use the word “conditions”: it uses the less restrictive phrase “any other relevant term of the contract”; and while it may, with respect, be</w:t>
      </w:r>
      <w:r>
        <w:rPr>
          <w:spacing w:val="80"/>
          <w:vertAlign w:val="baseline"/>
        </w:rPr>
        <w:t> </w:t>
      </w:r>
      <w:r>
        <w:rPr>
          <w:vertAlign w:val="baseline"/>
        </w:rPr>
        <w:t>accepted that an adjudication clause does not, like an arbitration clause, impose a restrictive</w:t>
      </w:r>
      <w:r>
        <w:rPr>
          <w:spacing w:val="80"/>
          <w:vertAlign w:val="baseline"/>
        </w:rPr>
        <w:t> </w:t>
      </w:r>
      <w:bookmarkStart w:name="_bookmark1120" w:id="1122"/>
      <w:bookmarkEnd w:id="1122"/>
      <w:r>
        <w:rPr>
          <w:vertAlign w:val="baseline"/>
        </w:rPr>
        <w:t>condition</w:t>
      </w:r>
      <w:r>
        <w:rPr>
          <w:vertAlign w:val="baseline"/>
        </w:rPr>
        <w:t> on the enforceability by C of rights under the contract, it is less clear why a clause of the former kind is not one of the “relevant terms of the contract” </w:t>
      </w:r>
      <w:r>
        <w:rPr>
          <w:color w:val="005DA1"/>
          <w:u w:val="single" w:color="005DA1"/>
          <w:vertAlign w:val="superscript"/>
        </w:rPr>
        <w:t>602</w:t>
      </w:r>
      <w:r>
        <w:rPr>
          <w:color w:val="005DA1"/>
          <w:vertAlign w:val="baseline"/>
        </w:rPr>
        <w:t> </w:t>
      </w:r>
      <w:r>
        <w:rPr>
          <w:vertAlign w:val="baseline"/>
        </w:rPr>
        <w:t>within s.1(4).</w:t>
      </w:r>
    </w:p>
    <w:p>
      <w:pPr>
        <w:pStyle w:val="BodyText"/>
        <w:spacing w:before="78"/>
      </w:pPr>
    </w:p>
    <w:p>
      <w:pPr>
        <w:pStyle w:val="Heading2"/>
      </w:pPr>
      <w:r>
        <w:rPr/>
        <w:t>18-</w:t>
      </w:r>
      <w:r>
        <w:rPr>
          <w:spacing w:val="-5"/>
        </w:rPr>
        <w:t>094</w:t>
      </w:r>
    </w:p>
    <w:p>
      <w:pPr>
        <w:pStyle w:val="BodyText"/>
        <w:spacing w:line="235" w:lineRule="auto" w:before="203"/>
        <w:ind w:left="165" w:right="167"/>
        <w:jc w:val="both"/>
      </w:pPr>
      <w:bookmarkStart w:name="_bookmark1121" w:id="1123"/>
      <w:bookmarkEnd w:id="1123"/>
      <w:r>
        <w:rPr/>
      </w:r>
      <w:r>
        <w:rPr/>
        <w:t>Yet a further and different question of construction arises (with regard to the intention of A and B) </w:t>
      </w:r>
      <w:bookmarkStart w:name="_bookmark1122" w:id="1124"/>
      <w:bookmarkEnd w:id="1124"/>
      <w:r>
        <w:rPr/>
        <w:t>under</w:t>
      </w:r>
      <w:r>
        <w:rPr/>
        <w:t> s.1(2) (quoted above </w:t>
      </w:r>
      <w:r>
        <w:rPr>
          <w:color w:val="005DA1"/>
          <w:u w:val="single" w:color="005DA1"/>
          <w:vertAlign w:val="superscript"/>
        </w:rPr>
        <w:t>603</w:t>
      </w:r>
      <w:r>
        <w:rPr>
          <w:vertAlign w:val="baseline"/>
        </w:rPr>
        <w:t>) and it appears from the wording of this subsection that the burden </w:t>
      </w:r>
      <w:r>
        <w:rPr>
          <w:vertAlign w:val="baseline"/>
        </w:rPr>
        <w:t>of </w:t>
      </w:r>
      <w:bookmarkStart w:name="_bookmark1123" w:id="1125"/>
      <w:bookmarkEnd w:id="1125"/>
      <w:r>
        <w:rPr>
          <w:vertAlign w:val="baseline"/>
        </w:rPr>
        <w:t>proof</w:t>
      </w:r>
      <w:r>
        <w:rPr>
          <w:vertAlign w:val="baseline"/>
        </w:rPr>
        <w:t> under it rests on A, </w:t>
      </w:r>
      <w:r>
        <w:rPr>
          <w:color w:val="005DA1"/>
          <w:u w:val="single" w:color="005DA1"/>
          <w:vertAlign w:val="superscript"/>
        </w:rPr>
        <w:t>604</w:t>
      </w:r>
      <w:r>
        <w:rPr>
          <w:color w:val="005DA1"/>
          <w:vertAlign w:val="baseline"/>
        </w:rPr>
        <w:t> </w:t>
      </w:r>
      <w:r>
        <w:rPr>
          <w:vertAlign w:val="baseline"/>
        </w:rPr>
        <w:t>or (in other words) that, if the term purports to confer a benefit on C, then there is a rebuttable presumption that the term is intended by A and B to be enforceable by C. </w:t>
      </w:r>
      <w:r>
        <w:rPr>
          <w:color w:val="005DA1"/>
          <w:u w:val="single" w:color="005DA1"/>
          <w:vertAlign w:val="superscript"/>
        </w:rPr>
        <w:t>605</w:t>
      </w:r>
      <w:r>
        <w:rPr>
          <w:color w:val="005DA1"/>
          <w:vertAlign w:val="baseline"/>
        </w:rPr>
        <w:t> </w:t>
      </w:r>
      <w:r>
        <w:rPr>
          <w:vertAlign w:val="baseline"/>
        </w:rPr>
        <w:t>To rebut the presumption, A must (in the words of s.1(2)) show that “the parties” did not intend the term</w:t>
      </w:r>
      <w:r>
        <w:rPr>
          <w:spacing w:val="40"/>
          <w:vertAlign w:val="baseline"/>
        </w:rPr>
        <w:t> </w:t>
      </w:r>
      <w:r>
        <w:rPr>
          <w:vertAlign w:val="baseline"/>
        </w:rPr>
        <w:t>to be enforceable by C. Thus it is not enough for A to show that he did not so intend; he must show that neither he nor B had this intention. Nor is the presumption rebutted merely because in the contract</w:t>
      </w:r>
      <w:r>
        <w:rPr>
          <w:spacing w:val="-2"/>
          <w:vertAlign w:val="baseline"/>
        </w:rPr>
        <w:t> </w:t>
      </w:r>
      <w:r>
        <w:rPr>
          <w:vertAlign w:val="baseline"/>
        </w:rPr>
        <w:t>A</w:t>
      </w:r>
      <w:r>
        <w:rPr>
          <w:spacing w:val="-2"/>
          <w:vertAlign w:val="baseline"/>
        </w:rPr>
        <w:t> </w:t>
      </w:r>
      <w:r>
        <w:rPr>
          <w:vertAlign w:val="baseline"/>
        </w:rPr>
        <w:t>and</w:t>
      </w:r>
      <w:r>
        <w:rPr>
          <w:spacing w:val="-2"/>
          <w:vertAlign w:val="baseline"/>
        </w:rPr>
        <w:t> </w:t>
      </w:r>
      <w:r>
        <w:rPr>
          <w:vertAlign w:val="baseline"/>
        </w:rPr>
        <w:t>B</w:t>
      </w:r>
      <w:r>
        <w:rPr>
          <w:spacing w:val="-2"/>
          <w:vertAlign w:val="baseline"/>
        </w:rPr>
        <w:t> </w:t>
      </w:r>
      <w:r>
        <w:rPr>
          <w:vertAlign w:val="baseline"/>
        </w:rPr>
        <w:t>had</w:t>
      </w:r>
      <w:r>
        <w:rPr>
          <w:spacing w:val="-2"/>
          <w:vertAlign w:val="baseline"/>
        </w:rPr>
        <w:t> </w:t>
      </w:r>
      <w:r>
        <w:rPr>
          <w:vertAlign w:val="baseline"/>
        </w:rPr>
        <w:t>reserved</w:t>
      </w:r>
      <w:r>
        <w:rPr>
          <w:spacing w:val="-2"/>
          <w:vertAlign w:val="baseline"/>
        </w:rPr>
        <w:t> </w:t>
      </w:r>
      <w:r>
        <w:rPr>
          <w:vertAlign w:val="baseline"/>
        </w:rPr>
        <w:t>the</w:t>
      </w:r>
      <w:r>
        <w:rPr>
          <w:spacing w:val="-2"/>
          <w:vertAlign w:val="baseline"/>
        </w:rPr>
        <w:t> </w:t>
      </w:r>
      <w:r>
        <w:rPr>
          <w:vertAlign w:val="baseline"/>
        </w:rPr>
        <w:t>right</w:t>
      </w:r>
      <w:r>
        <w:rPr>
          <w:spacing w:val="-2"/>
          <w:vertAlign w:val="baseline"/>
        </w:rPr>
        <w:t> </w:t>
      </w:r>
      <w:r>
        <w:rPr>
          <w:vertAlign w:val="baseline"/>
        </w:rPr>
        <w:t>to</w:t>
      </w:r>
      <w:r>
        <w:rPr>
          <w:spacing w:val="-2"/>
          <w:vertAlign w:val="baseline"/>
        </w:rPr>
        <w:t> </w:t>
      </w:r>
      <w:r>
        <w:rPr>
          <w:vertAlign w:val="baseline"/>
        </w:rPr>
        <w:t>rescind</w:t>
      </w:r>
      <w:r>
        <w:rPr>
          <w:spacing w:val="-2"/>
          <w:vertAlign w:val="baseline"/>
        </w:rPr>
        <w:t> </w:t>
      </w:r>
      <w:r>
        <w:rPr>
          <w:vertAlign w:val="baseline"/>
        </w:rPr>
        <w:t>or</w:t>
      </w:r>
      <w:r>
        <w:rPr>
          <w:spacing w:val="-2"/>
          <w:vertAlign w:val="baseline"/>
        </w:rPr>
        <w:t> </w:t>
      </w:r>
      <w:r>
        <w:rPr>
          <w:vertAlign w:val="baseline"/>
        </w:rPr>
        <w:t>vary</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this</w:t>
      </w:r>
      <w:r>
        <w:rPr>
          <w:spacing w:val="-2"/>
          <w:vertAlign w:val="baseline"/>
        </w:rPr>
        <w:t> </w:t>
      </w:r>
      <w:r>
        <w:rPr>
          <w:vertAlign w:val="baseline"/>
        </w:rPr>
        <w:t>follows</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provisions with regard to such rescission or variation made in s.2 of the Act and discussed in paras 18-103 to</w:t>
      </w:r>
      <w:r>
        <w:rPr>
          <w:spacing w:val="80"/>
          <w:vertAlign w:val="baseline"/>
        </w:rPr>
        <w:t> </w:t>
      </w:r>
      <w:r>
        <w:rPr>
          <w:vertAlign w:val="baseline"/>
        </w:rPr>
        <w:t>18-111 below. As the question of intention put in s.1(2) is there described as one of “construction”, it </w:t>
      </w:r>
      <w:bookmarkStart w:name="_bookmark1124" w:id="1126"/>
      <w:bookmarkEnd w:id="1126"/>
      <w:r>
        <w:rPr>
          <w:vertAlign w:val="baseline"/>
        </w:rPr>
        <w:t>seems</w:t>
      </w:r>
      <w:r>
        <w:rPr>
          <w:vertAlign w:val="baseline"/>
        </w:rPr>
        <w:t> that the evidence which A will be allowed to adduce for this purpose will, in general, be limited by the rules which restrict the types of evidence admissible on other questions of construction. </w:t>
      </w:r>
      <w:r>
        <w:rPr>
          <w:color w:val="005DA1"/>
          <w:u w:val="single" w:color="005DA1"/>
          <w:vertAlign w:val="superscript"/>
        </w:rPr>
        <w:t>606</w:t>
      </w:r>
      <w:r>
        <w:rPr>
          <w:color w:val="005DA1"/>
          <w:vertAlign w:val="baseline"/>
        </w:rPr>
        <w:t> </w:t>
      </w:r>
      <w:r>
        <w:rPr>
          <w:vertAlign w:val="baseline"/>
        </w:rPr>
        <w:t>It </w:t>
      </w:r>
      <w:bookmarkStart w:name="_bookmark1125" w:id="1127"/>
      <w:bookmarkEnd w:id="1127"/>
      <w:r>
        <w:rPr>
          <w:vertAlign w:val="baseline"/>
        </w:rPr>
        <w:t>follows</w:t>
      </w:r>
      <w:r>
        <w:rPr>
          <w:vertAlign w:val="baseline"/>
        </w:rPr>
        <w:t> from the structure of s.1 that the mere absence from the contract of any express statement that C is to have the right to enforce the term is not a bar to his entitlement under the section to do so </w:t>
      </w:r>
      <w:r>
        <w:rPr>
          <w:color w:val="005DA1"/>
          <w:u w:val="single" w:color="005DA1"/>
          <w:vertAlign w:val="superscript"/>
        </w:rPr>
        <w:t>607</w:t>
      </w:r>
      <w:r>
        <w:rPr>
          <w:vertAlign w:val="baseline"/>
        </w:rPr>
        <w:t>; but that effect will be given to an express contractual provision that C is not to have any such rights. It appears to be not uncommon for contracts to contain such express provisions.</w:t>
      </w:r>
    </w:p>
    <w:p>
      <w:pPr>
        <w:pStyle w:val="BodyText"/>
        <w:spacing w:before="75"/>
      </w:pPr>
    </w:p>
    <w:p>
      <w:pPr>
        <w:pStyle w:val="Heading2"/>
      </w:pPr>
      <w:r>
        <w:rPr/>
        <w:t>18-</w:t>
      </w:r>
      <w:r>
        <w:rPr>
          <w:spacing w:val="-5"/>
        </w:rPr>
        <w:t>095</w:t>
      </w:r>
    </w:p>
    <w:p>
      <w:pPr>
        <w:pStyle w:val="BodyText"/>
        <w:spacing w:line="235" w:lineRule="auto" w:before="203"/>
        <w:ind w:left="164" w:right="167"/>
        <w:jc w:val="both"/>
      </w:pPr>
      <w:bookmarkStart w:name="_bookmark1126" w:id="1128"/>
      <w:bookmarkEnd w:id="1128"/>
      <w:r>
        <w:rPr/>
      </w:r>
      <w:r>
        <w:rPr/>
        <w:t>The operation of ss.1(1)(b) and (2) of the 1992 Act is illustrated by </w:t>
      </w:r>
      <w:r>
        <w:rPr>
          <w:rFonts w:ascii="Arial" w:hAnsi="Arial"/>
          <w:i/>
        </w:rPr>
        <w:t>The Laemthong Glory </w:t>
      </w:r>
      <w:r>
        <w:rPr>
          <w:color w:val="005DA1"/>
          <w:u w:val="single" w:color="005DA1"/>
          <w:vertAlign w:val="superscript"/>
        </w:rPr>
        <w:t>608</w:t>
      </w:r>
      <w:r>
        <w:rPr>
          <w:color w:val="005DA1"/>
          <w:vertAlign w:val="baseline"/>
        </w:rPr>
        <w:t> </w:t>
      </w:r>
      <w:r>
        <w:rPr>
          <w:vertAlign w:val="baseline"/>
        </w:rPr>
        <w:t>where, because the bill of lading relating to goods which had been carried in a chartered ship had not reached</w:t>
      </w:r>
      <w:r>
        <w:rPr>
          <w:spacing w:val="-1"/>
          <w:vertAlign w:val="baseline"/>
        </w:rPr>
        <w:t> </w:t>
      </w:r>
      <w:r>
        <w:rPr>
          <w:vertAlign w:val="baseline"/>
        </w:rPr>
        <w:t>the</w:t>
      </w:r>
      <w:r>
        <w:rPr>
          <w:spacing w:val="-1"/>
          <w:vertAlign w:val="baseline"/>
        </w:rPr>
        <w:t> </w:t>
      </w:r>
      <w:r>
        <w:rPr>
          <w:vertAlign w:val="baseline"/>
        </w:rPr>
        <w:t>prospective</w:t>
      </w:r>
      <w:r>
        <w:rPr>
          <w:spacing w:val="-1"/>
          <w:vertAlign w:val="baseline"/>
        </w:rPr>
        <w:t> </w:t>
      </w:r>
      <w:r>
        <w:rPr>
          <w:vertAlign w:val="baseline"/>
        </w:rPr>
        <w:t>receiver</w:t>
      </w:r>
      <w:r>
        <w:rPr>
          <w:spacing w:val="-1"/>
          <w:vertAlign w:val="baseline"/>
        </w:rPr>
        <w:t> </w:t>
      </w:r>
      <w:r>
        <w:rPr>
          <w:vertAlign w:val="baseline"/>
        </w:rPr>
        <w:t>(A)</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time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ship’s</w:t>
      </w:r>
      <w:r>
        <w:rPr>
          <w:spacing w:val="-1"/>
          <w:vertAlign w:val="baseline"/>
        </w:rPr>
        <w:t> </w:t>
      </w:r>
      <w:r>
        <w:rPr>
          <w:vertAlign w:val="baseline"/>
        </w:rPr>
        <w:t>arrival</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contractual</w:t>
      </w:r>
      <w:r>
        <w:rPr>
          <w:spacing w:val="-1"/>
          <w:vertAlign w:val="baseline"/>
        </w:rPr>
        <w:t> </w:t>
      </w:r>
      <w:r>
        <w:rPr>
          <w:vertAlign w:val="baseline"/>
        </w:rPr>
        <w:t>destination,</w:t>
      </w:r>
      <w:r>
        <w:rPr>
          <w:spacing w:val="-1"/>
          <w:vertAlign w:val="baseline"/>
        </w:rPr>
        <w:t> </w:t>
      </w:r>
      <w:r>
        <w:rPr>
          <w:vertAlign w:val="baseline"/>
        </w:rPr>
        <w:t>the goods were delivered to A against a letter of indemnity (LOI) issued by A to the charterer (B) and amounting to a contract between A and B. The LOI contained a promise by A to indemnify “you [B] your servants or agents” in respect of liability which might be incurred by reason of delivery of the goods at A’s request without production of the bill of lading. It was held that this promise on its true construction purported to confer a benefit on the shipowner (C) within s.1(1)(b) of the 1999 Act as C had acted as one of B’s “agents” within the meaning of the LOI in delivering the goods to A, and that, by virtue of that Act, the promise was enforceable by C against A. A had not discharged the burden imposed</w:t>
      </w:r>
      <w:r>
        <w:rPr>
          <w:spacing w:val="-2"/>
          <w:vertAlign w:val="baseline"/>
        </w:rPr>
        <w:t> </w:t>
      </w:r>
      <w:r>
        <w:rPr>
          <w:vertAlign w:val="baseline"/>
        </w:rPr>
        <w:t>on</w:t>
      </w:r>
      <w:r>
        <w:rPr>
          <w:spacing w:val="-2"/>
          <w:vertAlign w:val="baseline"/>
        </w:rPr>
        <w:t> </w:t>
      </w:r>
      <w:r>
        <w:rPr>
          <w:vertAlign w:val="baseline"/>
        </w:rPr>
        <w:t>him</w:t>
      </w:r>
      <w:r>
        <w:rPr>
          <w:spacing w:val="-2"/>
          <w:vertAlign w:val="baseline"/>
        </w:rPr>
        <w:t> </w:t>
      </w:r>
      <w:r>
        <w:rPr>
          <w:vertAlign w:val="baseline"/>
        </w:rPr>
        <w:t>by</w:t>
      </w:r>
      <w:r>
        <w:rPr>
          <w:spacing w:val="-2"/>
          <w:vertAlign w:val="baseline"/>
        </w:rPr>
        <w:t> </w:t>
      </w:r>
      <w:r>
        <w:rPr>
          <w:vertAlign w:val="baseline"/>
        </w:rPr>
        <w:t>s.1(2)</w:t>
      </w:r>
      <w:r>
        <w:rPr>
          <w:spacing w:val="-2"/>
          <w:vertAlign w:val="baseline"/>
        </w:rPr>
        <w:t> </w:t>
      </w:r>
      <w:r>
        <w:rPr>
          <w:vertAlign w:val="baseline"/>
        </w:rPr>
        <w:t>of</w:t>
      </w:r>
      <w:r>
        <w:rPr>
          <w:spacing w:val="-2"/>
          <w:vertAlign w:val="baseline"/>
        </w:rPr>
        <w:t> </w:t>
      </w:r>
      <w:r>
        <w:rPr>
          <w:vertAlign w:val="baseline"/>
        </w:rPr>
        <w:t>proving</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LOI</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intended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and</w:t>
      </w:r>
      <w:r>
        <w:rPr>
          <w:spacing w:val="-2"/>
          <w:vertAlign w:val="baseline"/>
        </w:rPr>
        <w:t> </w:t>
      </w:r>
      <w:r>
        <w:rPr>
          <w:vertAlign w:val="baseline"/>
        </w:rPr>
        <w:t>B</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enforceable</w:t>
      </w:r>
      <w:r>
        <w:rPr>
          <w:spacing w:val="-2"/>
          <w:vertAlign w:val="baseline"/>
        </w:rPr>
        <w:t> </w:t>
      </w:r>
      <w:r>
        <w:rPr>
          <w:vertAlign w:val="baseline"/>
        </w:rPr>
        <w:t>by</w:t>
      </w:r>
      <w:r>
        <w:rPr>
          <w:spacing w:val="-2"/>
          <w:vertAlign w:val="baseline"/>
        </w:rPr>
        <w:t> </w:t>
      </w:r>
      <w:r>
        <w:rPr>
          <w:vertAlign w:val="baseline"/>
        </w:rPr>
        <w:t>C. </w:t>
      </w:r>
      <w:bookmarkStart w:name="_bookmark1127" w:id="1129"/>
      <w:bookmarkEnd w:id="1129"/>
      <w:r>
        <w:rPr>
          <w:vertAlign w:val="baseline"/>
        </w:rPr>
        <w:t>Similar</w:t>
      </w:r>
      <w:r>
        <w:rPr>
          <w:vertAlign w:val="baseline"/>
        </w:rPr>
        <w:t> reasoning accounts for the outcome in </w:t>
      </w:r>
      <w:r>
        <w:rPr>
          <w:rFonts w:ascii="Arial" w:hAnsi="Arial"/>
          <w:i/>
          <w:vertAlign w:val="baseline"/>
        </w:rPr>
        <w:t>Far East Chartering Ltd v Binani Cement Ltd (The Jag Ravi) </w:t>
      </w:r>
      <w:r>
        <w:rPr>
          <w:color w:val="005DA1"/>
          <w:u w:val="single" w:color="005DA1"/>
          <w:vertAlign w:val="superscript"/>
        </w:rPr>
        <w:t>609</w:t>
      </w:r>
      <w:r>
        <w:rPr>
          <w:color w:val="005DA1"/>
          <w:vertAlign w:val="baseline"/>
        </w:rPr>
        <w:t> </w:t>
      </w:r>
      <w:r>
        <w:rPr>
          <w:vertAlign w:val="baseline"/>
        </w:rPr>
        <w:t>where the LOI was addressed by the prospective receivers of the goods (A) to “The </w:t>
      </w:r>
      <w:bookmarkStart w:name="_bookmark1128" w:id="1130"/>
      <w:bookmarkEnd w:id="1130"/>
      <w:r>
        <w:rPr>
          <w:vertAlign w:val="baseline"/>
        </w:rPr>
        <w:t>Owners/Disponent</w:t>
      </w:r>
      <w:r>
        <w:rPr>
          <w:vertAlign w:val="baseline"/>
        </w:rPr>
        <w:t> Owners/Charterers” of the carrying ship. The LOI was held to be “capable of acceptance</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charterers”</w:t>
      </w:r>
      <w:r>
        <w:rPr>
          <w:spacing w:val="-2"/>
          <w:vertAlign w:val="baseline"/>
        </w:rPr>
        <w:t> </w:t>
      </w:r>
      <w:r>
        <w:rPr>
          <w:color w:val="005DA1"/>
          <w:u w:val="single" w:color="005DA1"/>
          <w:vertAlign w:val="superscript"/>
        </w:rPr>
        <w:t>610</w:t>
      </w:r>
      <w:r>
        <w:rPr>
          <w:color w:val="005DA1"/>
          <w:spacing w:val="-2"/>
          <w:vertAlign w:val="baseline"/>
        </w:rPr>
        <w:t> </w:t>
      </w:r>
      <w:r>
        <w:rPr>
          <w:vertAlign w:val="baseline"/>
        </w:rPr>
        <w:t>(B)</w:t>
      </w:r>
      <w:r>
        <w:rPr>
          <w:spacing w:val="-2"/>
          <w:vertAlign w:val="baseline"/>
        </w:rPr>
        <w:t> </w:t>
      </w:r>
      <w:r>
        <w:rPr>
          <w:vertAlign w:val="baseline"/>
        </w:rPr>
        <w:t>and</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given</w:t>
      </w:r>
      <w:r>
        <w:rPr>
          <w:spacing w:val="-2"/>
          <w:vertAlign w:val="baseline"/>
        </w:rPr>
        <w:t> </w:t>
      </w:r>
      <w:r>
        <w:rPr>
          <w:vertAlign w:val="baseline"/>
        </w:rPr>
        <w:t>rise</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between</w:t>
      </w:r>
      <w:r>
        <w:rPr>
          <w:spacing w:val="-2"/>
          <w:vertAlign w:val="baseline"/>
        </w:rPr>
        <w:t> </w:t>
      </w:r>
      <w:r>
        <w:rPr>
          <w:vertAlign w:val="baseline"/>
        </w:rPr>
        <w:t>A</w:t>
      </w:r>
      <w:r>
        <w:rPr>
          <w:spacing w:val="-2"/>
          <w:vertAlign w:val="baseline"/>
        </w:rPr>
        <w:t> </w:t>
      </w:r>
      <w:r>
        <w:rPr>
          <w:vertAlign w:val="baseline"/>
        </w:rPr>
        <w:t>and</w:t>
      </w:r>
      <w:r>
        <w:rPr>
          <w:spacing w:val="-2"/>
          <w:vertAlign w:val="baseline"/>
        </w:rPr>
        <w:t> </w:t>
      </w:r>
      <w:r>
        <w:rPr>
          <w:vertAlign w:val="baseline"/>
        </w:rPr>
        <w:t>B;</w:t>
      </w:r>
      <w:r>
        <w:rPr>
          <w:spacing w:val="-2"/>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was further held that C, the owners of the carrying ship, who had made the goods available to A without </w:t>
      </w:r>
      <w:bookmarkStart w:name="_bookmark1129" w:id="1131"/>
      <w:bookmarkEnd w:id="1131"/>
      <w:r>
        <w:rPr>
          <w:vertAlign w:val="baseline"/>
        </w:rPr>
        <w:t>production</w:t>
      </w:r>
      <w:r>
        <w:rPr>
          <w:vertAlign w:val="baseline"/>
        </w:rPr>
        <w:t> of the bill of lading and had so incurred a liability covered by the LOI, could enforce the</w:t>
      </w:r>
      <w:r>
        <w:rPr>
          <w:spacing w:val="80"/>
          <w:vertAlign w:val="baseline"/>
        </w:rPr>
        <w:t> </w:t>
      </w:r>
      <w:r>
        <w:rPr>
          <w:vertAlign w:val="baseline"/>
        </w:rPr>
        <w:t>LOI against A by virtue of the Contracts (Rights of Third Parties) Act 1999. </w:t>
      </w:r>
      <w:r>
        <w:rPr>
          <w:color w:val="005DA1"/>
          <w:u w:val="single" w:color="005DA1"/>
          <w:vertAlign w:val="superscript"/>
        </w:rPr>
        <w:t>611</w:t>
      </w:r>
      <w:r>
        <w:rPr>
          <w:color w:val="005DA1"/>
          <w:vertAlign w:val="baseline"/>
        </w:rPr>
        <w:t> </w:t>
      </w:r>
      <w:r>
        <w:rPr>
          <w:vertAlign w:val="baseline"/>
        </w:rPr>
        <w:t>The judgment does not make it clear either exactly how the offer contained in the LOI had been accepted by B (as opposed</w:t>
      </w:r>
      <w:r>
        <w:rPr>
          <w:spacing w:val="80"/>
          <w:vertAlign w:val="baseline"/>
        </w:rPr>
        <w:t> </w:t>
      </w:r>
      <w:bookmarkStart w:name="_bookmark1130" w:id="1132"/>
      <w:bookmarkEnd w:id="1132"/>
      <w:r>
        <w:rPr>
          <w:vertAlign w:val="baseline"/>
        </w:rPr>
        <w:t>to</w:t>
      </w:r>
      <w:r>
        <w:rPr>
          <w:vertAlign w:val="baseline"/>
        </w:rPr>
        <w:t> being “capable of acceptance” by them); or why that offer had not been accepted by C when they did the acts (referred to above) which had given rise to their liability. </w:t>
      </w:r>
      <w:r>
        <w:rPr>
          <w:color w:val="005DA1"/>
          <w:u w:val="single" w:color="005DA1"/>
          <w:vertAlign w:val="superscript"/>
        </w:rPr>
        <w:t>612</w:t>
      </w:r>
      <w:r>
        <w:rPr>
          <w:color w:val="005DA1"/>
          <w:vertAlign w:val="baseline"/>
        </w:rPr>
        <w:t> </w:t>
      </w:r>
      <w:r>
        <w:rPr>
          <w:vertAlign w:val="baseline"/>
        </w:rPr>
        <w:t>The point to be stressed here </w:t>
      </w:r>
      <w:bookmarkStart w:name="_bookmark1131" w:id="1133"/>
      <w:bookmarkEnd w:id="1133"/>
      <w:r>
        <w:rPr>
          <w:vertAlign w:val="baseline"/>
        </w:rPr>
        <w:t>is</w:t>
      </w:r>
      <w:r>
        <w:rPr>
          <w:vertAlign w:val="baseline"/>
        </w:rPr>
        <w:t> that C’s right of enforcement under the 1999 Act can only have arisen on the assumption that C were not parties to the LOI contract between A and B. </w:t>
      </w:r>
      <w:r>
        <w:rPr>
          <w:color w:val="005DA1"/>
          <w:u w:val="single" w:color="005DA1"/>
          <w:vertAlign w:val="superscript"/>
        </w:rPr>
        <w:t>613</w:t>
      </w:r>
      <w:r>
        <w:rPr>
          <w:color w:val="005DA1"/>
          <w:vertAlign w:val="baseline"/>
        </w:rPr>
        <w:t> </w:t>
      </w:r>
      <w:r>
        <w:rPr>
          <w:vertAlign w:val="baseline"/>
        </w:rPr>
        <w:t>By way of contrast to these cases, the </w:t>
      </w:r>
      <w:bookmarkStart w:name="_bookmark1132" w:id="1134"/>
      <w:bookmarkEnd w:id="1134"/>
      <w:r>
        <w:rPr>
          <w:vertAlign w:val="baseline"/>
        </w:rPr>
        <w:t>operation</w:t>
      </w:r>
      <w:r>
        <w:rPr>
          <w:spacing w:val="-1"/>
          <w:vertAlign w:val="baseline"/>
        </w:rPr>
        <w:t> </w:t>
      </w:r>
      <w:r>
        <w:rPr>
          <w:vertAlign w:val="baseline"/>
        </w:rPr>
        <w:t>of</w:t>
      </w:r>
      <w:r>
        <w:rPr>
          <w:spacing w:val="-1"/>
          <w:vertAlign w:val="baseline"/>
        </w:rPr>
        <w:t> </w:t>
      </w:r>
      <w:r>
        <w:rPr>
          <w:vertAlign w:val="baseline"/>
        </w:rPr>
        <w:t>ss.1(1)(b)</w:t>
      </w:r>
      <w:r>
        <w:rPr>
          <w:spacing w:val="-1"/>
          <w:vertAlign w:val="baseline"/>
        </w:rPr>
        <w:t> </w:t>
      </w:r>
      <w:r>
        <w:rPr>
          <w:vertAlign w:val="baseline"/>
        </w:rPr>
        <w:t>and</w:t>
      </w:r>
      <w:r>
        <w:rPr>
          <w:spacing w:val="-1"/>
          <w:vertAlign w:val="baseline"/>
        </w:rPr>
        <w:t> </w:t>
      </w:r>
      <w:r>
        <w:rPr>
          <w:vertAlign w:val="baseline"/>
        </w:rPr>
        <w:t>1(2)</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Contracts</w:t>
      </w:r>
      <w:r>
        <w:rPr>
          <w:spacing w:val="-1"/>
          <w:vertAlign w:val="baseline"/>
        </w:rPr>
        <w:t> </w:t>
      </w:r>
      <w:r>
        <w:rPr>
          <w:vertAlign w:val="baseline"/>
        </w:rPr>
        <w:t>(Rights</w:t>
      </w:r>
      <w:r>
        <w:rPr>
          <w:spacing w:val="-1"/>
          <w:vertAlign w:val="baseline"/>
        </w:rPr>
        <w:t> </w:t>
      </w:r>
      <w:r>
        <w:rPr>
          <w:vertAlign w:val="baseline"/>
        </w:rPr>
        <w:t>of</w:t>
      </w:r>
      <w:r>
        <w:rPr>
          <w:spacing w:val="-1"/>
          <w:vertAlign w:val="baseline"/>
        </w:rPr>
        <w:t> </w:t>
      </w:r>
      <w:r>
        <w:rPr>
          <w:vertAlign w:val="baseline"/>
        </w:rPr>
        <w:t>Third</w:t>
      </w:r>
      <w:r>
        <w:rPr>
          <w:spacing w:val="-1"/>
          <w:vertAlign w:val="baseline"/>
        </w:rPr>
        <w:t> </w:t>
      </w:r>
      <w:r>
        <w:rPr>
          <w:vertAlign w:val="baseline"/>
        </w:rPr>
        <w:t>Parties)</w:t>
      </w:r>
      <w:r>
        <w:rPr>
          <w:spacing w:val="-1"/>
          <w:vertAlign w:val="baseline"/>
        </w:rPr>
        <w:t> </w:t>
      </w:r>
      <w:r>
        <w:rPr>
          <w:vertAlign w:val="baseline"/>
        </w:rPr>
        <w:t>Act</w:t>
      </w:r>
      <w:r>
        <w:rPr>
          <w:spacing w:val="-1"/>
          <w:vertAlign w:val="baseline"/>
        </w:rPr>
        <w:t> </w:t>
      </w:r>
      <w:r>
        <w:rPr>
          <w:vertAlign w:val="baseline"/>
        </w:rPr>
        <w:t>1999</w:t>
      </w:r>
      <w:r>
        <w:rPr>
          <w:spacing w:val="-1"/>
          <w:vertAlign w:val="baseline"/>
        </w:rPr>
        <w:t> </w:t>
      </w:r>
      <w:r>
        <w:rPr>
          <w:vertAlign w:val="baseline"/>
        </w:rPr>
        <w:t>is</w:t>
      </w:r>
      <w:r>
        <w:rPr>
          <w:spacing w:val="-1"/>
          <w:vertAlign w:val="baseline"/>
        </w:rPr>
        <w:t> </w:t>
      </w:r>
      <w:r>
        <w:rPr>
          <w:vertAlign w:val="baseline"/>
        </w:rPr>
        <w:t>further</w:t>
      </w:r>
      <w:r>
        <w:rPr>
          <w:spacing w:val="-1"/>
          <w:vertAlign w:val="baseline"/>
        </w:rPr>
        <w:t> </w:t>
      </w:r>
      <w:r>
        <w:rPr>
          <w:vertAlign w:val="baseline"/>
        </w:rPr>
        <w:t>illustrated by </w:t>
      </w:r>
      <w:r>
        <w:rPr>
          <w:rFonts w:ascii="Arial" w:hAnsi="Arial"/>
          <w:i/>
          <w:vertAlign w:val="baseline"/>
        </w:rPr>
        <w:t>Dolphin Maritime and Aviation Services Ltd v Sveriges Angfartygs Forening</w:t>
      </w:r>
      <w:r>
        <w:rPr>
          <w:vertAlign w:val="baseline"/>
        </w:rPr>
        <w:t>. </w:t>
      </w:r>
      <w:r>
        <w:rPr>
          <w:color w:val="005DA1"/>
          <w:u w:val="single" w:color="005DA1"/>
          <w:vertAlign w:val="superscript"/>
        </w:rPr>
        <w:t>614</w:t>
      </w:r>
      <w:r>
        <w:rPr>
          <w:color w:val="005DA1"/>
          <w:vertAlign w:val="baseline"/>
        </w:rPr>
        <w:t> </w:t>
      </w:r>
      <w:r>
        <w:rPr>
          <w:vertAlign w:val="baseline"/>
        </w:rPr>
        <w:t>In that case, cargo underwriters (B), having settled a cargo owner’s claim against the carriers in respect of loss of goods at sea, and so become subrogated to the cargo owner’s claim, employed recovery agents (C) to pursue that claim against the carriers. The carriers’ P &amp; I Club (A) issued a Letter of Undertaking addressed</w:t>
      </w:r>
      <w:r>
        <w:rPr>
          <w:spacing w:val="-2"/>
          <w:vertAlign w:val="baseline"/>
        </w:rPr>
        <w:t> </w:t>
      </w:r>
      <w:r>
        <w:rPr>
          <w:vertAlign w:val="baseline"/>
        </w:rPr>
        <w:t>to</w:t>
      </w:r>
      <w:r>
        <w:rPr>
          <w:spacing w:val="-2"/>
          <w:vertAlign w:val="baseline"/>
        </w:rPr>
        <w:t> </w:t>
      </w:r>
      <w:r>
        <w:rPr>
          <w:vertAlign w:val="baseline"/>
        </w:rPr>
        <w:t>B</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cargo</w:t>
      </w:r>
      <w:r>
        <w:rPr>
          <w:spacing w:val="-2"/>
          <w:vertAlign w:val="baseline"/>
        </w:rPr>
        <w:t> </w:t>
      </w:r>
      <w:r>
        <w:rPr>
          <w:vertAlign w:val="baseline"/>
        </w:rPr>
        <w:t>owners</w:t>
      </w:r>
      <w:r>
        <w:rPr>
          <w:spacing w:val="-2"/>
          <w:vertAlign w:val="baseline"/>
        </w:rPr>
        <w:t> </w:t>
      </w:r>
      <w:r>
        <w:rPr>
          <w:vertAlign w:val="baseline"/>
        </w:rPr>
        <w:t>by</w:t>
      </w:r>
      <w:r>
        <w:rPr>
          <w:spacing w:val="-2"/>
          <w:vertAlign w:val="baseline"/>
        </w:rPr>
        <w:t> </w:t>
      </w:r>
      <w:r>
        <w:rPr>
          <w:vertAlign w:val="baseline"/>
        </w:rPr>
        <w:t>which</w:t>
      </w:r>
      <w:r>
        <w:rPr>
          <w:spacing w:val="-2"/>
          <w:vertAlign w:val="baseline"/>
        </w:rPr>
        <w:t> </w:t>
      </w:r>
      <w:r>
        <w:rPr>
          <w:vertAlign w:val="baseline"/>
        </w:rPr>
        <w:t>they</w:t>
      </w:r>
      <w:r>
        <w:rPr>
          <w:spacing w:val="-2"/>
          <w:vertAlign w:val="baseline"/>
        </w:rPr>
        <w:t> </w:t>
      </w:r>
      <w:r>
        <w:rPr>
          <w:vertAlign w:val="baseline"/>
        </w:rPr>
        <w:t>undertook</w:t>
      </w:r>
      <w:r>
        <w:rPr>
          <w:spacing w:val="-2"/>
          <w:vertAlign w:val="baseline"/>
        </w:rPr>
        <w:t> </w:t>
      </w:r>
      <w:r>
        <w:rPr>
          <w:vertAlign w:val="baseline"/>
        </w:rPr>
        <w:t>to</w:t>
      </w:r>
      <w:r>
        <w:rPr>
          <w:spacing w:val="-2"/>
          <w:vertAlign w:val="baseline"/>
        </w:rPr>
        <w:t> </w:t>
      </w:r>
      <w:r>
        <w:rPr>
          <w:vertAlign w:val="baseline"/>
        </w:rPr>
        <w:t>pay</w:t>
      </w:r>
      <w:r>
        <w:rPr>
          <w:spacing w:val="-2"/>
          <w:vertAlign w:val="baseline"/>
        </w:rPr>
        <w:t> </w:t>
      </w:r>
      <w:r>
        <w:rPr>
          <w:vertAlign w:val="baseline"/>
        </w:rPr>
        <w:t>to</w:t>
      </w:r>
      <w:r>
        <w:rPr>
          <w:spacing w:val="-2"/>
          <w:vertAlign w:val="baseline"/>
        </w:rPr>
        <w:t> </w:t>
      </w:r>
      <w:r>
        <w:rPr>
          <w:vertAlign w:val="baseline"/>
        </w:rPr>
        <w:t>C</w:t>
      </w:r>
      <w:r>
        <w:rPr>
          <w:spacing w:val="-2"/>
          <w:vertAlign w:val="baseline"/>
        </w:rPr>
        <w:t> </w:t>
      </w:r>
      <w:r>
        <w:rPr>
          <w:vertAlign w:val="baseline"/>
        </w:rPr>
        <w:t>“on</w:t>
      </w:r>
      <w:r>
        <w:rPr>
          <w:spacing w:val="-2"/>
          <w:vertAlign w:val="baseline"/>
        </w:rPr>
        <w:t> </w:t>
      </w:r>
      <w:r>
        <w:rPr>
          <w:vertAlign w:val="baseline"/>
        </w:rPr>
        <w:t>your</w:t>
      </w:r>
      <w:r>
        <w:rPr>
          <w:spacing w:val="-2"/>
          <w:vertAlign w:val="baseline"/>
        </w:rPr>
        <w:t> </w:t>
      </w:r>
      <w:r>
        <w:rPr>
          <w:vertAlign w:val="baseline"/>
        </w:rPr>
        <w:t>[i.e.,</w:t>
      </w:r>
      <w:r>
        <w:rPr>
          <w:spacing w:val="-2"/>
          <w:vertAlign w:val="baseline"/>
        </w:rPr>
        <w:t> </w:t>
      </w:r>
      <w:r>
        <w:rPr>
          <w:vertAlign w:val="baseline"/>
        </w:rPr>
        <w:t>B’s]</w:t>
      </w:r>
      <w:r>
        <w:rPr>
          <w:spacing w:val="-2"/>
          <w:vertAlign w:val="baseline"/>
        </w:rPr>
        <w:t> </w:t>
      </w:r>
      <w:r>
        <w:rPr>
          <w:vertAlign w:val="baseline"/>
        </w:rPr>
        <w:t>behalf</w:t>
      </w:r>
      <w:r>
        <w:rPr>
          <w:spacing w:val="-2"/>
          <w:vertAlign w:val="baseline"/>
        </w:rPr>
        <w:t> </w:t>
      </w:r>
      <w:r>
        <w:rPr>
          <w:vertAlign w:val="baseline"/>
        </w:rPr>
        <w:t>or to</w:t>
      </w:r>
      <w:r>
        <w:rPr>
          <w:spacing w:val="18"/>
          <w:vertAlign w:val="baseline"/>
        </w:rPr>
        <w:t> </w:t>
      </w:r>
      <w:r>
        <w:rPr>
          <w:vertAlign w:val="baseline"/>
        </w:rPr>
        <w:t>any</w:t>
      </w:r>
      <w:r>
        <w:rPr>
          <w:spacing w:val="18"/>
          <w:vertAlign w:val="baseline"/>
        </w:rPr>
        <w:t> </w:t>
      </w:r>
      <w:r>
        <w:rPr>
          <w:vertAlign w:val="baseline"/>
        </w:rPr>
        <w:t>solicitor</w:t>
      </w:r>
      <w:r>
        <w:rPr>
          <w:spacing w:val="18"/>
          <w:vertAlign w:val="baseline"/>
        </w:rPr>
        <w:t> </w:t>
      </w:r>
      <w:r>
        <w:rPr>
          <w:vertAlign w:val="baseline"/>
        </w:rPr>
        <w:t>you</w:t>
      </w:r>
      <w:r>
        <w:rPr>
          <w:spacing w:val="18"/>
          <w:vertAlign w:val="baseline"/>
        </w:rPr>
        <w:t> </w:t>
      </w:r>
      <w:r>
        <w:rPr>
          <w:vertAlign w:val="baseline"/>
        </w:rPr>
        <w:t>may</w:t>
      </w:r>
      <w:r>
        <w:rPr>
          <w:spacing w:val="18"/>
          <w:vertAlign w:val="baseline"/>
        </w:rPr>
        <w:t> </w:t>
      </w:r>
      <w:r>
        <w:rPr>
          <w:vertAlign w:val="baseline"/>
        </w:rPr>
        <w:t>appoint”</w:t>
      </w:r>
      <w:r>
        <w:rPr>
          <w:spacing w:val="18"/>
          <w:vertAlign w:val="baseline"/>
        </w:rPr>
        <w:t> </w:t>
      </w:r>
      <w:r>
        <w:rPr>
          <w:vertAlign w:val="baseline"/>
        </w:rPr>
        <w:t>any</w:t>
      </w:r>
      <w:r>
        <w:rPr>
          <w:spacing w:val="18"/>
          <w:vertAlign w:val="baseline"/>
        </w:rPr>
        <w:t> </w:t>
      </w:r>
      <w:r>
        <w:rPr>
          <w:vertAlign w:val="baseline"/>
        </w:rPr>
        <w:t>sums</w:t>
      </w:r>
      <w:r>
        <w:rPr>
          <w:spacing w:val="18"/>
          <w:vertAlign w:val="baseline"/>
        </w:rPr>
        <w:t> </w:t>
      </w:r>
      <w:r>
        <w:rPr>
          <w:vertAlign w:val="baseline"/>
        </w:rPr>
        <w:t>that</w:t>
      </w:r>
      <w:r>
        <w:rPr>
          <w:spacing w:val="18"/>
          <w:vertAlign w:val="baseline"/>
        </w:rPr>
        <w:t> </w:t>
      </w:r>
      <w:r>
        <w:rPr>
          <w:vertAlign w:val="baseline"/>
        </w:rPr>
        <w:t>might</w:t>
      </w:r>
      <w:r>
        <w:rPr>
          <w:spacing w:val="18"/>
          <w:vertAlign w:val="baseline"/>
        </w:rPr>
        <w:t> </w:t>
      </w:r>
      <w:r>
        <w:rPr>
          <w:vertAlign w:val="baseline"/>
        </w:rPr>
        <w:t>become</w:t>
      </w:r>
      <w:r>
        <w:rPr>
          <w:spacing w:val="18"/>
          <w:vertAlign w:val="baseline"/>
        </w:rPr>
        <w:t> </w:t>
      </w:r>
      <w:r>
        <w:rPr>
          <w:vertAlign w:val="baseline"/>
        </w:rPr>
        <w:t>due</w:t>
      </w:r>
      <w:r>
        <w:rPr>
          <w:spacing w:val="18"/>
          <w:vertAlign w:val="baseline"/>
        </w:rPr>
        <w:t> </w:t>
      </w:r>
      <w:r>
        <w:rPr>
          <w:vertAlign w:val="baseline"/>
        </w:rPr>
        <w:t>under</w:t>
      </w:r>
      <w:r>
        <w:rPr>
          <w:spacing w:val="18"/>
          <w:vertAlign w:val="baseline"/>
        </w:rPr>
        <w:t> </w:t>
      </w:r>
      <w:r>
        <w:rPr>
          <w:vertAlign w:val="baseline"/>
        </w:rPr>
        <w:t>a</w:t>
      </w:r>
      <w:r>
        <w:rPr>
          <w:spacing w:val="18"/>
          <w:vertAlign w:val="baseline"/>
        </w:rPr>
        <w:t> </w:t>
      </w:r>
      <w:r>
        <w:rPr>
          <w:vertAlign w:val="baseline"/>
        </w:rPr>
        <w:t>final</w:t>
      </w:r>
      <w:r>
        <w:rPr>
          <w:spacing w:val="18"/>
          <w:vertAlign w:val="baseline"/>
        </w:rPr>
        <w:t> </w:t>
      </w:r>
      <w:r>
        <w:rPr>
          <w:vertAlign w:val="baseline"/>
        </w:rPr>
        <w:t>judgment</w:t>
      </w:r>
      <w:r>
        <w:rPr>
          <w:spacing w:val="18"/>
          <w:vertAlign w:val="baseline"/>
        </w:rPr>
        <w:t> </w:t>
      </w:r>
      <w:r>
        <w:rPr>
          <w:vertAlign w:val="baseline"/>
        </w:rPr>
        <w:t>or</w:t>
      </w:r>
      <w:r>
        <w:rPr>
          <w:spacing w:val="18"/>
          <w:vertAlign w:val="baseline"/>
        </w:rPr>
        <w:t> </w:t>
      </w:r>
      <w:r>
        <w:rPr>
          <w:vertAlign w:val="baseline"/>
        </w:rPr>
        <w:t>by</w:t>
      </w:r>
      <w:r>
        <w:rPr>
          <w:spacing w:val="18"/>
          <w:vertAlign w:val="baseline"/>
        </w:rPr>
        <w:t> </w:t>
      </w:r>
      <w:r>
        <w:rPr>
          <w:spacing w:val="-7"/>
          <w:vertAlign w:val="baseline"/>
        </w:rPr>
        <w:t>an</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agreement with the carriers in respect of the loss. It was held that this term was not enforceable by C under the 1999 Act since the provision for payment to C was merely one as to the means or mode by </w:t>
      </w:r>
      <w:bookmarkStart w:name="_bookmark1133" w:id="1135"/>
      <w:bookmarkEnd w:id="1135"/>
      <w:r>
        <w:rPr/>
        <w:t>which</w:t>
      </w:r>
      <w:r>
        <w:rPr/>
        <w:t> the payment due from A to B was to be made and so did not (within s.1(1)(b)) purport to confer </w:t>
      </w:r>
      <w:bookmarkStart w:name="_bookmark1134" w:id="1136"/>
      <w:bookmarkEnd w:id="1136"/>
      <w:r>
        <w:rPr/>
        <w:t>a</w:t>
      </w:r>
      <w:r>
        <w:rPr/>
        <w:t> benefit on C. </w:t>
      </w:r>
      <w:r>
        <w:rPr>
          <w:color w:val="005DA1"/>
          <w:u w:val="single" w:color="005DA1"/>
          <w:vertAlign w:val="superscript"/>
        </w:rPr>
        <w:t>615</w:t>
      </w:r>
      <w:r>
        <w:rPr>
          <w:color w:val="005DA1"/>
          <w:vertAlign w:val="baseline"/>
        </w:rPr>
        <w:t> </w:t>
      </w:r>
      <w:r>
        <w:rPr>
          <w:vertAlign w:val="baseline"/>
        </w:rPr>
        <w:t>It made no difference that the contract between B and C allowed C to deduct its commission from any recovery. </w:t>
      </w:r>
      <w:r>
        <w:rPr>
          <w:color w:val="005DA1"/>
          <w:u w:val="single" w:color="005DA1"/>
          <w:vertAlign w:val="superscript"/>
        </w:rPr>
        <w:t>616</w:t>
      </w:r>
      <w:r>
        <w:rPr>
          <w:color w:val="005DA1"/>
          <w:vertAlign w:val="baseline"/>
        </w:rPr>
        <w:t> </w:t>
      </w:r>
      <w:r>
        <w:rPr>
          <w:vertAlign w:val="baseline"/>
        </w:rPr>
        <w:t>Alternatively, A and B did not intend the term to be enforceable by C, so that C’s claim to enforce the term failed by virtue of s.1(2). The reason for this conclusion </w:t>
      </w:r>
      <w:r>
        <w:rPr>
          <w:vertAlign w:val="baseline"/>
        </w:rPr>
        <w:t>was, </w:t>
      </w:r>
      <w:bookmarkStart w:name="_bookmark1135" w:id="1137"/>
      <w:bookmarkEnd w:id="1137"/>
      <w:r>
        <w:rPr>
          <w:vertAlign w:val="baseline"/>
        </w:rPr>
        <w:t>again,</w:t>
      </w:r>
      <w:r>
        <w:rPr>
          <w:vertAlign w:val="baseline"/>
        </w:rPr>
        <w:t> that the term related only to the mode of A’s discharge of A’s obligation to B. The case was “in the same category as that of A who agrees to pay B at B’s bankers, C.” </w:t>
      </w:r>
      <w:r>
        <w:rPr>
          <w:color w:val="005DA1"/>
          <w:u w:val="single" w:color="005DA1"/>
          <w:vertAlign w:val="superscript"/>
        </w:rPr>
        <w:t>617</w:t>
      </w:r>
    </w:p>
    <w:p>
      <w:pPr>
        <w:pStyle w:val="BodyText"/>
      </w:pPr>
    </w:p>
    <w:p>
      <w:pPr>
        <w:pStyle w:val="BodyText"/>
        <w:spacing w:before="35"/>
      </w:pPr>
    </w:p>
    <w:p>
      <w:pPr>
        <w:spacing w:before="0"/>
        <w:ind w:left="165" w:right="0" w:firstLine="0"/>
        <w:jc w:val="both"/>
        <w:rPr>
          <w:rFonts w:ascii="Arial"/>
          <w:b/>
          <w:sz w:val="18"/>
        </w:rPr>
      </w:pPr>
      <w:r>
        <w:rPr>
          <w:rFonts w:ascii="Arial"/>
          <w:b/>
          <w:sz w:val="18"/>
        </w:rPr>
        <w:t>Application to previous </w:t>
      </w:r>
      <w:r>
        <w:rPr>
          <w:rFonts w:ascii="Arial"/>
          <w:b/>
          <w:spacing w:val="-2"/>
          <w:sz w:val="18"/>
        </w:rPr>
        <w:t>decisions?</w:t>
      </w:r>
    </w:p>
    <w:p>
      <w:pPr>
        <w:pStyle w:val="BodyText"/>
        <w:spacing w:before="41"/>
        <w:rPr>
          <w:rFonts w:ascii="Arial"/>
          <w:b/>
          <w:sz w:val="18"/>
        </w:rPr>
      </w:pPr>
    </w:p>
    <w:p>
      <w:pPr>
        <w:pStyle w:val="Heading2"/>
        <w:spacing w:before="1"/>
      </w:pPr>
      <w:r>
        <w:rPr/>
        <w:t>18-</w:t>
      </w:r>
      <w:r>
        <w:rPr>
          <w:spacing w:val="-5"/>
        </w:rPr>
        <w:t>096</w:t>
      </w:r>
    </w:p>
    <w:p>
      <w:pPr>
        <w:pStyle w:val="BodyText"/>
        <w:spacing w:line="235" w:lineRule="auto" w:before="202"/>
        <w:ind w:left="164" w:right="167"/>
        <w:jc w:val="both"/>
      </w:pPr>
      <w:r>
        <w:rPr/>
        <w:t>It</w:t>
      </w:r>
      <w:r>
        <w:rPr>
          <w:spacing w:val="-1"/>
        </w:rPr>
        <w:t> </w:t>
      </w:r>
      <w:r>
        <w:rPr/>
        <w:t>is</w:t>
      </w:r>
      <w:r>
        <w:rPr>
          <w:spacing w:val="-1"/>
        </w:rPr>
        <w:t> </w:t>
      </w:r>
      <w:r>
        <w:rPr/>
        <w:t>tempting</w:t>
      </w:r>
      <w:r>
        <w:rPr>
          <w:spacing w:val="-1"/>
        </w:rPr>
        <w:t> </w:t>
      </w:r>
      <w:r>
        <w:rPr/>
        <w:t>to</w:t>
      </w:r>
      <w:r>
        <w:rPr>
          <w:spacing w:val="-1"/>
        </w:rPr>
        <w:t> </w:t>
      </w:r>
      <w:r>
        <w:rPr/>
        <w:t>speculate</w:t>
      </w:r>
      <w:r>
        <w:rPr>
          <w:spacing w:val="-1"/>
        </w:rPr>
        <w:t> </w:t>
      </w:r>
      <w:r>
        <w:rPr/>
        <w:t>how</w:t>
      </w:r>
      <w:r>
        <w:rPr>
          <w:spacing w:val="-1"/>
        </w:rPr>
        <w:t> </w:t>
      </w:r>
      <w:r>
        <w:rPr/>
        <w:t>the</w:t>
      </w:r>
      <w:r>
        <w:rPr>
          <w:spacing w:val="-1"/>
        </w:rPr>
        <w:t> </w:t>
      </w:r>
      <w:r>
        <w:rPr/>
        <w:t>provisions</w:t>
      </w:r>
      <w:r>
        <w:rPr>
          <w:spacing w:val="-1"/>
        </w:rPr>
        <w:t> </w:t>
      </w:r>
      <w:r>
        <w:rPr/>
        <w:t>discussed</w:t>
      </w:r>
      <w:r>
        <w:rPr>
          <w:spacing w:val="-1"/>
        </w:rPr>
        <w:t> </w:t>
      </w:r>
      <w:r>
        <w:rPr/>
        <w:t>in</w:t>
      </w:r>
      <w:r>
        <w:rPr>
          <w:spacing w:val="-1"/>
        </w:rPr>
        <w:t> </w:t>
      </w:r>
      <w:r>
        <w:rPr/>
        <w:t>paras</w:t>
      </w:r>
      <w:r>
        <w:rPr>
          <w:spacing w:val="-1"/>
        </w:rPr>
        <w:t> </w:t>
      </w:r>
      <w:r>
        <w:rPr/>
        <w:t>18-091</w:t>
      </w:r>
      <w:r>
        <w:rPr>
          <w:spacing w:val="-1"/>
        </w:rPr>
        <w:t> </w:t>
      </w:r>
      <w:r>
        <w:rPr/>
        <w:t>to</w:t>
      </w:r>
      <w:r>
        <w:rPr>
          <w:spacing w:val="-1"/>
        </w:rPr>
        <w:t> </w:t>
      </w:r>
      <w:r>
        <w:rPr/>
        <w:t>18-095</w:t>
      </w:r>
      <w:r>
        <w:rPr>
          <w:spacing w:val="-1"/>
        </w:rPr>
        <w:t> </w:t>
      </w:r>
      <w:r>
        <w:rPr/>
        <w:t>above</w:t>
      </w:r>
      <w:r>
        <w:rPr>
          <w:spacing w:val="-1"/>
        </w:rPr>
        <w:t> </w:t>
      </w:r>
      <w:r>
        <w:rPr/>
        <w:t>would</w:t>
      </w:r>
      <w:r>
        <w:rPr>
          <w:spacing w:val="-1"/>
        </w:rPr>
        <w:t> </w:t>
      </w:r>
      <w:r>
        <w:rPr/>
        <w:t>apply to some of the leading cases in which the doctrine of privity was applied before the 1999 Act. To</w:t>
      </w:r>
      <w:r>
        <w:rPr>
          <w:spacing w:val="40"/>
        </w:rPr>
        <w:t> </w:t>
      </w:r>
      <w:bookmarkStart w:name="_bookmark1136" w:id="1138"/>
      <w:bookmarkEnd w:id="1138"/>
      <w:r>
        <w:rPr/>
        <w:t>some</w:t>
      </w:r>
      <w:r>
        <w:rPr/>
        <w:t> extent, indeed, such an exercise is likely to be fruitless since the courts have not in the past directed their attention to the issues which will arise under the Act. In </w:t>
      </w:r>
      <w:r>
        <w:rPr>
          <w:rFonts w:ascii="Arial" w:hAnsi="Arial"/>
          <w:i/>
        </w:rPr>
        <w:t>Beswick v Beswick</w:t>
      </w:r>
      <w:r>
        <w:rPr/>
        <w:t>, </w:t>
      </w:r>
      <w:r>
        <w:rPr>
          <w:color w:val="005DA1"/>
          <w:u w:val="single" w:color="005DA1"/>
          <w:vertAlign w:val="superscript"/>
        </w:rPr>
        <w:t>618</w:t>
      </w:r>
      <w:r>
        <w:rPr>
          <w:color w:val="005DA1"/>
          <w:vertAlign w:val="baseline"/>
        </w:rPr>
        <w:t> </w:t>
      </w:r>
      <w:r>
        <w:rPr>
          <w:vertAlign w:val="baseline"/>
        </w:rPr>
        <w:t>for example, the contract no doubt purported to confer a benefit on C; but no finding of fact was made (because such a finding would have been irrelevant to the outcome) as to the intention of A and B on the issue of legal enforceability by C: it is conceivable that A could now succeed on this issue if, for </w:t>
      </w:r>
      <w:bookmarkStart w:name="_bookmark1137" w:id="1139"/>
      <w:bookmarkEnd w:id="1139"/>
      <w:r>
        <w:rPr>
          <w:vertAlign w:val="baseline"/>
        </w:rPr>
        <w:t>example,</w:t>
      </w:r>
      <w:r>
        <w:rPr>
          <w:vertAlign w:val="baseline"/>
        </w:rPr>
        <w:t> he could show that A and B had, when the contract was made, instructed the solicitor who drafted it to do so in such a way as </w:t>
      </w:r>
      <w:r>
        <w:rPr>
          <w:rFonts w:ascii="Arial" w:hAnsi="Arial"/>
          <w:i/>
          <w:vertAlign w:val="baseline"/>
        </w:rPr>
        <w:t>not </w:t>
      </w:r>
      <w:r>
        <w:rPr>
          <w:vertAlign w:val="baseline"/>
        </w:rPr>
        <w:t>to confer legally enforceable rights on C. </w:t>
      </w:r>
      <w:r>
        <w:rPr>
          <w:color w:val="005DA1"/>
          <w:u w:val="single" w:color="005DA1"/>
          <w:vertAlign w:val="superscript"/>
        </w:rPr>
        <w:t>619</w:t>
      </w:r>
      <w:r>
        <w:rPr>
          <w:color w:val="005DA1"/>
          <w:vertAlign w:val="baseline"/>
        </w:rPr>
        <w:t> </w:t>
      </w:r>
      <w:r>
        <w:rPr>
          <w:vertAlign w:val="baseline"/>
        </w:rPr>
        <w:t>On the facts (if </w:t>
      </w:r>
      <w:bookmarkStart w:name="_bookmark1138" w:id="1140"/>
      <w:bookmarkEnd w:id="1140"/>
      <w:r>
        <w:rPr>
          <w:vertAlign w:val="baseline"/>
        </w:rPr>
        <w:t>they</w:t>
      </w:r>
      <w:r>
        <w:rPr>
          <w:vertAlign w:val="baseline"/>
        </w:rPr>
        <w:t> now recurred), of a number of other cases, the position under the 1999 Act would, it is submitted be clearer. Thus in the “disappointed beneficiary” cases such as </w:t>
      </w:r>
      <w:r>
        <w:rPr>
          <w:rFonts w:ascii="Arial" w:hAnsi="Arial"/>
          <w:i/>
          <w:vertAlign w:val="baseline"/>
        </w:rPr>
        <w:t>White v Jones </w:t>
      </w:r>
      <w:r>
        <w:rPr>
          <w:color w:val="005DA1"/>
          <w:u w:val="single" w:color="005DA1"/>
          <w:vertAlign w:val="superscript"/>
        </w:rPr>
        <w:t>620</w:t>
      </w:r>
      <w:r>
        <w:rPr>
          <w:color w:val="005DA1"/>
          <w:vertAlign w:val="baseline"/>
        </w:rPr>
        <w:t> </w:t>
      </w:r>
      <w:r>
        <w:rPr>
          <w:vertAlign w:val="baseline"/>
        </w:rPr>
        <w:t>C would not get a </w:t>
      </w:r>
      <w:bookmarkStart w:name="_bookmark1139" w:id="1141"/>
      <w:bookmarkEnd w:id="1141"/>
      <w:r>
        <w:rPr>
          <w:vertAlign w:val="baseline"/>
        </w:rPr>
        <w:t>right</w:t>
      </w:r>
      <w:r>
        <w:rPr>
          <w:vertAlign w:val="baseline"/>
        </w:rPr>
        <w:t> under the Act against A, the negligent solicitor, since the terms of the solicitor’s retainer (even if </w:t>
      </w:r>
      <w:bookmarkStart w:name="_bookmark1140" w:id="1142"/>
      <w:bookmarkEnd w:id="1142"/>
      <w:r>
        <w:rPr>
          <w:vertAlign w:val="baseline"/>
        </w:rPr>
        <w:t>they</w:t>
      </w:r>
      <w:r>
        <w:rPr>
          <w:vertAlign w:val="baseline"/>
        </w:rPr>
        <w:t> identified C </w:t>
      </w:r>
      <w:r>
        <w:rPr>
          <w:color w:val="005DA1"/>
          <w:u w:val="single" w:color="005DA1"/>
          <w:vertAlign w:val="superscript"/>
        </w:rPr>
        <w:t>621</w:t>
      </w:r>
      <w:r>
        <w:rPr>
          <w:vertAlign w:val="baseline"/>
        </w:rPr>
        <w:t>) would not purport to confer a benefit on C: the intended benefit was to come, not from A, but from B. </w:t>
      </w:r>
      <w:r>
        <w:rPr>
          <w:color w:val="005DA1"/>
          <w:u w:val="single" w:color="005DA1"/>
          <w:vertAlign w:val="superscript"/>
        </w:rPr>
        <w:t>622</w:t>
      </w:r>
      <w:r>
        <w:rPr>
          <w:color w:val="005DA1"/>
          <w:vertAlign w:val="baseline"/>
        </w:rPr>
        <w:t> </w:t>
      </w:r>
      <w:r>
        <w:rPr>
          <w:vertAlign w:val="baseline"/>
        </w:rPr>
        <w:t>It is similarly unlikely that cases such as the </w:t>
      </w:r>
      <w:r>
        <w:rPr>
          <w:rFonts w:ascii="Arial" w:hAnsi="Arial"/>
          <w:i/>
          <w:vertAlign w:val="baseline"/>
        </w:rPr>
        <w:t>Junior Books </w:t>
      </w:r>
      <w:r>
        <w:rPr>
          <w:vertAlign w:val="baseline"/>
        </w:rPr>
        <w:t>case, </w:t>
      </w:r>
      <w:r>
        <w:rPr>
          <w:color w:val="005DA1"/>
          <w:u w:val="single" w:color="005DA1"/>
          <w:vertAlign w:val="superscript"/>
        </w:rPr>
        <w:t>623</w:t>
      </w:r>
      <w:r>
        <w:rPr>
          <w:color w:val="005DA1"/>
          <w:vertAlign w:val="baseline"/>
        </w:rPr>
        <w:t> </w:t>
      </w:r>
      <w:r>
        <w:rPr>
          <w:vertAlign w:val="baseline"/>
        </w:rPr>
        <w:t>in which A</w:t>
      </w:r>
      <w:r>
        <w:rPr>
          <w:spacing w:val="40"/>
          <w:vertAlign w:val="baseline"/>
        </w:rPr>
        <w:t> </w:t>
      </w:r>
      <w:r>
        <w:rPr>
          <w:vertAlign w:val="baseline"/>
        </w:rPr>
        <w:t>is a subcontractor employed by B to enable B to perform his contract with C, would be covered, even </w:t>
      </w:r>
      <w:bookmarkStart w:name="_bookmark1141" w:id="1143"/>
      <w:bookmarkEnd w:id="1143"/>
      <w:r>
        <w:rPr>
          <w:vertAlign w:val="baseline"/>
        </w:rPr>
        <w:t>if</w:t>
      </w:r>
      <w:r>
        <w:rPr>
          <w:vertAlign w:val="baseline"/>
        </w:rPr>
        <w:t> the subcontract named C, since the purpose of such a subcontract would, prima facie, be to</w:t>
      </w:r>
      <w:r>
        <w:rPr>
          <w:spacing w:val="40"/>
          <w:vertAlign w:val="baseline"/>
        </w:rPr>
        <w:t> </w:t>
      </w:r>
      <w:bookmarkStart w:name="_bookmark1142" w:id="1144"/>
      <w:bookmarkEnd w:id="1144"/>
      <w:r>
        <w:rPr>
          <w:vertAlign w:val="baseline"/>
        </w:rPr>
        <w:t>regulate</w:t>
      </w:r>
      <w:r>
        <w:rPr>
          <w:vertAlign w:val="baseline"/>
        </w:rPr>
        <w:t> the relations between A and B rather than to confer a benefit on C. </w:t>
      </w:r>
      <w:r>
        <w:rPr>
          <w:color w:val="005DA1"/>
          <w:u w:val="single" w:color="005DA1"/>
          <w:vertAlign w:val="superscript"/>
        </w:rPr>
        <w:t>624</w:t>
      </w:r>
      <w:r>
        <w:rPr>
          <w:color w:val="005DA1"/>
          <w:vertAlign w:val="baseline"/>
        </w:rPr>
        <w:t> </w:t>
      </w:r>
      <w:r>
        <w:rPr>
          <w:vertAlign w:val="baseline"/>
        </w:rPr>
        <w:t>Cases such as the </w:t>
      </w:r>
      <w:r>
        <w:rPr>
          <w:rFonts w:ascii="Arial" w:hAnsi="Arial"/>
          <w:i/>
          <w:vertAlign w:val="baseline"/>
        </w:rPr>
        <w:t>Linden Garden </w:t>
      </w:r>
      <w:r>
        <w:rPr>
          <w:vertAlign w:val="baseline"/>
        </w:rPr>
        <w:t>case </w:t>
      </w:r>
      <w:r>
        <w:rPr>
          <w:color w:val="005DA1"/>
          <w:u w:val="single" w:color="005DA1"/>
          <w:vertAlign w:val="superscript"/>
        </w:rPr>
        <w:t>625</w:t>
      </w:r>
      <w:r>
        <w:rPr>
          <w:color w:val="005DA1"/>
          <w:vertAlign w:val="baseline"/>
        </w:rPr>
        <w:t> </w:t>
      </w:r>
      <w:r>
        <w:rPr>
          <w:vertAlign w:val="baseline"/>
        </w:rPr>
        <w:t>would likewise not be affected by s.1 since the mere possibility that land on which work is done by a building contractor (A) might be transferred to purchasers (C) from the </w:t>
      </w:r>
      <w:bookmarkStart w:name="_bookmark1143" w:id="1145"/>
      <w:bookmarkEnd w:id="1145"/>
      <w:r>
        <w:rPr>
          <w:vertAlign w:val="baseline"/>
        </w:rPr>
        <w:t>owners</w:t>
      </w:r>
      <w:r>
        <w:rPr>
          <w:spacing w:val="-1"/>
          <w:vertAlign w:val="baseline"/>
        </w:rPr>
        <w:t> </w:t>
      </w:r>
      <w:r>
        <w:rPr>
          <w:vertAlign w:val="baseline"/>
        </w:rPr>
        <w:t>(B)</w:t>
      </w:r>
      <w:r>
        <w:rPr>
          <w:spacing w:val="-1"/>
          <w:vertAlign w:val="baseline"/>
        </w:rPr>
        <w:t> </w:t>
      </w:r>
      <w:r>
        <w:rPr>
          <w:vertAlign w:val="baseline"/>
        </w:rPr>
        <w:t>would</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sufficient</w:t>
      </w:r>
      <w:r>
        <w:rPr>
          <w:spacing w:val="-1"/>
          <w:vertAlign w:val="baseline"/>
        </w:rPr>
        <w:t> </w:t>
      </w:r>
      <w:r>
        <w:rPr>
          <w:vertAlign w:val="baseline"/>
        </w:rPr>
        <w:t>to</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term</w:t>
      </w:r>
      <w:r>
        <w:rPr>
          <w:spacing w:val="-1"/>
          <w:vertAlign w:val="baseline"/>
        </w:rPr>
        <w:t> </w:t>
      </w:r>
      <w:r>
        <w:rPr>
          <w:vertAlign w:val="baseline"/>
        </w:rPr>
        <w:t>relating</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quality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work</w:t>
      </w:r>
      <w:r>
        <w:rPr>
          <w:spacing w:val="-1"/>
          <w:vertAlign w:val="baseline"/>
        </w:rPr>
        <w:t> </w:t>
      </w:r>
      <w:r>
        <w:rPr>
          <w:vertAlign w:val="baseline"/>
        </w:rPr>
        <w:t>purported</w:t>
      </w:r>
      <w:r>
        <w:rPr>
          <w:spacing w:val="-1"/>
          <w:vertAlign w:val="baseline"/>
        </w:rPr>
        <w:t> </w:t>
      </w:r>
      <w:r>
        <w:rPr>
          <w:vertAlign w:val="baseline"/>
        </w:rPr>
        <w:t>to “confer a benefit” on such purchasers; nor would the contract, without more, adequately “identify” </w:t>
      </w:r>
      <w:r>
        <w:rPr>
          <w:color w:val="005DA1"/>
          <w:u w:val="single" w:color="005DA1"/>
          <w:vertAlign w:val="superscript"/>
        </w:rPr>
        <w:t>626</w:t>
      </w:r>
      <w:r>
        <w:rPr>
          <w:color w:val="005DA1"/>
          <w:vertAlign w:val="baseline"/>
        </w:rPr>
        <w:t> </w:t>
      </w:r>
      <w:bookmarkStart w:name="_bookmark1144" w:id="1146"/>
      <w:bookmarkEnd w:id="1146"/>
      <w:r>
        <w:rPr>
          <w:color w:val="005DA1"/>
          <w:w w:val="92"/>
          <w:vertAlign w:val="baseline"/>
        </w:rPr>
      </w:r>
      <w:r>
        <w:rPr>
          <w:vertAlign w:val="baseline"/>
        </w:rPr>
        <w:t>such purchasers as third parties for the purpose of s.1(1). Nor, in circumstances such as those of the </w:t>
      </w:r>
      <w:bookmarkStart w:name="_bookmark1145" w:id="1147"/>
      <w:bookmarkEnd w:id="1147"/>
      <w:r>
        <w:rPr>
          <w:vertAlign w:val="baseline"/>
        </w:rPr>
      </w:r>
      <w:r>
        <w:rPr>
          <w:rFonts w:ascii="Arial" w:hAnsi="Arial"/>
          <w:i/>
          <w:vertAlign w:val="baseline"/>
        </w:rPr>
        <w:t>Panatown </w:t>
      </w:r>
      <w:r>
        <w:rPr>
          <w:vertAlign w:val="baseline"/>
        </w:rPr>
        <w:t>case, </w:t>
      </w:r>
      <w:r>
        <w:rPr>
          <w:color w:val="005DA1"/>
          <w:u w:val="single" w:color="005DA1"/>
          <w:vertAlign w:val="superscript"/>
        </w:rPr>
        <w:t>627</w:t>
      </w:r>
      <w:r>
        <w:rPr>
          <w:color w:val="005DA1"/>
          <w:vertAlign w:val="baseline"/>
        </w:rPr>
        <w:t> </w:t>
      </w:r>
      <w:r>
        <w:rPr>
          <w:vertAlign w:val="baseline"/>
        </w:rPr>
        <w:t>would the mere fact that the building contractor (A) knew that the property on which he was working in pursuance of his contract with B belonged to someone other than B </w:t>
      </w:r>
      <w:r>
        <w:rPr>
          <w:color w:val="005DA1"/>
          <w:u w:val="single" w:color="005DA1"/>
          <w:vertAlign w:val="superscript"/>
        </w:rPr>
        <w:t>628</w:t>
      </w:r>
      <w:r>
        <w:rPr>
          <w:color w:val="005DA1"/>
          <w:vertAlign w:val="baseline"/>
        </w:rPr>
        <w:t> </w:t>
      </w:r>
      <w:r>
        <w:rPr>
          <w:vertAlign w:val="baseline"/>
        </w:rPr>
        <w:t>suffice to show that the benefit was to be conferred on that other person (C): the answer to the question whether the work was being done for the benefit of C or B would depend on the contractual relations between B and C, of the details of which A might be wholly unaware. In the “family holiday” cases discussed in paras 18-051 to 18-052 above, the outcome under the Act would depend on the nature of the transaction. If the person making the booking supplied the names of other members of the family when the contract was made, those other members would probably acquire rights under s.1(1); but no such rights are likely to be acquired if a person simply rented a holiday cottage without giving the lessor any information as to the number or names of the persons with whom he proposed</w:t>
      </w:r>
      <w:r>
        <w:rPr>
          <w:spacing w:val="40"/>
          <w:vertAlign w:val="baseline"/>
        </w:rPr>
        <w:t> </w:t>
      </w:r>
      <w:r>
        <w:rPr>
          <w:vertAlign w:val="baseline"/>
        </w:rPr>
        <w:t>to share the accommodation. In many of the situations which have here been discussed, the question whether the contract purports to confer a benefit on C will be closely related to the question, to be discussed in paras 18-097 and 18-098 below, whether C is adequately “identified” in the contract between A and B.</w:t>
      </w:r>
    </w:p>
    <w:p>
      <w:pPr>
        <w:pStyle w:val="BodyText"/>
      </w:pPr>
    </w:p>
    <w:p>
      <w:pPr>
        <w:pStyle w:val="BodyText"/>
        <w:spacing w:before="25"/>
      </w:pPr>
    </w:p>
    <w:p>
      <w:pPr>
        <w:spacing w:before="0"/>
        <w:ind w:left="165" w:right="0" w:firstLine="0"/>
        <w:jc w:val="left"/>
        <w:rPr>
          <w:rFonts w:ascii="Arial" w:hAnsi="Arial"/>
          <w:b/>
          <w:sz w:val="18"/>
        </w:rPr>
      </w:pPr>
      <w:r>
        <w:rPr>
          <w:rFonts w:ascii="Arial" w:hAnsi="Arial"/>
          <w:b/>
          <w:sz w:val="18"/>
        </w:rPr>
        <w:t>Third party to be “expressly” </w:t>
      </w:r>
      <w:r>
        <w:rPr>
          <w:rFonts w:ascii="Arial" w:hAnsi="Arial"/>
          <w:b/>
          <w:spacing w:val="-2"/>
          <w:sz w:val="18"/>
        </w:rPr>
        <w:t>identified</w:t>
      </w:r>
    </w:p>
    <w:p>
      <w:pPr>
        <w:pStyle w:val="BodyText"/>
        <w:spacing w:before="41"/>
        <w:rPr>
          <w:rFonts w:ascii="Arial"/>
          <w:b/>
          <w:sz w:val="18"/>
        </w:rPr>
      </w:pPr>
    </w:p>
    <w:p>
      <w:pPr>
        <w:pStyle w:val="Heading2"/>
        <w:spacing w:before="1"/>
      </w:pPr>
      <w:r>
        <w:rPr/>
        <w:t>18-</w:t>
      </w:r>
      <w:r>
        <w:rPr>
          <w:spacing w:val="-5"/>
        </w:rPr>
        <w:t>097</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5"/>
        </w:rPr>
        <w:t> </w:t>
      </w:r>
      <w:r>
        <w:rPr/>
        <w:t>Under s.1(3) of the 1999 Act, it is a requirement of C’s right to enforce A’s promise that C </w:t>
      </w:r>
      <w:r>
        <w:rPr/>
        <w:t>must </w:t>
      </w:r>
      <w:bookmarkStart w:name="_bookmark1146" w:id="1148"/>
      <w:bookmarkEnd w:id="1148"/>
      <w:r>
        <w:rPr/>
        <w:t>have</w:t>
      </w:r>
      <w:r>
        <w:rPr>
          <w:spacing w:val="-1"/>
        </w:rPr>
        <w:t> </w:t>
      </w:r>
      <w:r>
        <w:rPr/>
        <w:t>been</w:t>
      </w:r>
      <w:r>
        <w:rPr>
          <w:spacing w:val="-1"/>
        </w:rPr>
        <w:t> </w:t>
      </w:r>
      <w:r>
        <w:rPr/>
        <w:t>“</w:t>
      </w:r>
      <w:r>
        <w:rPr>
          <w:rFonts w:ascii="Arial" w:hAnsi="Arial"/>
          <w:i/>
        </w:rPr>
        <w:t>expressly</w:t>
      </w:r>
      <w:r>
        <w:rPr>
          <w:rFonts w:ascii="Arial" w:hAnsi="Arial"/>
          <w:i/>
          <w:spacing w:val="-2"/>
        </w:rPr>
        <w:t> </w:t>
      </w:r>
      <w:r>
        <w:rPr/>
        <w:t>identified</w:t>
      </w:r>
      <w:r>
        <w:rPr>
          <w:spacing w:val="-1"/>
        </w:rPr>
        <w:t> </w:t>
      </w:r>
      <w:r>
        <w:rPr/>
        <w:t>in</w:t>
      </w:r>
      <w:r>
        <w:rPr>
          <w:spacing w:val="-1"/>
        </w:rPr>
        <w:t> </w:t>
      </w:r>
      <w:r>
        <w:rPr/>
        <w:t>the</w:t>
      </w:r>
      <w:r>
        <w:rPr>
          <w:spacing w:val="-1"/>
        </w:rPr>
        <w:t> </w:t>
      </w:r>
      <w:r>
        <w:rPr/>
        <w:t>contract</w:t>
      </w:r>
      <w:r>
        <w:rPr>
          <w:spacing w:val="-1"/>
        </w:rPr>
        <w:t> </w:t>
      </w:r>
      <w:r>
        <w:rPr/>
        <w:t>[between</w:t>
      </w:r>
      <w:r>
        <w:rPr>
          <w:spacing w:val="-1"/>
        </w:rPr>
        <w:t> </w:t>
      </w:r>
      <w:r>
        <w:rPr/>
        <w:t>A</w:t>
      </w:r>
      <w:r>
        <w:rPr>
          <w:spacing w:val="-1"/>
        </w:rPr>
        <w:t> </w:t>
      </w:r>
      <w:r>
        <w:rPr/>
        <w:t>and</w:t>
      </w:r>
      <w:r>
        <w:rPr>
          <w:spacing w:val="-1"/>
        </w:rPr>
        <w:t> </w:t>
      </w:r>
      <w:r>
        <w:rPr/>
        <w:t>B]</w:t>
      </w:r>
      <w:r>
        <w:rPr>
          <w:spacing w:val="-1"/>
        </w:rPr>
        <w:t> </w:t>
      </w:r>
      <w:r>
        <w:rPr/>
        <w:t>by</w:t>
      </w:r>
      <w:r>
        <w:rPr>
          <w:spacing w:val="-1"/>
        </w:rPr>
        <w:t> </w:t>
      </w:r>
      <w:r>
        <w:rPr/>
        <w:t>name,</w:t>
      </w:r>
      <w:r>
        <w:rPr>
          <w:spacing w:val="-1"/>
        </w:rPr>
        <w:t> </w:t>
      </w:r>
      <w:r>
        <w:rPr/>
        <w:t>as</w:t>
      </w:r>
      <w:r>
        <w:rPr>
          <w:spacing w:val="-1"/>
        </w:rPr>
        <w:t> </w:t>
      </w:r>
      <w:r>
        <w:rPr/>
        <w:t>a</w:t>
      </w:r>
      <w:r>
        <w:rPr>
          <w:spacing w:val="-1"/>
        </w:rPr>
        <w:t> </w:t>
      </w:r>
      <w:r>
        <w:rPr/>
        <w:t>member</w:t>
      </w:r>
      <w:r>
        <w:rPr>
          <w:spacing w:val="-1"/>
        </w:rPr>
        <w:t> </w:t>
      </w:r>
      <w:r>
        <w:rPr/>
        <w:t>of</w:t>
      </w:r>
      <w:r>
        <w:rPr>
          <w:spacing w:val="-1"/>
        </w:rPr>
        <w:t> </w:t>
      </w:r>
      <w:r>
        <w:rPr/>
        <w:t>a</w:t>
      </w:r>
      <w:r>
        <w:rPr>
          <w:spacing w:val="-1"/>
        </w:rPr>
        <w:t> </w:t>
      </w:r>
      <w:r>
        <w:rPr/>
        <w:t>class</w:t>
      </w:r>
      <w:r>
        <w:rPr>
          <w:spacing w:val="-1"/>
        </w:rPr>
        <w:t> </w:t>
      </w:r>
      <w:r>
        <w:rPr/>
        <w:t>or </w:t>
      </w:r>
      <w:bookmarkStart w:name="_bookmark1147" w:id="1149"/>
      <w:bookmarkEnd w:id="1149"/>
      <w:r>
        <w:rPr/>
        <w:t>as</w:t>
      </w:r>
      <w:r>
        <w:rPr/>
        <w:t> answering a particular description”</w:t>
      </w:r>
      <w:r>
        <w:rPr>
          <w:spacing w:val="-1"/>
        </w:rPr>
        <w:t> </w:t>
      </w:r>
      <w:r>
        <w:rPr>
          <w:color w:val="005DA1"/>
          <w:u w:val="single" w:color="005DA1"/>
          <w:vertAlign w:val="superscript"/>
        </w:rPr>
        <w:t>629</w:t>
      </w:r>
      <w:r>
        <w:rPr>
          <w:vertAlign w:val="baseline"/>
        </w:rPr>
        <w:t>; and it follows from this requirement that C could not rely, for the</w:t>
      </w:r>
      <w:r>
        <w:rPr>
          <w:spacing w:val="8"/>
          <w:vertAlign w:val="baseline"/>
        </w:rPr>
        <w:t> </w:t>
      </w:r>
      <w:r>
        <w:rPr>
          <w:vertAlign w:val="baseline"/>
        </w:rPr>
        <w:t>purpose</w:t>
      </w:r>
      <w:r>
        <w:rPr>
          <w:spacing w:val="9"/>
          <w:vertAlign w:val="baseline"/>
        </w:rPr>
        <w:t> </w:t>
      </w:r>
      <w:r>
        <w:rPr>
          <w:vertAlign w:val="baseline"/>
        </w:rPr>
        <w:t>of</w:t>
      </w:r>
      <w:r>
        <w:rPr>
          <w:spacing w:val="9"/>
          <w:vertAlign w:val="baseline"/>
        </w:rPr>
        <w:t> </w:t>
      </w:r>
      <w:r>
        <w:rPr>
          <w:vertAlign w:val="baseline"/>
        </w:rPr>
        <w:t>s.1(1),</w:t>
      </w:r>
      <w:r>
        <w:rPr>
          <w:spacing w:val="9"/>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argument</w:t>
      </w:r>
      <w:r>
        <w:rPr>
          <w:spacing w:val="9"/>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contract</w:t>
      </w:r>
      <w:r>
        <w:rPr>
          <w:spacing w:val="9"/>
          <w:vertAlign w:val="baseline"/>
        </w:rPr>
        <w:t> </w:t>
      </w:r>
      <w:r>
        <w:rPr>
          <w:vertAlign w:val="baseline"/>
        </w:rPr>
        <w:t>referred</w:t>
      </w:r>
      <w:r>
        <w:rPr>
          <w:spacing w:val="9"/>
          <w:vertAlign w:val="baseline"/>
        </w:rPr>
        <w:t> </w:t>
      </w:r>
      <w:r>
        <w:rPr>
          <w:vertAlign w:val="baseline"/>
        </w:rPr>
        <w:t>to</w:t>
      </w:r>
      <w:r>
        <w:rPr>
          <w:spacing w:val="9"/>
          <w:vertAlign w:val="baseline"/>
        </w:rPr>
        <w:t> </w:t>
      </w:r>
      <w:r>
        <w:rPr>
          <w:vertAlign w:val="baseline"/>
        </w:rPr>
        <w:t>him</w:t>
      </w:r>
      <w:r>
        <w:rPr>
          <w:spacing w:val="9"/>
          <w:vertAlign w:val="baseline"/>
        </w:rPr>
        <w:t> </w:t>
      </w:r>
      <w:r>
        <w:rPr>
          <w:vertAlign w:val="baseline"/>
        </w:rPr>
        <w:t>by</w:t>
      </w:r>
      <w:r>
        <w:rPr>
          <w:spacing w:val="9"/>
          <w:vertAlign w:val="baseline"/>
        </w:rPr>
        <w:t> </w:t>
      </w:r>
      <w:r>
        <w:rPr>
          <w:vertAlign w:val="baseline"/>
        </w:rPr>
        <w:t>implication,</w:t>
      </w:r>
      <w:r>
        <w:rPr>
          <w:spacing w:val="8"/>
          <w:vertAlign w:val="baseline"/>
        </w:rPr>
        <w:t> </w:t>
      </w:r>
      <w:r>
        <w:rPr>
          <w:color w:val="005DA1"/>
          <w:u w:val="single" w:color="005DA1"/>
          <w:vertAlign w:val="superscript"/>
        </w:rPr>
        <w:t>630</w:t>
      </w:r>
      <w:r>
        <w:rPr>
          <w:color w:val="005DA1"/>
          <w:spacing w:val="9"/>
          <w:vertAlign w:val="baseline"/>
        </w:rPr>
        <w:t> </w:t>
      </w:r>
      <w:r>
        <w:rPr>
          <w:vertAlign w:val="baseline"/>
        </w:rPr>
        <w:t>though</w:t>
      </w:r>
      <w:r>
        <w:rPr>
          <w:spacing w:val="9"/>
          <w:vertAlign w:val="baseline"/>
        </w:rPr>
        <w:t> </w:t>
      </w:r>
      <w:r>
        <w:rPr>
          <w:spacing w:val="-5"/>
          <w:vertAlign w:val="baseline"/>
        </w:rPr>
        <w:t>the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148" w:id="1150"/>
      <w:bookmarkEnd w:id="1150"/>
      <w:r>
        <w:rPr/>
      </w:r>
      <w:r>
        <w:rPr/>
        <w:t>question whether the third party is “expressly” identified may itself raise a question of construction. </w:t>
      </w:r>
      <w:r>
        <w:rPr/>
        <w:t>If, for example, the contracting parties had adopted a “private dictionary” </w:t>
      </w:r>
      <w:r>
        <w:rPr>
          <w:color w:val="005DA1"/>
          <w:u w:val="single" w:color="005DA1"/>
          <w:vertAlign w:val="superscript"/>
        </w:rPr>
        <w:t>631</w:t>
      </w:r>
      <w:r>
        <w:rPr>
          <w:color w:val="005DA1"/>
          <w:vertAlign w:val="baseline"/>
        </w:rPr>
        <w:t> </w:t>
      </w:r>
      <w:r>
        <w:rPr>
          <w:vertAlign w:val="baseline"/>
        </w:rPr>
        <w:t>by which all references in their contract to “Jack” were to mean “Jack and Jill” then a term conferring a benefit on “Jack” would (at least probably) amount to an “express” identification of Jill, no less than of Jack. In the absence of such special circumstances, the question whether the naming of one person as a party can also be </w:t>
      </w:r>
      <w:bookmarkStart w:name="_bookmark1149" w:id="1151"/>
      <w:bookmarkEnd w:id="1151"/>
      <w:r>
        <w:rPr>
          <w:vertAlign w:val="baseline"/>
        </w:rPr>
        <w:t>construed</w:t>
      </w:r>
      <w:r>
        <w:rPr>
          <w:spacing w:val="-1"/>
          <w:vertAlign w:val="baseline"/>
        </w:rPr>
        <w:t> </w:t>
      </w:r>
      <w:r>
        <w:rPr>
          <w:vertAlign w:val="baseline"/>
        </w:rPr>
        <w:t>as</w:t>
      </w:r>
      <w:r>
        <w:rPr>
          <w:spacing w:val="-1"/>
          <w:vertAlign w:val="baseline"/>
        </w:rPr>
        <w:t> </w:t>
      </w:r>
      <w:r>
        <w:rPr>
          <w:vertAlign w:val="baseline"/>
        </w:rPr>
        <w:t>an</w:t>
      </w:r>
      <w:r>
        <w:rPr>
          <w:spacing w:val="-1"/>
          <w:vertAlign w:val="baseline"/>
        </w:rPr>
        <w:t> </w:t>
      </w:r>
      <w:r>
        <w:rPr>
          <w:vertAlign w:val="baseline"/>
        </w:rPr>
        <w:t>“express”</w:t>
      </w:r>
      <w:r>
        <w:rPr>
          <w:spacing w:val="-1"/>
          <w:vertAlign w:val="baseline"/>
        </w:rPr>
        <w:t> </w:t>
      </w:r>
      <w:r>
        <w:rPr>
          <w:vertAlign w:val="baseline"/>
        </w:rPr>
        <w:t>reference</w:t>
      </w:r>
      <w:r>
        <w:rPr>
          <w:spacing w:val="-1"/>
          <w:vertAlign w:val="baseline"/>
        </w:rPr>
        <w:t> </w:t>
      </w:r>
      <w:r>
        <w:rPr>
          <w:vertAlign w:val="baseline"/>
        </w:rPr>
        <w:t>to</w:t>
      </w:r>
      <w:r>
        <w:rPr>
          <w:spacing w:val="-1"/>
          <w:vertAlign w:val="baseline"/>
        </w:rPr>
        <w:t> </w:t>
      </w:r>
      <w:r>
        <w:rPr>
          <w:vertAlign w:val="baseline"/>
        </w:rPr>
        <w:t>another</w:t>
      </w:r>
      <w:r>
        <w:rPr>
          <w:spacing w:val="-1"/>
          <w:vertAlign w:val="baseline"/>
        </w:rPr>
        <w:t> </w:t>
      </w:r>
      <w:r>
        <w:rPr>
          <w:vertAlign w:val="baseline"/>
        </w:rPr>
        <w:t>person</w:t>
      </w:r>
      <w:r>
        <w:rPr>
          <w:spacing w:val="-1"/>
          <w:vertAlign w:val="baseline"/>
        </w:rPr>
        <w:t> </w:t>
      </w:r>
      <w:r>
        <w:rPr>
          <w:vertAlign w:val="baseline"/>
        </w:rPr>
        <w:t>or</w:t>
      </w:r>
      <w:r>
        <w:rPr>
          <w:spacing w:val="-1"/>
          <w:vertAlign w:val="baseline"/>
        </w:rPr>
        <w:t> </w:t>
      </w:r>
      <w:r>
        <w:rPr>
          <w:vertAlign w:val="baseline"/>
        </w:rPr>
        <w:t>persons</w:t>
      </w:r>
      <w:r>
        <w:rPr>
          <w:spacing w:val="-1"/>
          <w:vertAlign w:val="baseline"/>
        </w:rPr>
        <w:t> </w:t>
      </w:r>
      <w:r>
        <w:rPr>
          <w:vertAlign w:val="baseline"/>
        </w:rPr>
        <w:t>can</w:t>
      </w:r>
      <w:r>
        <w:rPr>
          <w:spacing w:val="-1"/>
          <w:vertAlign w:val="baseline"/>
        </w:rPr>
        <w:t> </w:t>
      </w:r>
      <w:r>
        <w:rPr>
          <w:vertAlign w:val="baseline"/>
        </w:rPr>
        <w:t>give</w:t>
      </w:r>
      <w:r>
        <w:rPr>
          <w:spacing w:val="-1"/>
          <w:vertAlign w:val="baseline"/>
        </w:rPr>
        <w:t> </w:t>
      </w:r>
      <w:r>
        <w:rPr>
          <w:vertAlign w:val="baseline"/>
        </w:rPr>
        <w:t>rise</w:t>
      </w:r>
      <w:r>
        <w:rPr>
          <w:spacing w:val="-1"/>
          <w:vertAlign w:val="baseline"/>
        </w:rPr>
        <w:t> </w:t>
      </w:r>
      <w:r>
        <w:rPr>
          <w:vertAlign w:val="baseline"/>
        </w:rPr>
        <w:t>to</w:t>
      </w:r>
      <w:r>
        <w:rPr>
          <w:spacing w:val="-1"/>
          <w:vertAlign w:val="baseline"/>
        </w:rPr>
        <w:t> </w:t>
      </w:r>
      <w:r>
        <w:rPr>
          <w:vertAlign w:val="baseline"/>
        </w:rPr>
        <w:t>more</w:t>
      </w:r>
      <w:r>
        <w:rPr>
          <w:spacing w:val="-1"/>
          <w:vertAlign w:val="baseline"/>
        </w:rPr>
        <w:t> </w:t>
      </w:r>
      <w:r>
        <w:rPr>
          <w:vertAlign w:val="baseline"/>
        </w:rPr>
        <w:t>difficulty.</w:t>
      </w:r>
      <w:r>
        <w:rPr>
          <w:spacing w:val="-1"/>
          <w:vertAlign w:val="baseline"/>
        </w:rPr>
        <w:t> </w:t>
      </w:r>
      <w:r>
        <w:rPr>
          <w:vertAlign w:val="baseline"/>
        </w:rPr>
        <w:t>The point is illustrated by </w:t>
      </w:r>
      <w:r>
        <w:rPr>
          <w:rFonts w:ascii="Arial" w:hAnsi="Arial"/>
          <w:i/>
          <w:vertAlign w:val="baseline"/>
        </w:rPr>
        <w:t>The Alexandros T</w:t>
      </w:r>
      <w:r>
        <w:rPr>
          <w:vertAlign w:val="baseline"/>
        </w:rPr>
        <w:t>, </w:t>
      </w:r>
      <w:r>
        <w:rPr>
          <w:color w:val="005DA1"/>
          <w:u w:val="single" w:color="005DA1"/>
          <w:vertAlign w:val="superscript"/>
        </w:rPr>
        <w:t>632</w:t>
      </w:r>
      <w:r>
        <w:rPr>
          <w:color w:val="005DA1"/>
          <w:vertAlign w:val="baseline"/>
        </w:rPr>
        <w:t> </w:t>
      </w:r>
      <w:r>
        <w:rPr>
          <w:vertAlign w:val="baseline"/>
        </w:rPr>
        <w:t>where an agreement between named insurers (A) and the </w:t>
      </w:r>
      <w:bookmarkStart w:name="_bookmark1150" w:id="1152"/>
      <w:bookmarkEnd w:id="1152"/>
      <w:r>
        <w:rPr>
          <w:vertAlign w:val="baseline"/>
        </w:rPr>
        <w:t>owners</w:t>
      </w:r>
      <w:r>
        <w:rPr>
          <w:spacing w:val="43"/>
          <w:vertAlign w:val="baseline"/>
        </w:rPr>
        <w:t> </w:t>
      </w:r>
      <w:r>
        <w:rPr>
          <w:vertAlign w:val="baseline"/>
        </w:rPr>
        <w:t>of</w:t>
      </w:r>
      <w:r>
        <w:rPr>
          <w:spacing w:val="43"/>
          <w:vertAlign w:val="baseline"/>
        </w:rPr>
        <w:t> </w:t>
      </w:r>
      <w:r>
        <w:rPr>
          <w:vertAlign w:val="baseline"/>
        </w:rPr>
        <w:t>a</w:t>
      </w:r>
      <w:r>
        <w:rPr>
          <w:spacing w:val="43"/>
          <w:vertAlign w:val="baseline"/>
        </w:rPr>
        <w:t> </w:t>
      </w:r>
      <w:r>
        <w:rPr>
          <w:vertAlign w:val="baseline"/>
        </w:rPr>
        <w:t>ship</w:t>
      </w:r>
      <w:r>
        <w:rPr>
          <w:spacing w:val="43"/>
          <w:vertAlign w:val="baseline"/>
        </w:rPr>
        <w:t> </w:t>
      </w:r>
      <w:r>
        <w:rPr>
          <w:vertAlign w:val="baseline"/>
        </w:rPr>
        <w:t>which</w:t>
      </w:r>
      <w:r>
        <w:rPr>
          <w:spacing w:val="43"/>
          <w:vertAlign w:val="baseline"/>
        </w:rPr>
        <w:t> </w:t>
      </w:r>
      <w:r>
        <w:rPr>
          <w:vertAlign w:val="baseline"/>
        </w:rPr>
        <w:t>had</w:t>
      </w:r>
      <w:r>
        <w:rPr>
          <w:spacing w:val="43"/>
          <w:vertAlign w:val="baseline"/>
        </w:rPr>
        <w:t> </w:t>
      </w:r>
      <w:r>
        <w:rPr>
          <w:vertAlign w:val="baseline"/>
        </w:rPr>
        <w:t>sunk</w:t>
      </w:r>
      <w:r>
        <w:rPr>
          <w:spacing w:val="43"/>
          <w:vertAlign w:val="baseline"/>
        </w:rPr>
        <w:t> </w:t>
      </w:r>
      <w:r>
        <w:rPr>
          <w:vertAlign w:val="baseline"/>
        </w:rPr>
        <w:t>(B)</w:t>
      </w:r>
      <w:r>
        <w:rPr>
          <w:spacing w:val="43"/>
          <w:vertAlign w:val="baseline"/>
        </w:rPr>
        <w:t> </w:t>
      </w:r>
      <w:r>
        <w:rPr>
          <w:vertAlign w:val="baseline"/>
        </w:rPr>
        <w:t>provided</w:t>
      </w:r>
      <w:r>
        <w:rPr>
          <w:spacing w:val="43"/>
          <w:vertAlign w:val="baseline"/>
        </w:rPr>
        <w:t> </w:t>
      </w:r>
      <w:r>
        <w:rPr>
          <w:vertAlign w:val="baseline"/>
        </w:rPr>
        <w:t>for</w:t>
      </w:r>
      <w:r>
        <w:rPr>
          <w:spacing w:val="43"/>
          <w:vertAlign w:val="baseline"/>
        </w:rPr>
        <w:t> </w:t>
      </w:r>
      <w:r>
        <w:rPr>
          <w:vertAlign w:val="baseline"/>
        </w:rPr>
        <w:t>the</w:t>
      </w:r>
      <w:r>
        <w:rPr>
          <w:spacing w:val="43"/>
          <w:vertAlign w:val="baseline"/>
        </w:rPr>
        <w:t> </w:t>
      </w:r>
      <w:r>
        <w:rPr>
          <w:vertAlign w:val="baseline"/>
        </w:rPr>
        <w:t>settlement</w:t>
      </w:r>
      <w:r>
        <w:rPr>
          <w:spacing w:val="43"/>
          <w:vertAlign w:val="baseline"/>
        </w:rPr>
        <w:t> </w:t>
      </w:r>
      <w:r>
        <w:rPr>
          <w:vertAlign w:val="baseline"/>
        </w:rPr>
        <w:t>of</w:t>
      </w:r>
      <w:r>
        <w:rPr>
          <w:spacing w:val="43"/>
          <w:vertAlign w:val="baseline"/>
        </w:rPr>
        <w:t> </w:t>
      </w:r>
      <w:r>
        <w:rPr>
          <w:vertAlign w:val="baseline"/>
        </w:rPr>
        <w:t>all</w:t>
      </w:r>
      <w:r>
        <w:rPr>
          <w:spacing w:val="43"/>
          <w:vertAlign w:val="baseline"/>
        </w:rPr>
        <w:t> </w:t>
      </w:r>
      <w:r>
        <w:rPr>
          <w:vertAlign w:val="baseline"/>
        </w:rPr>
        <w:t>claims</w:t>
      </w:r>
      <w:r>
        <w:rPr>
          <w:spacing w:val="43"/>
          <w:vertAlign w:val="baseline"/>
        </w:rPr>
        <w:t> </w:t>
      </w:r>
      <w:r>
        <w:rPr>
          <w:vertAlign w:val="baseline"/>
        </w:rPr>
        <w:t>by</w:t>
      </w:r>
      <w:r>
        <w:rPr>
          <w:spacing w:val="43"/>
          <w:vertAlign w:val="baseline"/>
        </w:rPr>
        <w:t> </w:t>
      </w:r>
      <w:r>
        <w:rPr>
          <w:vertAlign w:val="baseline"/>
        </w:rPr>
        <w:t>B</w:t>
      </w:r>
      <w:r>
        <w:rPr>
          <w:spacing w:val="43"/>
          <w:vertAlign w:val="baseline"/>
        </w:rPr>
        <w:t> </w:t>
      </w:r>
      <w:r>
        <w:rPr>
          <w:vertAlign w:val="baseline"/>
        </w:rPr>
        <w:t>against</w:t>
      </w:r>
      <w:r>
        <w:rPr>
          <w:spacing w:val="43"/>
          <w:vertAlign w:val="baseline"/>
        </w:rPr>
        <w:t> </w:t>
      </w:r>
      <w:r>
        <w:rPr>
          <w:spacing w:val="-5"/>
          <w:vertAlign w:val="baseline"/>
        </w:rPr>
        <w:t>the</w:t>
      </w:r>
    </w:p>
    <w:p>
      <w:pPr>
        <w:pStyle w:val="BodyText"/>
        <w:spacing w:line="235" w:lineRule="auto" w:before="117"/>
        <w:ind w:left="164" w:right="167"/>
      </w:pPr>
      <w:r>
        <w:rPr/>
        <w:t>“Underwriters”. </w:t>
      </w:r>
      <w:r>
        <w:rPr>
          <w:color w:val="005DA1"/>
          <w:u w:val="single" w:color="005DA1"/>
          <w:vertAlign w:val="superscript"/>
        </w:rPr>
        <w:t>633</w:t>
      </w:r>
      <w:r>
        <w:rPr>
          <w:color w:val="005DA1"/>
          <w:vertAlign w:val="baseline"/>
        </w:rPr>
        <w:t> </w:t>
      </w:r>
      <w:r>
        <w:rPr>
          <w:vertAlign w:val="baseline"/>
        </w:rPr>
        <w:t>This word was “construed an encompassing the servants or agents of insurers” </w:t>
      </w:r>
      <w:r>
        <w:rPr>
          <w:color w:val="005DA1"/>
          <w:u w:val="single" w:color="005DA1"/>
          <w:vertAlign w:val="superscript"/>
        </w:rPr>
        <w:t>634</w:t>
      </w:r>
      <w:r>
        <w:rPr>
          <w:color w:val="005DA1"/>
          <w:vertAlign w:val="baseline"/>
        </w:rPr>
        <w:t> </w:t>
      </w:r>
      <w:r>
        <w:rPr>
          <w:color w:val="005DA1"/>
          <w:position w:val="-2"/>
          <w:vertAlign w:val="baseline"/>
        </w:rPr>
        <w:drawing>
          <wp:inline distT="0" distB="0" distL="0" distR="0">
            <wp:extent cx="107988" cy="107988"/>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bookmarkStart w:name="_bookmark1151" w:id="1153"/>
      <w:bookmarkEnd w:id="1153"/>
      <w:r>
        <w:rPr>
          <w:rFonts w:ascii="Times New Roman" w:hAnsi="Times New Roman"/>
          <w:color w:val="005DA1"/>
          <w:spacing w:val="19"/>
          <w:w w:val="92"/>
          <w:vertAlign w:val="baseline"/>
        </w:rPr>
      </w:r>
      <w:r>
        <w:rPr>
          <w:vertAlign w:val="baseline"/>
        </w:rPr>
        <w:t>so as to satisfy, with regard to these persons, the requirements of s.1(1)(b) and s.1(2) of the 1999 Act.</w:t>
      </w:r>
      <w:r>
        <w:rPr>
          <w:spacing w:val="31"/>
          <w:vertAlign w:val="baseline"/>
        </w:rPr>
        <w:t> </w:t>
      </w:r>
      <w:r>
        <w:rPr>
          <w:color w:val="005DA1"/>
          <w:u w:val="single" w:color="005DA1"/>
          <w:vertAlign w:val="superscript"/>
        </w:rPr>
        <w:t>635</w:t>
      </w:r>
      <w:r>
        <w:rPr>
          <w:color w:val="005DA1"/>
          <w:spacing w:val="31"/>
          <w:vertAlign w:val="baseline"/>
        </w:rPr>
        <w:t> </w:t>
      </w:r>
      <w:r>
        <w:rPr>
          <w:vertAlign w:val="baseline"/>
        </w:rPr>
        <w:t>It</w:t>
      </w:r>
      <w:r>
        <w:rPr>
          <w:spacing w:val="31"/>
          <w:vertAlign w:val="baseline"/>
        </w:rPr>
        <w:t> </w:t>
      </w:r>
      <w:r>
        <w:rPr>
          <w:vertAlign w:val="baseline"/>
        </w:rPr>
        <w:t>was</w:t>
      </w:r>
      <w:r>
        <w:rPr>
          <w:spacing w:val="31"/>
          <w:vertAlign w:val="baseline"/>
        </w:rPr>
        <w:t> </w:t>
      </w:r>
      <w:r>
        <w:rPr>
          <w:vertAlign w:val="baseline"/>
        </w:rPr>
        <w:t>further</w:t>
      </w:r>
      <w:r>
        <w:rPr>
          <w:spacing w:val="31"/>
          <w:vertAlign w:val="baseline"/>
        </w:rPr>
        <w:t> </w:t>
      </w:r>
      <w:r>
        <w:rPr>
          <w:vertAlign w:val="baseline"/>
        </w:rPr>
        <w:t>held</w:t>
      </w:r>
      <w:r>
        <w:rPr>
          <w:spacing w:val="31"/>
          <w:vertAlign w:val="baseline"/>
        </w:rPr>
        <w:t> </w:t>
      </w:r>
      <w:r>
        <w:rPr>
          <w:vertAlign w:val="baseline"/>
        </w:rPr>
        <w:t>(though</w:t>
      </w:r>
      <w:r>
        <w:rPr>
          <w:spacing w:val="31"/>
          <w:vertAlign w:val="baseline"/>
        </w:rPr>
        <w:t> </w:t>
      </w:r>
      <w:r>
        <w:rPr>
          <w:vertAlign w:val="baseline"/>
        </w:rPr>
        <w:t>with</w:t>
      </w:r>
      <w:r>
        <w:rPr>
          <w:spacing w:val="31"/>
          <w:vertAlign w:val="baseline"/>
        </w:rPr>
        <w:t> </w:t>
      </w:r>
      <w:r>
        <w:rPr>
          <w:vertAlign w:val="baseline"/>
        </w:rPr>
        <w:t>some</w:t>
      </w:r>
      <w:r>
        <w:rPr>
          <w:spacing w:val="31"/>
          <w:vertAlign w:val="baseline"/>
        </w:rPr>
        <w:t> </w:t>
      </w:r>
      <w:r>
        <w:rPr>
          <w:vertAlign w:val="baseline"/>
        </w:rPr>
        <w:t>hesitation</w:t>
      </w:r>
      <w:r>
        <w:rPr>
          <w:spacing w:val="31"/>
          <w:vertAlign w:val="baseline"/>
        </w:rPr>
        <w:t> </w:t>
      </w:r>
      <w:r>
        <w:rPr>
          <w:color w:val="005DA1"/>
          <w:u w:val="single" w:color="005DA1"/>
          <w:vertAlign w:val="superscript"/>
        </w:rPr>
        <w:t>636</w:t>
      </w:r>
      <w:r>
        <w:rPr>
          <w:vertAlign w:val="baseline"/>
        </w:rPr>
        <w:t>)</w:t>
      </w:r>
      <w:r>
        <w:rPr>
          <w:spacing w:val="31"/>
          <w:vertAlign w:val="baseline"/>
        </w:rPr>
        <w:t> </w:t>
      </w:r>
      <w:r>
        <w:rPr>
          <w:vertAlign w:val="baseline"/>
        </w:rPr>
        <w:t>that</w:t>
      </w:r>
      <w:r>
        <w:rPr>
          <w:spacing w:val="31"/>
          <w:vertAlign w:val="baseline"/>
        </w:rPr>
        <w:t> </w:t>
      </w:r>
      <w:r>
        <w:rPr>
          <w:vertAlign w:val="baseline"/>
        </w:rPr>
        <w:t>the</w:t>
      </w:r>
      <w:r>
        <w:rPr>
          <w:spacing w:val="31"/>
          <w:vertAlign w:val="baseline"/>
        </w:rPr>
        <w:t> </w:t>
      </w:r>
      <w:r>
        <w:rPr>
          <w:vertAlign w:val="baseline"/>
        </w:rPr>
        <w:t>servants</w:t>
      </w:r>
      <w:r>
        <w:rPr>
          <w:spacing w:val="31"/>
          <w:vertAlign w:val="baseline"/>
        </w:rPr>
        <w:t> </w:t>
      </w:r>
      <w:r>
        <w:rPr>
          <w:vertAlign w:val="baseline"/>
        </w:rPr>
        <w:t>or</w:t>
      </w:r>
      <w:r>
        <w:rPr>
          <w:spacing w:val="31"/>
          <w:vertAlign w:val="baseline"/>
        </w:rPr>
        <w:t> </w:t>
      </w:r>
      <w:r>
        <w:rPr>
          <w:vertAlign w:val="baseline"/>
        </w:rPr>
        <w:t>agents</w:t>
      </w:r>
      <w:r>
        <w:rPr>
          <w:spacing w:val="31"/>
          <w:vertAlign w:val="baseline"/>
        </w:rPr>
        <w:t> </w:t>
      </w:r>
      <w:r>
        <w:rPr>
          <w:vertAlign w:val="baseline"/>
        </w:rPr>
        <w:t>(C)</w:t>
      </w:r>
      <w:r>
        <w:rPr>
          <w:spacing w:val="31"/>
          <w:vertAlign w:val="baseline"/>
        </w:rPr>
        <w:t> </w:t>
      </w:r>
      <w:r>
        <w:rPr>
          <w:vertAlign w:val="baseline"/>
        </w:rPr>
        <w:t>were </w:t>
      </w:r>
      <w:bookmarkStart w:name="_bookmark1152" w:id="1154"/>
      <w:bookmarkEnd w:id="1154"/>
      <w:r>
        <w:rPr>
          <w:vertAlign w:val="baseline"/>
        </w:rPr>
        <w:t>“expressly”</w:t>
      </w:r>
      <w:r>
        <w:rPr>
          <w:vertAlign w:val="baseline"/>
        </w:rPr>
        <w:t> identified within s.1(3) as “a class of third party intended to have a benefit conferred upon </w:t>
      </w:r>
      <w:bookmarkStart w:name="_bookmark1153" w:id="1155"/>
      <w:bookmarkEnd w:id="1155"/>
      <w:r>
        <w:rPr>
          <w:vertAlign w:val="baseline"/>
        </w:rPr>
        <w:t>them</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settlement</w:t>
      </w:r>
      <w:r>
        <w:rPr>
          <w:spacing w:val="-3"/>
          <w:vertAlign w:val="baseline"/>
        </w:rPr>
        <w:t> </w:t>
      </w:r>
      <w:r>
        <w:rPr>
          <w:vertAlign w:val="baseline"/>
        </w:rPr>
        <w:t>agreements,”</w:t>
      </w:r>
      <w:r>
        <w:rPr>
          <w:spacing w:val="-3"/>
          <w:vertAlign w:val="baseline"/>
        </w:rPr>
        <w:t> </w:t>
      </w:r>
      <w:r>
        <w:rPr>
          <w:color w:val="005DA1"/>
          <w:u w:val="single" w:color="005DA1"/>
          <w:vertAlign w:val="superscript"/>
        </w:rPr>
        <w:t>637</w:t>
      </w:r>
      <w:r>
        <w:rPr>
          <w:color w:val="005DA1"/>
          <w:spacing w:val="-3"/>
          <w:vertAlign w:val="baseline"/>
        </w:rPr>
        <w:t> </w:t>
      </w:r>
      <w:r>
        <w:rPr>
          <w:vertAlign w:val="baseline"/>
        </w:rPr>
        <w:t>so</w:t>
      </w:r>
      <w:r>
        <w:rPr>
          <w:spacing w:val="-3"/>
          <w:vertAlign w:val="baseline"/>
        </w:rPr>
        <w:t> </w:t>
      </w:r>
      <w:r>
        <w:rPr>
          <w:vertAlign w:val="baseline"/>
        </w:rPr>
        <w:t>that</w:t>
      </w:r>
      <w:r>
        <w:rPr>
          <w:spacing w:val="-3"/>
          <w:vertAlign w:val="baseline"/>
        </w:rPr>
        <w:t> </w:t>
      </w:r>
      <w:r>
        <w:rPr>
          <w:vertAlign w:val="baseline"/>
        </w:rPr>
        <w:t>they</w:t>
      </w:r>
      <w:r>
        <w:rPr>
          <w:spacing w:val="-3"/>
          <w:vertAlign w:val="baseline"/>
        </w:rPr>
        <w:t> </w:t>
      </w:r>
      <w:r>
        <w:rPr>
          <w:vertAlign w:val="baseline"/>
        </w:rPr>
        <w:t>were,</w:t>
      </w:r>
      <w:r>
        <w:rPr>
          <w:spacing w:val="-3"/>
          <w:vertAlign w:val="baseline"/>
        </w:rPr>
        <w:t> </w:t>
      </w:r>
      <w:r>
        <w:rPr>
          <w:vertAlign w:val="baseline"/>
        </w:rPr>
        <w:t>by</w:t>
      </w:r>
      <w:r>
        <w:rPr>
          <w:spacing w:val="-3"/>
          <w:vertAlign w:val="baseline"/>
        </w:rPr>
        <w:t> </w:t>
      </w:r>
      <w:r>
        <w:rPr>
          <w:vertAlign w:val="baseline"/>
        </w:rPr>
        <w:t>virtue</w:t>
      </w:r>
      <w:r>
        <w:rPr>
          <w:spacing w:val="-3"/>
          <w:vertAlign w:val="baseline"/>
        </w:rPr>
        <w:t> </w:t>
      </w:r>
      <w:r>
        <w:rPr>
          <w:vertAlign w:val="baseline"/>
        </w:rPr>
        <w:t>of</w:t>
      </w:r>
      <w:r>
        <w:rPr>
          <w:spacing w:val="-3"/>
          <w:vertAlign w:val="baseline"/>
        </w:rPr>
        <w:t> </w:t>
      </w:r>
      <w:r>
        <w:rPr>
          <w:vertAlign w:val="baseline"/>
        </w:rPr>
        <w:t>s.1(1),</w:t>
      </w:r>
      <w:r>
        <w:rPr>
          <w:spacing w:val="-3"/>
          <w:vertAlign w:val="baseline"/>
        </w:rPr>
        <w:t> </w:t>
      </w:r>
      <w:r>
        <w:rPr>
          <w:vertAlign w:val="baseline"/>
        </w:rPr>
        <w:t>entitled</w:t>
      </w:r>
      <w:r>
        <w:rPr>
          <w:spacing w:val="-3"/>
          <w:vertAlign w:val="baseline"/>
        </w:rPr>
        <w:t> </w:t>
      </w:r>
      <w:r>
        <w:rPr>
          <w:vertAlign w:val="baseline"/>
        </w:rPr>
        <w:t>to</w:t>
      </w:r>
      <w:r>
        <w:rPr>
          <w:spacing w:val="-3"/>
          <w:vertAlign w:val="baseline"/>
        </w:rPr>
        <w:t> </w:t>
      </w:r>
      <w:r>
        <w:rPr>
          <w:vertAlign w:val="baseline"/>
        </w:rPr>
        <w:t>enforce</w:t>
      </w:r>
      <w:r>
        <w:rPr>
          <w:spacing w:val="-3"/>
          <w:vertAlign w:val="baseline"/>
        </w:rPr>
        <w:t> </w:t>
      </w:r>
      <w:r>
        <w:rPr>
          <w:vertAlign w:val="baseline"/>
        </w:rPr>
        <w:t>terms of the agreement </w:t>
      </w:r>
      <w:r>
        <w:rPr>
          <w:color w:val="005DA1"/>
          <w:u w:val="single" w:color="005DA1"/>
          <w:vertAlign w:val="superscript"/>
        </w:rPr>
        <w:t>638</w:t>
      </w:r>
      <w:r>
        <w:rPr>
          <w:color w:val="005DA1"/>
          <w:vertAlign w:val="baseline"/>
        </w:rPr>
        <w:t> </w:t>
      </w:r>
      <w:r>
        <w:rPr>
          <w:vertAlign w:val="baseline"/>
        </w:rPr>
        <w:t>between A and B by which claims against the “underwriters” had been “fully and </w:t>
      </w:r>
      <w:bookmarkStart w:name="_bookmark1154" w:id="1156"/>
      <w:bookmarkEnd w:id="1156"/>
      <w:r>
        <w:rPr>
          <w:vertAlign w:val="baseline"/>
        </w:rPr>
        <w:t>finally</w:t>
      </w:r>
      <w:r>
        <w:rPr>
          <w:spacing w:val="35"/>
          <w:vertAlign w:val="baseline"/>
        </w:rPr>
        <w:t> </w:t>
      </w:r>
      <w:r>
        <w:rPr>
          <w:vertAlign w:val="baseline"/>
        </w:rPr>
        <w:t>settled.”</w:t>
      </w:r>
      <w:r>
        <w:rPr>
          <w:spacing w:val="35"/>
          <w:vertAlign w:val="baseline"/>
        </w:rPr>
        <w:t> </w:t>
      </w:r>
      <w:r>
        <w:rPr>
          <w:vertAlign w:val="baseline"/>
        </w:rPr>
        <w:t>A</w:t>
      </w:r>
      <w:r>
        <w:rPr>
          <w:spacing w:val="35"/>
          <w:vertAlign w:val="baseline"/>
        </w:rPr>
        <w:t> </w:t>
      </w:r>
      <w:r>
        <w:rPr>
          <w:vertAlign w:val="baseline"/>
        </w:rPr>
        <w:t>similar</w:t>
      </w:r>
      <w:r>
        <w:rPr>
          <w:spacing w:val="35"/>
          <w:vertAlign w:val="baseline"/>
        </w:rPr>
        <w:t> </w:t>
      </w:r>
      <w:r>
        <w:rPr>
          <w:vertAlign w:val="baseline"/>
        </w:rPr>
        <w:t>problem</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identification</w:t>
      </w:r>
      <w:r>
        <w:rPr>
          <w:spacing w:val="35"/>
          <w:vertAlign w:val="baseline"/>
        </w:rPr>
        <w:t> </w:t>
      </w:r>
      <w:r>
        <w:rPr>
          <w:vertAlign w:val="baseline"/>
        </w:rPr>
        <w:t>of</w:t>
      </w:r>
      <w:r>
        <w:rPr>
          <w:spacing w:val="35"/>
          <w:vertAlign w:val="baseline"/>
        </w:rPr>
        <w:t> </w:t>
      </w:r>
      <w:r>
        <w:rPr>
          <w:vertAlign w:val="baseline"/>
        </w:rPr>
        <w:t>third</w:t>
      </w:r>
      <w:r>
        <w:rPr>
          <w:spacing w:val="35"/>
          <w:vertAlign w:val="baseline"/>
        </w:rPr>
        <w:t> </w:t>
      </w:r>
      <w:r>
        <w:rPr>
          <w:vertAlign w:val="baseline"/>
        </w:rPr>
        <w:t>party</w:t>
      </w:r>
      <w:r>
        <w:rPr>
          <w:spacing w:val="35"/>
          <w:vertAlign w:val="baseline"/>
        </w:rPr>
        <w:t> </w:t>
      </w:r>
      <w:r>
        <w:rPr>
          <w:vertAlign w:val="baseline"/>
        </w:rPr>
        <w:t>beneficiaries</w:t>
      </w:r>
      <w:r>
        <w:rPr>
          <w:spacing w:val="35"/>
          <w:vertAlign w:val="baseline"/>
        </w:rPr>
        <w:t> </w:t>
      </w:r>
      <w:r>
        <w:rPr>
          <w:vertAlign w:val="baseline"/>
        </w:rPr>
        <w:t>had</w:t>
      </w:r>
      <w:r>
        <w:rPr>
          <w:spacing w:val="35"/>
          <w:vertAlign w:val="baseline"/>
        </w:rPr>
        <w:t> </w:t>
      </w:r>
      <w:r>
        <w:rPr>
          <w:vertAlign w:val="baseline"/>
        </w:rPr>
        <w:t>arisen</w:t>
      </w:r>
      <w:r>
        <w:rPr>
          <w:spacing w:val="35"/>
          <w:vertAlign w:val="baseline"/>
        </w:rPr>
        <w:t> </w:t>
      </w:r>
      <w:r>
        <w:rPr>
          <w:vertAlign w:val="baseline"/>
        </w:rPr>
        <w:t>in</w:t>
      </w:r>
      <w:r>
        <w:rPr>
          <w:spacing w:val="35"/>
          <w:vertAlign w:val="baseline"/>
        </w:rPr>
        <w:t> </w:t>
      </w:r>
      <w:r>
        <w:rPr>
          <w:spacing w:val="-5"/>
          <w:vertAlign w:val="baseline"/>
        </w:rPr>
        <w:t>the</w:t>
      </w:r>
    </w:p>
    <w:p>
      <w:pPr>
        <w:pStyle w:val="BodyText"/>
        <w:spacing w:line="235" w:lineRule="auto" w:before="117"/>
        <w:ind w:left="164" w:right="167"/>
        <w:jc w:val="both"/>
      </w:pPr>
      <w:r>
        <w:rPr/>
        <w:t>Canadian case of </w:t>
      </w:r>
      <w:r>
        <w:rPr>
          <w:rFonts w:ascii="Arial" w:hAnsi="Arial"/>
          <w:i/>
        </w:rPr>
        <w:t>London Drugs Ltd v Kuehne &amp; Nagel International Ltd </w:t>
      </w:r>
      <w:r>
        <w:rPr>
          <w:color w:val="005DA1"/>
          <w:u w:val="single" w:color="005DA1"/>
          <w:vertAlign w:val="superscript"/>
        </w:rPr>
        <w:t>639</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31"/>
          <w:vertAlign w:val="baseline"/>
        </w:rPr>
        <w:t> </w:t>
      </w:r>
      <w:r>
        <w:rPr>
          <w:vertAlign w:val="baseline"/>
        </w:rPr>
        <w:t>where the </w:t>
      </w:r>
      <w:r>
        <w:rPr>
          <w:vertAlign w:val="baseline"/>
        </w:rPr>
        <w:t>claimants had delivered valuable machinery to a warehousing company under a contract which limited the liability of “the warehouseman” to $40 per package. A majority of the Supreme Court of Canada held </w:t>
      </w:r>
      <w:bookmarkStart w:name="_bookmark1155" w:id="1157"/>
      <w:bookmarkEnd w:id="1157"/>
      <w:r>
        <w:rPr>
          <w:vertAlign w:val="baseline"/>
        </w:rPr>
        <w:t>that</w:t>
      </w:r>
      <w:r>
        <w:rPr>
          <w:vertAlign w:val="baseline"/>
        </w:rPr>
        <w:t> the employees of the warehousing contractor were protected by this limitation of liability as “third party beneficiaries” </w:t>
      </w:r>
      <w:r>
        <w:rPr>
          <w:color w:val="005DA1"/>
          <w:u w:val="single" w:color="005DA1"/>
          <w:vertAlign w:val="superscript"/>
        </w:rPr>
        <w:t>640</w:t>
      </w:r>
      <w:r>
        <w:rPr>
          <w:color w:val="005DA1"/>
          <w:vertAlign w:val="baseline"/>
        </w:rPr>
        <w:t> </w:t>
      </w:r>
      <w:r>
        <w:rPr>
          <w:vertAlign w:val="baseline"/>
        </w:rPr>
        <w:t>under a new (though restricted) exception to the doctrine of privity. </w:t>
      </w:r>
      <w:r>
        <w:rPr>
          <w:color w:val="005DA1"/>
          <w:u w:val="single" w:color="005DA1"/>
          <w:vertAlign w:val="superscript"/>
        </w:rPr>
        <w:t>641</w:t>
      </w:r>
      <w:r>
        <w:rPr>
          <w:color w:val="005DA1"/>
          <w:vertAlign w:val="baseline"/>
        </w:rPr>
        <w:t> </w:t>
      </w:r>
      <w:r>
        <w:rPr>
          <w:vertAlign w:val="baseline"/>
        </w:rPr>
        <w:t>The question whether such an exception would be recognised in England remains, at the level of the Supreme Court, an open one; but the point of interest here is how the majority in the Supreme Court of Canada identified the employees as third party beneficiaries who were entitled to the benefit of the exception. The process of identification seems to have been one of implication: this appears from the </w:t>
      </w:r>
      <w:bookmarkStart w:name="_bookmark1156" w:id="1158"/>
      <w:bookmarkEnd w:id="1158"/>
      <w:r>
        <w:rPr>
          <w:vertAlign w:val="baseline"/>
        </w:rPr>
        <w:t>statements</w:t>
      </w:r>
      <w:r>
        <w:rPr>
          <w:vertAlign w:val="baseline"/>
        </w:rPr>
        <w:t> that “the intention to extend the benefit of the … clause to employees may be express or </w:t>
      </w:r>
      <w:bookmarkStart w:name="_bookmark1157" w:id="1159"/>
      <w:bookmarkEnd w:id="1159"/>
      <w:r>
        <w:rPr>
          <w:vertAlign w:val="baseline"/>
        </w:rPr>
        <w:t>implied”</w:t>
      </w:r>
      <w:r>
        <w:rPr>
          <w:vertAlign w:val="baseline"/>
        </w:rPr>
        <w:t> </w:t>
      </w:r>
      <w:r>
        <w:rPr>
          <w:color w:val="005DA1"/>
          <w:u w:val="single" w:color="005DA1"/>
          <w:vertAlign w:val="superscript"/>
        </w:rPr>
        <w:t>642</w:t>
      </w:r>
      <w:r>
        <w:rPr>
          <w:color w:val="005DA1"/>
          <w:vertAlign w:val="baseline"/>
        </w:rPr>
        <w:t> </w:t>
      </w:r>
      <w:r>
        <w:rPr>
          <w:vertAlign w:val="baseline"/>
        </w:rPr>
        <w:t>and that although the employees were not “express third party beneficiaries” </w:t>
      </w:r>
      <w:r>
        <w:rPr>
          <w:color w:val="005DA1"/>
          <w:u w:val="single" w:color="005DA1"/>
          <w:vertAlign w:val="superscript"/>
        </w:rPr>
        <w:t>643</w:t>
      </w:r>
      <w:r>
        <w:rPr>
          <w:color w:val="005DA1"/>
          <w:vertAlign w:val="baseline"/>
        </w:rPr>
        <w:t> </w:t>
      </w:r>
      <w:r>
        <w:rPr>
          <w:vertAlign w:val="baseline"/>
        </w:rPr>
        <w:t>this fact did “not preclude a finding that they are </w:t>
      </w:r>
      <w:r>
        <w:rPr>
          <w:rFonts w:ascii="Arial" w:hAnsi="Arial"/>
          <w:i/>
          <w:vertAlign w:val="baseline"/>
        </w:rPr>
        <w:t>implied </w:t>
      </w:r>
      <w:r>
        <w:rPr>
          <w:vertAlign w:val="baseline"/>
        </w:rPr>
        <w:t>third party beneficiaries.” </w:t>
      </w:r>
      <w:r>
        <w:rPr>
          <w:color w:val="005DA1"/>
          <w:u w:val="single" w:color="005DA1"/>
          <w:vertAlign w:val="superscript"/>
        </w:rPr>
        <w:t>644</w:t>
      </w:r>
      <w:r>
        <w:rPr>
          <w:color w:val="005DA1"/>
          <w:vertAlign w:val="baseline"/>
        </w:rPr>
        <w:t> </w:t>
      </w:r>
      <w:r>
        <w:rPr>
          <w:vertAlign w:val="baseline"/>
        </w:rPr>
        <w:t>It is clear from this reasoning that the employees were not expressly identified as third party beneficiaries, but that they were impliedly so identified; and if that reasoning were now followed in an English case arising from similar circumstances, then the question whether the employees had been “expressly” identified for the purpose of s.1(3) of the 1999 Act would have to be answered in the negative. That question does not,</w:t>
      </w:r>
      <w:r>
        <w:rPr>
          <w:spacing w:val="-2"/>
          <w:vertAlign w:val="baseline"/>
        </w:rPr>
        <w:t> </w:t>
      </w:r>
      <w:r>
        <w:rPr>
          <w:vertAlign w:val="baseline"/>
        </w:rPr>
        <w:t>moreover,</w:t>
      </w:r>
      <w:r>
        <w:rPr>
          <w:spacing w:val="-2"/>
          <w:vertAlign w:val="baseline"/>
        </w:rPr>
        <w:t> </w:t>
      </w:r>
      <w:r>
        <w:rPr>
          <w:vertAlign w:val="baseline"/>
        </w:rPr>
        <w:t>differ</w:t>
      </w:r>
      <w:r>
        <w:rPr>
          <w:spacing w:val="-2"/>
          <w:vertAlign w:val="baseline"/>
        </w:rPr>
        <w:t> </w:t>
      </w:r>
      <w:r>
        <w:rPr>
          <w:vertAlign w:val="baseline"/>
        </w:rPr>
        <w:t>materially</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whether,</w:t>
      </w:r>
      <w:r>
        <w:rPr>
          <w:spacing w:val="-2"/>
          <w:vertAlign w:val="baseline"/>
        </w:rPr>
        <w:t> </w:t>
      </w:r>
      <w:r>
        <w:rPr>
          <w:vertAlign w:val="baseline"/>
        </w:rPr>
        <w:t>in</w:t>
      </w:r>
      <w:r>
        <w:rPr>
          <w:spacing w:val="-2"/>
          <w:vertAlign w:val="baseline"/>
        </w:rPr>
        <w:t> </w:t>
      </w:r>
      <w:r>
        <w:rPr>
          <w:rFonts w:ascii="Arial" w:hAnsi="Arial"/>
          <w:i/>
          <w:vertAlign w:val="baseline"/>
        </w:rPr>
        <w:t>The</w:t>
      </w:r>
      <w:r>
        <w:rPr>
          <w:rFonts w:ascii="Arial" w:hAnsi="Arial"/>
          <w:i/>
          <w:spacing w:val="-2"/>
          <w:vertAlign w:val="baseline"/>
        </w:rPr>
        <w:t> </w:t>
      </w:r>
      <w:r>
        <w:rPr>
          <w:rFonts w:ascii="Arial" w:hAnsi="Arial"/>
          <w:i/>
          <w:vertAlign w:val="baseline"/>
        </w:rPr>
        <w:t>Alexandros</w:t>
      </w:r>
      <w:r>
        <w:rPr>
          <w:rFonts w:ascii="Arial" w:hAnsi="Arial"/>
          <w:i/>
          <w:spacing w:val="-2"/>
          <w:vertAlign w:val="baseline"/>
        </w:rPr>
        <w:t> </w:t>
      </w:r>
      <w:r>
        <w:rPr>
          <w:rFonts w:ascii="Arial" w:hAnsi="Arial"/>
          <w:i/>
          <w:vertAlign w:val="baseline"/>
        </w:rPr>
        <w:t>T</w:t>
      </w:r>
      <w:r>
        <w:rPr>
          <w:rFonts w:ascii="Arial" w:hAnsi="Arial"/>
          <w:i/>
          <w:spacing w:val="-2"/>
          <w:vertAlign w:val="baseline"/>
        </w:rPr>
        <w:t> </w:t>
      </w:r>
      <w:r>
        <w:rPr>
          <w:vertAlign w:val="baseline"/>
        </w:rPr>
        <w:t>the</w:t>
      </w:r>
      <w:r>
        <w:rPr>
          <w:spacing w:val="-2"/>
          <w:vertAlign w:val="baseline"/>
        </w:rPr>
        <w:t> </w:t>
      </w:r>
      <w:r>
        <w:rPr>
          <w:vertAlign w:val="baseline"/>
        </w:rPr>
        <w:t>servants</w:t>
      </w:r>
      <w:r>
        <w:rPr>
          <w:spacing w:val="-2"/>
          <w:vertAlign w:val="baseline"/>
        </w:rPr>
        <w:t> </w:t>
      </w:r>
      <w:r>
        <w:rPr>
          <w:vertAlign w:val="baseline"/>
        </w:rPr>
        <w:t>or</w:t>
      </w:r>
      <w:r>
        <w:rPr>
          <w:spacing w:val="-2"/>
          <w:vertAlign w:val="baseline"/>
        </w:rPr>
        <w:t> </w:t>
      </w:r>
      <w:r>
        <w:rPr>
          <w:vertAlign w:val="baseline"/>
        </w:rPr>
        <w:t>agents of the underwriters had, for the same purpose, been “expressly” identified by the word “underwriters”; and it is a matter of regret that, in </w:t>
      </w:r>
      <w:r>
        <w:rPr>
          <w:rFonts w:ascii="Arial" w:hAnsi="Arial"/>
          <w:i/>
          <w:vertAlign w:val="baseline"/>
        </w:rPr>
        <w:t>The Alexandros T</w:t>
      </w:r>
      <w:r>
        <w:rPr>
          <w:vertAlign w:val="baseline"/>
        </w:rPr>
        <w:t>, the attention of Flaux J. was not drawn to the reasoning of the </w:t>
      </w:r>
      <w:r>
        <w:rPr>
          <w:rFonts w:ascii="Arial" w:hAnsi="Arial"/>
          <w:i/>
          <w:vertAlign w:val="baseline"/>
        </w:rPr>
        <w:t>London Drugs </w:t>
      </w:r>
      <w:r>
        <w:rPr>
          <w:vertAlign w:val="baseline"/>
        </w:rPr>
        <w:t>case on the point here under discussion. Indeed, something resembling that reasoning appears to have been in Flaux J’s mind when he said that his “initial </w:t>
      </w:r>
      <w:bookmarkStart w:name="_bookmark1158" w:id="1160"/>
      <w:bookmarkEnd w:id="1160"/>
      <w:r>
        <w:rPr>
          <w:vertAlign w:val="baseline"/>
        </w:rPr>
        <w:t>reaction”</w:t>
      </w:r>
      <w:r>
        <w:rPr>
          <w:vertAlign w:val="baseline"/>
        </w:rPr>
        <w:t> was that the mere use of the word “underwriters” was “not sufficient for express identification”: </w:t>
      </w:r>
      <w:r>
        <w:rPr>
          <w:color w:val="005DA1"/>
          <w:u w:val="single" w:color="005DA1"/>
          <w:vertAlign w:val="superscript"/>
        </w:rPr>
        <w:t>645</w:t>
      </w:r>
      <w:r>
        <w:rPr>
          <w:color w:val="005DA1"/>
          <w:vertAlign w:val="baseline"/>
        </w:rPr>
        <w:t> </w:t>
      </w:r>
      <w:r>
        <w:rPr>
          <w:vertAlign w:val="baseline"/>
        </w:rPr>
        <w:t>but his ultimate conclusion was that because that word “encompass[ed] servants or </w:t>
      </w:r>
      <w:bookmarkStart w:name="_bookmark1159" w:id="1161"/>
      <w:bookmarkEnd w:id="1161"/>
      <w:r>
        <w:rPr>
          <w:vertAlign w:val="baseline"/>
        </w:rPr>
        <w:t>agents”</w:t>
      </w:r>
      <w:r>
        <w:rPr>
          <w:vertAlign w:val="baseline"/>
        </w:rPr>
        <w:t> it “expressly identifies a class of persons intended to have a benefit conferred on them by the </w:t>
      </w:r>
      <w:bookmarkStart w:name="_bookmark1160" w:id="1162"/>
      <w:bookmarkEnd w:id="1162"/>
      <w:r>
        <w:rPr>
          <w:vertAlign w:val="baseline"/>
        </w:rPr>
        <w:t>settlement</w:t>
      </w:r>
      <w:r>
        <w:rPr>
          <w:vertAlign w:val="baseline"/>
        </w:rPr>
        <w:t> agreements.” </w:t>
      </w:r>
      <w:r>
        <w:rPr>
          <w:color w:val="005DA1"/>
          <w:u w:val="single" w:color="005DA1"/>
          <w:vertAlign w:val="superscript"/>
        </w:rPr>
        <w:t>646</w:t>
      </w:r>
      <w:r>
        <w:rPr>
          <w:color w:val="005DA1"/>
          <w:vertAlign w:val="baseline"/>
        </w:rPr>
        <w:t> </w:t>
      </w:r>
      <w:r>
        <w:rPr>
          <w:vertAlign w:val="baseline"/>
        </w:rPr>
        <w:t>This language seems to refer back to an earlier part of the judgment in which it was held that “the requirements of section 1(1)(b) and (2) </w:t>
      </w:r>
      <w:r>
        <w:rPr>
          <w:color w:val="005DA1"/>
          <w:u w:val="single" w:color="005DA1"/>
          <w:vertAlign w:val="superscript"/>
        </w:rPr>
        <w:t>647</w:t>
      </w:r>
      <w:r>
        <w:rPr>
          <w:color w:val="005DA1"/>
          <w:vertAlign w:val="baseline"/>
        </w:rPr>
        <w:t> </w:t>
      </w:r>
      <w:r>
        <w:rPr>
          <w:vertAlign w:val="baseline"/>
        </w:rPr>
        <w:t>are satisfied. </w:t>
      </w:r>
      <w:r>
        <w:rPr>
          <w:color w:val="005DA1"/>
          <w:u w:val="single" w:color="005DA1"/>
          <w:vertAlign w:val="superscript"/>
        </w:rPr>
        <w:t>648</w:t>
      </w:r>
      <w:r>
        <w:rPr>
          <w:color w:val="005DA1"/>
          <w:vertAlign w:val="baseline"/>
        </w:rPr>
        <w:t> </w:t>
      </w:r>
      <w:r>
        <w:rPr>
          <w:vertAlign w:val="baseline"/>
        </w:rPr>
        <w:t>It is, however, with great respect, submitted that the learned judge’s “initial reaction” is more consistent than his ultimate conclusion with the language and structure of s.1 of the 1999 Act. In particular, s.1(1)(b) </w:t>
      </w:r>
      <w:bookmarkStart w:name="_bookmark1161" w:id="1163"/>
      <w:bookmarkEnd w:id="1163"/>
      <w:r>
        <w:rPr>
          <w:vertAlign w:val="baseline"/>
        </w:rPr>
        <w:t>(intention</w:t>
      </w:r>
      <w:r>
        <w:rPr>
          <w:vertAlign w:val="baseline"/>
        </w:rPr>
        <w:t> to benefit the third party) and s.1(3) (express identification) are separate and cumulative requirements, </w:t>
      </w:r>
      <w:r>
        <w:rPr>
          <w:color w:val="005DA1"/>
          <w:u w:val="single" w:color="005DA1"/>
          <w:vertAlign w:val="superscript"/>
        </w:rPr>
        <w:t>649</w:t>
      </w:r>
      <w:r>
        <w:rPr>
          <w:color w:val="005DA1"/>
          <w:vertAlign w:val="baseline"/>
        </w:rPr>
        <w:t> </w:t>
      </w:r>
      <w:r>
        <w:rPr>
          <w:vertAlign w:val="baseline"/>
        </w:rPr>
        <w:t>so that reasoning which satisfies the first of these requirements cannot, of itself, satisfy the second.</w:t>
      </w:r>
    </w:p>
    <w:p>
      <w:pPr>
        <w:pStyle w:val="BodyText"/>
        <w:spacing w:before="69"/>
      </w:pPr>
    </w:p>
    <w:p>
      <w:pPr>
        <w:pStyle w:val="Heading2"/>
        <w:spacing w:before="1"/>
      </w:pPr>
      <w:r>
        <w:rPr/>
        <w:t>18-</w:t>
      </w:r>
      <w:r>
        <w:rPr>
          <w:spacing w:val="-5"/>
        </w:rPr>
        <w:t>098</w:t>
      </w:r>
    </w:p>
    <w:p>
      <w:pPr>
        <w:pStyle w:val="BodyText"/>
        <w:spacing w:line="235" w:lineRule="auto" w:before="202"/>
        <w:ind w:left="165" w:right="167"/>
        <w:jc w:val="both"/>
      </w:pPr>
      <w:r>
        <w:rPr/>
        <w:t>Although it is a </w:t>
      </w:r>
      <w:r>
        <w:rPr>
          <w:rFonts w:ascii="Arial" w:hAnsi="Arial"/>
          <w:i/>
        </w:rPr>
        <w:t>necessary </w:t>
      </w:r>
      <w:r>
        <w:rPr/>
        <w:t>condition for the creation of C’s rights under s.1(1) that he must </w:t>
      </w:r>
      <w:r>
        <w:rPr/>
        <w:t>be expressly</w:t>
      </w:r>
      <w:r>
        <w:rPr>
          <w:spacing w:val="-1"/>
        </w:rPr>
        <w:t> </w:t>
      </w:r>
      <w:r>
        <w:rPr/>
        <w:t>identified</w:t>
      </w:r>
      <w:r>
        <w:rPr>
          <w:spacing w:val="-1"/>
        </w:rPr>
        <w:t> </w:t>
      </w:r>
      <w:r>
        <w:rPr/>
        <w:t>in</w:t>
      </w:r>
      <w:r>
        <w:rPr>
          <w:spacing w:val="-1"/>
        </w:rPr>
        <w:t> </w:t>
      </w:r>
      <w:r>
        <w:rPr/>
        <w:t>the</w:t>
      </w:r>
      <w:r>
        <w:rPr>
          <w:spacing w:val="-1"/>
        </w:rPr>
        <w:t> </w:t>
      </w:r>
      <w:r>
        <w:rPr/>
        <w:t>contract</w:t>
      </w:r>
      <w:r>
        <w:rPr>
          <w:spacing w:val="-1"/>
        </w:rPr>
        <w:t> </w:t>
      </w:r>
      <w:r>
        <w:rPr/>
        <w:t>between</w:t>
      </w:r>
      <w:r>
        <w:rPr>
          <w:spacing w:val="-1"/>
        </w:rPr>
        <w:t> </w:t>
      </w:r>
      <w:r>
        <w:rPr/>
        <w:t>A</w:t>
      </w:r>
      <w:r>
        <w:rPr>
          <w:spacing w:val="-1"/>
        </w:rPr>
        <w:t> </w:t>
      </w:r>
      <w:r>
        <w:rPr/>
        <w:t>and</w:t>
      </w:r>
      <w:r>
        <w:rPr>
          <w:spacing w:val="-1"/>
        </w:rPr>
        <w:t> </w:t>
      </w:r>
      <w:r>
        <w:rPr/>
        <w:t>B,</w:t>
      </w:r>
      <w:r>
        <w:rPr>
          <w:spacing w:val="-1"/>
        </w:rPr>
        <w:t> </w:t>
      </w:r>
      <w:r>
        <w:rPr/>
        <w:t>such</w:t>
      </w:r>
      <w:r>
        <w:rPr>
          <w:spacing w:val="-1"/>
        </w:rPr>
        <w:t> </w:t>
      </w:r>
      <w:r>
        <w:rPr/>
        <w:t>identification</w:t>
      </w:r>
      <w:r>
        <w:rPr>
          <w:spacing w:val="-1"/>
        </w:rPr>
        <w:t> </w:t>
      </w:r>
      <w:r>
        <w:rPr/>
        <w:t>is</w:t>
      </w:r>
      <w:r>
        <w:rPr>
          <w:spacing w:val="-1"/>
        </w:rPr>
        <w:t> </w:t>
      </w:r>
      <w:r>
        <w:rPr/>
        <w:t>not</w:t>
      </w:r>
      <w:r>
        <w:rPr>
          <w:spacing w:val="-1"/>
        </w:rPr>
        <w:t> </w:t>
      </w:r>
      <w:r>
        <w:rPr/>
        <w:t>a</w:t>
      </w:r>
      <w:r>
        <w:rPr>
          <w:spacing w:val="-2"/>
        </w:rPr>
        <w:t> </w:t>
      </w:r>
      <w:r>
        <w:rPr>
          <w:rFonts w:ascii="Arial" w:hAnsi="Arial"/>
          <w:i/>
        </w:rPr>
        <w:t>sufficient</w:t>
      </w:r>
      <w:r>
        <w:rPr>
          <w:rFonts w:ascii="Arial" w:hAnsi="Arial"/>
          <w:i/>
          <w:spacing w:val="-2"/>
        </w:rPr>
        <w:t> </w:t>
      </w:r>
      <w:r>
        <w:rPr/>
        <w:t>condition</w:t>
      </w:r>
      <w:r>
        <w:rPr>
          <w:spacing w:val="-1"/>
        </w:rPr>
        <w:t> </w:t>
      </w:r>
      <w:r>
        <w:rPr/>
        <w:t>for this purpose, since a contract which identifies C does not necessarily purport to confer a benefit on him. If, for example, a portrait painter (A) were commissioned by a college (B) to paint a portrait of the head of the college (C) for display on its premises, the contract would not purport to confer a benefit on C, nor would A and B intend the contract to be enforceable by C. It would seem that C must be identified in such a way as to indicate that A and B intended to confer rights on C: thus the </w:t>
      </w:r>
      <w:bookmarkStart w:name="_bookmark1162" w:id="1164"/>
      <w:bookmarkEnd w:id="1164"/>
      <w:r>
        <w:rPr/>
        <w:t>identification</w:t>
      </w:r>
      <w:r>
        <w:rPr/>
        <w:t> requirement would be satisfied where A promised B not to sue C for negligence but not where A promised B not to sue B for C’s negligence. </w:t>
      </w:r>
      <w:r>
        <w:rPr>
          <w:color w:val="005DA1"/>
          <w:u w:val="single" w:color="005DA1"/>
          <w:vertAlign w:val="superscript"/>
        </w:rPr>
        <w:t>650</w:t>
      </w:r>
      <w:r>
        <w:rPr>
          <w:color w:val="005DA1"/>
          <w:vertAlign w:val="baseline"/>
        </w:rPr>
        <w:t> </w:t>
      </w:r>
      <w:r>
        <w:rPr>
          <w:vertAlign w:val="baseline"/>
        </w:rPr>
        <w:t>The requirements of s.1(3) are, in other </w:t>
      </w:r>
      <w:bookmarkStart w:name="_bookmark1163" w:id="1165"/>
      <w:bookmarkEnd w:id="1165"/>
      <w:r>
        <w:rPr>
          <w:vertAlign w:val="baseline"/>
        </w:rPr>
        <w:t>words,</w:t>
      </w:r>
      <w:r>
        <w:rPr>
          <w:vertAlign w:val="baseline"/>
        </w:rPr>
        <w:t> </w:t>
      </w:r>
      <w:r>
        <w:rPr>
          <w:rFonts w:ascii="Arial" w:hAnsi="Arial"/>
          <w:i/>
          <w:vertAlign w:val="baseline"/>
        </w:rPr>
        <w:t>additional </w:t>
      </w:r>
      <w:r>
        <w:rPr>
          <w:vertAlign w:val="baseline"/>
        </w:rPr>
        <w:t>to those of s.1(2). Their operation may be illustrated by reference to the </w:t>
      </w:r>
      <w:r>
        <w:rPr>
          <w:rFonts w:ascii="Arial" w:hAnsi="Arial"/>
          <w:i/>
          <w:vertAlign w:val="baseline"/>
        </w:rPr>
        <w:t>Midland Silicones</w:t>
      </w:r>
      <w:r>
        <w:rPr>
          <w:rFonts w:ascii="Arial" w:hAnsi="Arial"/>
          <w:i/>
          <w:spacing w:val="3"/>
          <w:vertAlign w:val="baseline"/>
        </w:rPr>
        <w:t> </w:t>
      </w:r>
      <w:r>
        <w:rPr>
          <w:vertAlign w:val="baseline"/>
        </w:rPr>
        <w:t>case</w:t>
      </w:r>
      <w:r>
        <w:rPr>
          <w:spacing w:val="3"/>
          <w:vertAlign w:val="baseline"/>
        </w:rPr>
        <w:t> </w:t>
      </w:r>
      <w:r>
        <w:rPr>
          <w:color w:val="005DA1"/>
          <w:u w:val="single" w:color="005DA1"/>
          <w:vertAlign w:val="superscript"/>
        </w:rPr>
        <w:t>651</w:t>
      </w:r>
      <w:r>
        <w:rPr>
          <w:vertAlign w:val="baseline"/>
        </w:rPr>
        <w:t>:</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facts</w:t>
      </w:r>
      <w:r>
        <w:rPr>
          <w:spacing w:val="3"/>
          <w:vertAlign w:val="baseline"/>
        </w:rPr>
        <w:t> </w:t>
      </w:r>
      <w:r>
        <w:rPr>
          <w:vertAlign w:val="baseline"/>
        </w:rPr>
        <w:t>of</w:t>
      </w:r>
      <w:r>
        <w:rPr>
          <w:spacing w:val="3"/>
          <w:vertAlign w:val="baseline"/>
        </w:rPr>
        <w:t> </w:t>
      </w:r>
      <w:r>
        <w:rPr>
          <w:vertAlign w:val="baseline"/>
        </w:rPr>
        <w:t>that</w:t>
      </w:r>
      <w:r>
        <w:rPr>
          <w:spacing w:val="3"/>
          <w:vertAlign w:val="baseline"/>
        </w:rPr>
        <w:t> </w:t>
      </w:r>
      <w:r>
        <w:rPr>
          <w:vertAlign w:val="baseline"/>
        </w:rPr>
        <w:t>case,</w:t>
      </w:r>
      <w:r>
        <w:rPr>
          <w:spacing w:val="3"/>
          <w:vertAlign w:val="baseline"/>
        </w:rPr>
        <w:t> </w:t>
      </w:r>
      <w:r>
        <w:rPr>
          <w:vertAlign w:val="baseline"/>
        </w:rPr>
        <w:t>C</w:t>
      </w:r>
      <w:r>
        <w:rPr>
          <w:spacing w:val="3"/>
          <w:vertAlign w:val="baseline"/>
        </w:rPr>
        <w:t> </w:t>
      </w:r>
      <w:r>
        <w:rPr>
          <w:vertAlign w:val="baseline"/>
        </w:rPr>
        <w:t>would</w:t>
      </w:r>
      <w:r>
        <w:rPr>
          <w:spacing w:val="3"/>
          <w:vertAlign w:val="baseline"/>
        </w:rPr>
        <w:t> </w:t>
      </w:r>
      <w:r>
        <w:rPr>
          <w:vertAlign w:val="baseline"/>
        </w:rPr>
        <w:t>not</w:t>
      </w:r>
      <w:r>
        <w:rPr>
          <w:spacing w:val="3"/>
          <w:vertAlign w:val="baseline"/>
        </w:rPr>
        <w:t> </w:t>
      </w:r>
      <w:r>
        <w:rPr>
          <w:vertAlign w:val="baseline"/>
        </w:rPr>
        <w:t>be</w:t>
      </w:r>
      <w:r>
        <w:rPr>
          <w:spacing w:val="3"/>
          <w:vertAlign w:val="baseline"/>
        </w:rPr>
        <w:t> </w:t>
      </w:r>
      <w:r>
        <w:rPr>
          <w:vertAlign w:val="baseline"/>
        </w:rPr>
        <w:t>able</w:t>
      </w:r>
      <w:r>
        <w:rPr>
          <w:spacing w:val="3"/>
          <w:vertAlign w:val="baseline"/>
        </w:rPr>
        <w:t> </w:t>
      </w:r>
      <w:r>
        <w:rPr>
          <w:vertAlign w:val="baseline"/>
        </w:rPr>
        <w:t>to</w:t>
      </w:r>
      <w:r>
        <w:rPr>
          <w:spacing w:val="3"/>
          <w:vertAlign w:val="baseline"/>
        </w:rPr>
        <w:t> </w:t>
      </w:r>
      <w:r>
        <w:rPr>
          <w:vertAlign w:val="baseline"/>
        </w:rPr>
        <w:t>enforce</w:t>
      </w:r>
      <w:r>
        <w:rPr>
          <w:spacing w:val="3"/>
          <w:vertAlign w:val="baseline"/>
        </w:rPr>
        <w:t> </w:t>
      </w:r>
      <w:r>
        <w:rPr>
          <w:vertAlign w:val="baseline"/>
        </w:rPr>
        <w:t>the</w:t>
      </w:r>
      <w:r>
        <w:rPr>
          <w:spacing w:val="3"/>
          <w:vertAlign w:val="baseline"/>
        </w:rPr>
        <w:t> </w:t>
      </w:r>
      <w:r>
        <w:rPr>
          <w:vertAlign w:val="baseline"/>
        </w:rPr>
        <w:t>limitation</w:t>
      </w:r>
      <w:r>
        <w:rPr>
          <w:spacing w:val="3"/>
          <w:vertAlign w:val="baseline"/>
        </w:rPr>
        <w:t> </w:t>
      </w:r>
      <w:r>
        <w:rPr>
          <w:vertAlign w:val="baseline"/>
        </w:rPr>
        <w:t>clause</w:t>
      </w:r>
      <w:r>
        <w:rPr>
          <w:spacing w:val="3"/>
          <w:vertAlign w:val="baseline"/>
        </w:rPr>
        <w:t> </w:t>
      </w:r>
      <w:r>
        <w:rPr>
          <w:spacing w:val="-2"/>
          <w:vertAlign w:val="baseline"/>
        </w:rPr>
        <w:t>since</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6"/>
        <w:jc w:val="both"/>
      </w:pPr>
      <w:r>
        <w:rPr/>
        <w:t>the contract between A and B contained no express reference to C (whether by name, by description or as a member of a class). In these circumstances, neither subsection would be satisfied: C </w:t>
      </w:r>
      <w:r>
        <w:rPr/>
        <w:t>would not be identified and this very fact would indicate that the contract did not purport to confer a benefit on him. Where a contract is (as it was in the </w:t>
      </w:r>
      <w:r>
        <w:rPr>
          <w:rFonts w:ascii="Arial" w:hAnsi="Arial"/>
          <w:i/>
        </w:rPr>
        <w:t>Midland Silicones </w:t>
      </w:r>
      <w:r>
        <w:rPr/>
        <w:t>case) contained in or evidenced by a bill of lading, it is now likely to contain a Himalaya clause, which would be likely adequately to identify </w:t>
      </w:r>
      <w:bookmarkStart w:name="_bookmark1164" w:id="1166"/>
      <w:bookmarkEnd w:id="1166"/>
      <w:r>
        <w:rPr/>
        <w:t>C</w:t>
      </w:r>
      <w:r>
        <w:rPr>
          <w:spacing w:val="-1"/>
        </w:rPr>
        <w:t> </w:t>
      </w:r>
      <w:r>
        <w:rPr/>
        <w:t>within</w:t>
      </w:r>
      <w:r>
        <w:rPr>
          <w:spacing w:val="-1"/>
        </w:rPr>
        <w:t> </w:t>
      </w:r>
      <w:r>
        <w:rPr/>
        <w:t>s.1(3)</w:t>
      </w:r>
      <w:r>
        <w:rPr>
          <w:spacing w:val="-1"/>
        </w:rPr>
        <w:t> </w:t>
      </w:r>
      <w:r>
        <w:rPr/>
        <w:t>and</w:t>
      </w:r>
      <w:r>
        <w:rPr>
          <w:spacing w:val="-1"/>
        </w:rPr>
        <w:t> </w:t>
      </w:r>
      <w:r>
        <w:rPr/>
        <w:t>also</w:t>
      </w:r>
      <w:r>
        <w:rPr>
          <w:spacing w:val="-1"/>
        </w:rPr>
        <w:t> </w:t>
      </w:r>
      <w:r>
        <w:rPr/>
        <w:t>to</w:t>
      </w:r>
      <w:r>
        <w:rPr>
          <w:spacing w:val="-1"/>
        </w:rPr>
        <w:t> </w:t>
      </w:r>
      <w:r>
        <w:rPr/>
        <w:t>satisfy</w:t>
      </w:r>
      <w:r>
        <w:rPr>
          <w:spacing w:val="-1"/>
        </w:rPr>
        <w:t> </w:t>
      </w:r>
      <w:r>
        <w:rPr/>
        <w:t>the</w:t>
      </w:r>
      <w:r>
        <w:rPr>
          <w:spacing w:val="-1"/>
        </w:rPr>
        <w:t> </w:t>
      </w:r>
      <w:r>
        <w:rPr/>
        <w:t>requirements</w:t>
      </w:r>
      <w:r>
        <w:rPr>
          <w:spacing w:val="-1"/>
        </w:rPr>
        <w:t> </w:t>
      </w:r>
      <w:r>
        <w:rPr/>
        <w:t>of</w:t>
      </w:r>
      <w:r>
        <w:rPr>
          <w:spacing w:val="-1"/>
        </w:rPr>
        <w:t> </w:t>
      </w:r>
      <w:r>
        <w:rPr/>
        <w:t>s.1(2),</w:t>
      </w:r>
      <w:r>
        <w:rPr>
          <w:spacing w:val="-1"/>
        </w:rPr>
        <w:t> </w:t>
      </w:r>
      <w:r>
        <w:rPr/>
        <w:t>with</w:t>
      </w:r>
      <w:r>
        <w:rPr>
          <w:spacing w:val="-1"/>
        </w:rPr>
        <w:t> </w:t>
      </w:r>
      <w:r>
        <w:rPr/>
        <w:t>the</w:t>
      </w:r>
      <w:r>
        <w:rPr>
          <w:spacing w:val="-1"/>
        </w:rPr>
        <w:t> </w:t>
      </w:r>
      <w:r>
        <w:rPr/>
        <w:t>result</w:t>
      </w:r>
      <w:r>
        <w:rPr>
          <w:spacing w:val="-1"/>
        </w:rPr>
        <w:t> </w:t>
      </w:r>
      <w:r>
        <w:rPr/>
        <w:t>that</w:t>
      </w:r>
      <w:r>
        <w:rPr>
          <w:spacing w:val="-1"/>
        </w:rPr>
        <w:t> </w:t>
      </w:r>
      <w:r>
        <w:rPr/>
        <w:t>C</w:t>
      </w:r>
      <w:r>
        <w:rPr>
          <w:spacing w:val="-1"/>
        </w:rPr>
        <w:t> </w:t>
      </w:r>
      <w:r>
        <w:rPr/>
        <w:t>would</w:t>
      </w:r>
      <w:r>
        <w:rPr>
          <w:spacing w:val="-1"/>
        </w:rPr>
        <w:t> </w:t>
      </w:r>
      <w:r>
        <w:rPr/>
        <w:t>be</w:t>
      </w:r>
      <w:r>
        <w:rPr>
          <w:spacing w:val="-1"/>
        </w:rPr>
        <w:t> </w:t>
      </w:r>
      <w:r>
        <w:rPr/>
        <w:t>entitled</w:t>
      </w:r>
      <w:r>
        <w:rPr>
          <w:spacing w:val="-1"/>
        </w:rPr>
        <w:t> </w:t>
      </w:r>
      <w:r>
        <w:rPr/>
        <w:t>to “enforce”</w:t>
      </w:r>
      <w:r>
        <w:rPr>
          <w:spacing w:val="-2"/>
        </w:rPr>
        <w:t> </w:t>
      </w:r>
      <w:r>
        <w:rPr>
          <w:color w:val="005DA1"/>
          <w:u w:val="single" w:color="005DA1"/>
          <w:vertAlign w:val="superscript"/>
        </w:rPr>
        <w:t>652</w:t>
      </w:r>
      <w:r>
        <w:rPr>
          <w:color w:val="005DA1"/>
          <w:spacing w:val="-2"/>
          <w:vertAlign w:val="baseline"/>
        </w:rPr>
        <w:t> </w:t>
      </w:r>
      <w:r>
        <w:rPr>
          <w:vertAlign w:val="baseline"/>
        </w:rPr>
        <w:t>the</w:t>
      </w:r>
      <w:r>
        <w:rPr>
          <w:spacing w:val="-2"/>
          <w:vertAlign w:val="baseline"/>
        </w:rPr>
        <w:t> </w:t>
      </w:r>
      <w:r>
        <w:rPr>
          <w:vertAlign w:val="baseline"/>
        </w:rPr>
        <w:t>limitation</w:t>
      </w:r>
      <w:r>
        <w:rPr>
          <w:spacing w:val="-2"/>
          <w:vertAlign w:val="baseline"/>
        </w:rPr>
        <w:t> </w:t>
      </w:r>
      <w:r>
        <w:rPr>
          <w:vertAlign w:val="baseline"/>
        </w:rPr>
        <w:t>clause.</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whether</w:t>
      </w:r>
      <w:r>
        <w:rPr>
          <w:spacing w:val="-2"/>
          <w:vertAlign w:val="baseline"/>
        </w:rPr>
        <w:t> </w:t>
      </w:r>
      <w:r>
        <w:rPr>
          <w:vertAlign w:val="baseline"/>
        </w:rPr>
        <w:t>C</w:t>
      </w:r>
      <w:r>
        <w:rPr>
          <w:spacing w:val="-2"/>
          <w:vertAlign w:val="baseline"/>
        </w:rPr>
        <w:t> </w:t>
      </w:r>
      <w:r>
        <w:rPr>
          <w:vertAlign w:val="baseline"/>
        </w:rPr>
        <w:t>is</w:t>
      </w:r>
      <w:r>
        <w:rPr>
          <w:spacing w:val="-2"/>
          <w:vertAlign w:val="baseline"/>
        </w:rPr>
        <w:t> </w:t>
      </w:r>
      <w:r>
        <w:rPr>
          <w:vertAlign w:val="baseline"/>
        </w:rPr>
        <w:t>identified</w:t>
      </w:r>
      <w:r>
        <w:rPr>
          <w:spacing w:val="-2"/>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way</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give</w:t>
      </w:r>
      <w:r>
        <w:rPr>
          <w:spacing w:val="-2"/>
          <w:vertAlign w:val="baseline"/>
        </w:rPr>
        <w:t> </w:t>
      </w:r>
      <w:r>
        <w:rPr>
          <w:vertAlign w:val="baseline"/>
        </w:rPr>
        <w:t>him</w:t>
      </w:r>
      <w:r>
        <w:rPr>
          <w:spacing w:val="-2"/>
          <w:vertAlign w:val="baseline"/>
        </w:rPr>
        <w:t> </w:t>
      </w:r>
      <w:r>
        <w:rPr>
          <w:vertAlign w:val="baseline"/>
        </w:rPr>
        <w:t>an enforceable right may itself raise a question of construction: e.g. where the words of the term are </w:t>
      </w:r>
      <w:bookmarkStart w:name="_bookmark1165" w:id="1167"/>
      <w:bookmarkEnd w:id="1167"/>
      <w:r>
        <w:rPr>
          <w:vertAlign w:val="baseline"/>
        </w:rPr>
        <w:t>adequate</w:t>
      </w:r>
      <w:r>
        <w:rPr>
          <w:vertAlign w:val="baseline"/>
        </w:rPr>
        <w:t> to identify C but the term does not purport (or A and B do not intend) to confer a benefit on him. </w:t>
      </w:r>
      <w:r>
        <w:rPr>
          <w:color w:val="005DA1"/>
          <w:u w:val="single" w:color="005DA1"/>
          <w:vertAlign w:val="superscript"/>
        </w:rPr>
        <w:t>653</w:t>
      </w:r>
    </w:p>
    <w:p>
      <w:pPr>
        <w:pStyle w:val="BodyText"/>
      </w:pPr>
    </w:p>
    <w:p>
      <w:pPr>
        <w:pStyle w:val="BodyText"/>
        <w:spacing w:before="34"/>
      </w:pPr>
    </w:p>
    <w:p>
      <w:pPr>
        <w:spacing w:before="1"/>
        <w:ind w:left="165" w:right="0" w:firstLine="0"/>
        <w:jc w:val="left"/>
        <w:rPr>
          <w:rFonts w:ascii="Arial"/>
          <w:b/>
          <w:sz w:val="18"/>
        </w:rPr>
      </w:pPr>
      <w:r>
        <w:rPr>
          <w:rFonts w:ascii="Arial"/>
          <w:b/>
          <w:sz w:val="18"/>
        </w:rPr>
        <w:t>Third party not yet in </w:t>
      </w:r>
      <w:r>
        <w:rPr>
          <w:rFonts w:ascii="Arial"/>
          <w:b/>
          <w:spacing w:val="-2"/>
          <w:sz w:val="18"/>
        </w:rPr>
        <w:t>existence</w:t>
      </w:r>
    </w:p>
    <w:p>
      <w:pPr>
        <w:pStyle w:val="BodyText"/>
        <w:spacing w:before="41"/>
        <w:rPr>
          <w:rFonts w:ascii="Arial"/>
          <w:b/>
          <w:sz w:val="18"/>
        </w:rPr>
      </w:pPr>
    </w:p>
    <w:p>
      <w:pPr>
        <w:pStyle w:val="Heading2"/>
      </w:pPr>
      <w:r>
        <w:rPr/>
        <w:t>18-</w:t>
      </w:r>
      <w:r>
        <w:rPr>
          <w:spacing w:val="-5"/>
        </w:rPr>
        <w:t>099</w:t>
      </w:r>
    </w:p>
    <w:p>
      <w:pPr>
        <w:pStyle w:val="BodyText"/>
        <w:spacing w:line="235" w:lineRule="auto" w:before="202"/>
        <w:ind w:left="164" w:right="167"/>
        <w:jc w:val="both"/>
      </w:pPr>
      <w:bookmarkStart w:name="_bookmark1166" w:id="1168"/>
      <w:bookmarkEnd w:id="1168"/>
      <w:r>
        <w:rPr/>
      </w:r>
      <w:r>
        <w:rPr/>
        <w:t>So</w:t>
      </w:r>
      <w:r>
        <w:rPr>
          <w:spacing w:val="-2"/>
        </w:rPr>
        <w:t> </w:t>
      </w:r>
      <w:r>
        <w:rPr/>
        <w:t>long</w:t>
      </w:r>
      <w:r>
        <w:rPr>
          <w:spacing w:val="-2"/>
        </w:rPr>
        <w:t> </w:t>
      </w:r>
      <w:r>
        <w:rPr/>
        <w:t>as</w:t>
      </w:r>
      <w:r>
        <w:rPr>
          <w:spacing w:val="-2"/>
        </w:rPr>
        <w:t> </w:t>
      </w:r>
      <w:r>
        <w:rPr/>
        <w:t>C</w:t>
      </w:r>
      <w:r>
        <w:rPr>
          <w:spacing w:val="-2"/>
        </w:rPr>
        <w:t> </w:t>
      </w:r>
      <w:r>
        <w:rPr/>
        <w:t>is</w:t>
      </w:r>
      <w:r>
        <w:rPr>
          <w:spacing w:val="-2"/>
        </w:rPr>
        <w:t> </w:t>
      </w:r>
      <w:r>
        <w:rPr/>
        <w:t>identified</w:t>
      </w:r>
      <w:r>
        <w:rPr>
          <w:spacing w:val="-2"/>
        </w:rPr>
        <w:t> </w:t>
      </w:r>
      <w:r>
        <w:rPr/>
        <w:t>in</w:t>
      </w:r>
      <w:r>
        <w:rPr>
          <w:spacing w:val="-2"/>
        </w:rPr>
        <w:t> </w:t>
      </w:r>
      <w:r>
        <w:rPr/>
        <w:t>accordance</w:t>
      </w:r>
      <w:r>
        <w:rPr>
          <w:spacing w:val="-2"/>
        </w:rPr>
        <w:t> </w:t>
      </w:r>
      <w:r>
        <w:rPr/>
        <w:t>with</w:t>
      </w:r>
      <w:r>
        <w:rPr>
          <w:spacing w:val="-2"/>
        </w:rPr>
        <w:t> </w:t>
      </w:r>
      <w:r>
        <w:rPr/>
        <w:t>the</w:t>
      </w:r>
      <w:r>
        <w:rPr>
          <w:spacing w:val="-2"/>
        </w:rPr>
        <w:t> </w:t>
      </w:r>
      <w:r>
        <w:rPr/>
        <w:t>requirements</w:t>
      </w:r>
      <w:r>
        <w:rPr>
          <w:spacing w:val="-2"/>
        </w:rPr>
        <w:t> </w:t>
      </w:r>
      <w:r>
        <w:rPr/>
        <w:t>of</w:t>
      </w:r>
      <w:r>
        <w:rPr>
          <w:spacing w:val="-2"/>
        </w:rPr>
        <w:t> </w:t>
      </w:r>
      <w:r>
        <w:rPr/>
        <w:t>s.1(3),</w:t>
      </w:r>
      <w:r>
        <w:rPr>
          <w:spacing w:val="-2"/>
        </w:rPr>
        <w:t> </w:t>
      </w:r>
      <w:r>
        <w:rPr/>
        <w:t>there</w:t>
      </w:r>
      <w:r>
        <w:rPr>
          <w:spacing w:val="-2"/>
        </w:rPr>
        <w:t> </w:t>
      </w:r>
      <w:r>
        <w:rPr/>
        <w:t>is</w:t>
      </w:r>
      <w:r>
        <w:rPr>
          <w:spacing w:val="-2"/>
        </w:rPr>
        <w:t> </w:t>
      </w:r>
      <w:r>
        <w:rPr/>
        <w:t>no</w:t>
      </w:r>
      <w:r>
        <w:rPr>
          <w:spacing w:val="-2"/>
        </w:rPr>
        <w:t> </w:t>
      </w:r>
      <w:r>
        <w:rPr/>
        <w:t>need</w:t>
      </w:r>
      <w:r>
        <w:rPr>
          <w:spacing w:val="-2"/>
        </w:rPr>
        <w:t> </w:t>
      </w:r>
      <w:r>
        <w:rPr/>
        <w:t>for</w:t>
      </w:r>
      <w:r>
        <w:rPr>
          <w:spacing w:val="-2"/>
        </w:rPr>
        <w:t> </w:t>
      </w:r>
      <w:r>
        <w:rPr/>
        <w:t>C</w:t>
      </w:r>
      <w:r>
        <w:rPr>
          <w:spacing w:val="-2"/>
        </w:rPr>
        <w:t> </w:t>
      </w:r>
      <w:r>
        <w:rPr/>
        <w:t>to</w:t>
      </w:r>
      <w:r>
        <w:rPr>
          <w:spacing w:val="-2"/>
        </w:rPr>
        <w:t> </w:t>
      </w:r>
      <w:r>
        <w:rPr/>
        <w:t>be</w:t>
      </w:r>
      <w:r>
        <w:rPr>
          <w:spacing w:val="-2"/>
        </w:rPr>
        <w:t> </w:t>
      </w:r>
      <w:r>
        <w:rPr/>
        <w:t>in </w:t>
      </w:r>
      <w:bookmarkStart w:name="_bookmark1167" w:id="1169"/>
      <w:bookmarkEnd w:id="1169"/>
      <w:r>
        <w:rPr/>
        <w:t>existence</w:t>
      </w:r>
      <w:r>
        <w:rPr/>
        <w:t> when the contract between A and B was made </w:t>
      </w:r>
      <w:r>
        <w:rPr>
          <w:color w:val="005DA1"/>
          <w:u w:val="single" w:color="005DA1"/>
          <w:vertAlign w:val="superscript"/>
        </w:rPr>
        <w:t>654</w:t>
      </w:r>
      <w:r>
        <w:rPr>
          <w:vertAlign w:val="baseline"/>
        </w:rPr>
        <w:t>: for example, a promise in favour of an </w:t>
      </w:r>
      <w:bookmarkStart w:name="_bookmark1168" w:id="1170"/>
      <w:bookmarkEnd w:id="1170"/>
      <w:r>
        <w:rPr>
          <w:vertAlign w:val="baseline"/>
        </w:rPr>
        <w:t>unborn</w:t>
      </w:r>
      <w:r>
        <w:rPr>
          <w:vertAlign w:val="baseline"/>
        </w:rPr>
        <w:t> child, of a future spouse or of an unformed company could be enforced by </w:t>
      </w:r>
      <w:r>
        <w:rPr>
          <w:color w:val="005DA1"/>
          <w:u w:val="single" w:color="005DA1"/>
          <w:vertAlign w:val="superscript"/>
        </w:rPr>
        <w:t>655</w:t>
      </w:r>
      <w:r>
        <w:rPr>
          <w:color w:val="005DA1"/>
          <w:vertAlign w:val="baseline"/>
        </w:rPr>
        <w:t> </w:t>
      </w:r>
      <w:r>
        <w:rPr>
          <w:vertAlign w:val="baseline"/>
        </w:rPr>
        <w:t>such a </w:t>
      </w:r>
      <w:r>
        <w:rPr>
          <w:vertAlign w:val="baseline"/>
        </w:rPr>
        <w:t>third party when that person or entity came into existence. </w:t>
      </w:r>
      <w:r>
        <w:rPr>
          <w:color w:val="005DA1"/>
          <w:u w:val="single" w:color="005DA1"/>
          <w:vertAlign w:val="superscript"/>
        </w:rPr>
        <w:t>656</w:t>
      </w:r>
    </w:p>
    <w:p>
      <w:pPr>
        <w:pStyle w:val="BodyText"/>
      </w:pPr>
    </w:p>
    <w:p>
      <w:pPr>
        <w:pStyle w:val="BodyText"/>
        <w:spacing w:before="37"/>
      </w:pPr>
    </w:p>
    <w:p>
      <w:pPr>
        <w:spacing w:before="1"/>
        <w:ind w:left="164" w:right="0" w:firstLine="0"/>
        <w:jc w:val="left"/>
        <w:rPr>
          <w:rFonts w:ascii="Arial"/>
          <w:b/>
          <w:sz w:val="18"/>
        </w:rPr>
      </w:pPr>
      <w:r>
        <w:rPr>
          <w:rFonts w:ascii="Arial"/>
          <w:b/>
          <w:spacing w:val="-2"/>
          <w:sz w:val="18"/>
        </w:rPr>
        <w:t>Remedies</w:t>
      </w:r>
    </w:p>
    <w:p>
      <w:pPr>
        <w:pStyle w:val="BodyText"/>
        <w:spacing w:before="41"/>
        <w:rPr>
          <w:rFonts w:ascii="Arial"/>
          <w:b/>
          <w:sz w:val="18"/>
        </w:rPr>
      </w:pPr>
    </w:p>
    <w:p>
      <w:pPr>
        <w:pStyle w:val="Heading2"/>
        <w:ind w:left="164"/>
      </w:pPr>
      <w:r>
        <w:rPr/>
        <w:t>18-</w:t>
      </w:r>
      <w:r>
        <w:rPr>
          <w:spacing w:val="-5"/>
        </w:rPr>
        <w:t>100</w:t>
      </w:r>
    </w:p>
    <w:p>
      <w:pPr>
        <w:pStyle w:val="BodyText"/>
        <w:spacing w:line="235" w:lineRule="auto" w:before="203"/>
        <w:ind w:left="164" w:right="167"/>
        <w:jc w:val="both"/>
      </w:pPr>
      <w:r>
        <w:rPr/>
        <w:t>Where C has a right to enforce a term of the contract by virtue of s.1(1) of the 1999 Act, he has </w:t>
      </w:r>
      <w:r>
        <w:rPr/>
        <w:t>this right in spite of the fact that he is not a party to the contract: the Act does not, in general, adopt the </w:t>
      </w:r>
      <w:bookmarkStart w:name="_bookmark1169" w:id="1171"/>
      <w:bookmarkEnd w:id="1171"/>
      <w:r>
        <w:rPr/>
        <w:t>technique</w:t>
      </w:r>
      <w:r>
        <w:rPr/>
        <w:t> of transferring rights from B to C or of treating C as having acquired rights by means of the </w:t>
      </w:r>
      <w:bookmarkStart w:name="_bookmark1170" w:id="1172"/>
      <w:bookmarkEnd w:id="1172"/>
      <w:r>
        <w:rPr/>
        <w:t>fiction</w:t>
      </w:r>
      <w:r>
        <w:rPr/>
        <w:t> that he has become a party to the contract. </w:t>
      </w:r>
      <w:r>
        <w:rPr>
          <w:color w:val="005DA1"/>
          <w:u w:val="single" w:color="005DA1"/>
          <w:vertAlign w:val="superscript"/>
        </w:rPr>
        <w:t>657</w:t>
      </w:r>
      <w:r>
        <w:rPr>
          <w:color w:val="005DA1"/>
          <w:vertAlign w:val="baseline"/>
        </w:rPr>
        <w:t> </w:t>
      </w:r>
      <w:r>
        <w:rPr>
          <w:vertAlign w:val="baseline"/>
        </w:rPr>
        <w:t>It does, however, make use of such a fiction so far as C’s remedies are concerned. </w:t>
      </w:r>
      <w:r>
        <w:rPr>
          <w:color w:val="005DA1"/>
          <w:u w:val="single" w:color="005DA1"/>
          <w:vertAlign w:val="superscript"/>
        </w:rPr>
        <w:t>658</w:t>
      </w:r>
      <w:r>
        <w:rPr>
          <w:color w:val="005DA1"/>
          <w:vertAlign w:val="baseline"/>
        </w:rPr>
        <w:t> </w:t>
      </w:r>
      <w:r>
        <w:rPr>
          <w:vertAlign w:val="baseline"/>
        </w:rPr>
        <w:t>Section 1(5) provides that “For the purpose of exercising his right</w:t>
      </w:r>
      <w:r>
        <w:rPr>
          <w:spacing w:val="-2"/>
          <w:vertAlign w:val="baseline"/>
        </w:rPr>
        <w:t> </w:t>
      </w:r>
      <w:r>
        <w:rPr>
          <w:vertAlign w:val="baseline"/>
        </w:rPr>
        <w:t>to</w:t>
      </w:r>
      <w:r>
        <w:rPr>
          <w:spacing w:val="-2"/>
          <w:vertAlign w:val="baseline"/>
        </w:rPr>
        <w:t> </w:t>
      </w:r>
      <w:r>
        <w:rPr>
          <w:vertAlign w:val="baseline"/>
        </w:rPr>
        <w:t>enforce</w:t>
      </w:r>
      <w:r>
        <w:rPr>
          <w:spacing w:val="-2"/>
          <w:vertAlign w:val="baseline"/>
        </w:rPr>
        <w:t> </w:t>
      </w:r>
      <w:r>
        <w:rPr>
          <w:vertAlign w:val="baseline"/>
        </w:rPr>
        <w:t>a</w:t>
      </w:r>
      <w:r>
        <w:rPr>
          <w:spacing w:val="-2"/>
          <w:vertAlign w:val="baseline"/>
        </w:rPr>
        <w:t> </w:t>
      </w:r>
      <w:r>
        <w:rPr>
          <w:vertAlign w:val="baseline"/>
        </w:rPr>
        <w:t>term</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there</w:t>
      </w:r>
      <w:r>
        <w:rPr>
          <w:spacing w:val="-2"/>
          <w:vertAlign w:val="baseline"/>
        </w:rPr>
        <w:t> </w:t>
      </w:r>
      <w:r>
        <w:rPr>
          <w:vertAlign w:val="baseline"/>
        </w:rPr>
        <w:t>shall</w:t>
      </w:r>
      <w:r>
        <w:rPr>
          <w:spacing w:val="-2"/>
          <w:vertAlign w:val="baseline"/>
        </w:rPr>
        <w:t> </w:t>
      </w:r>
      <w:r>
        <w:rPr>
          <w:vertAlign w:val="baseline"/>
        </w:rPr>
        <w:t>be</w:t>
      </w:r>
      <w:r>
        <w:rPr>
          <w:spacing w:val="-2"/>
          <w:vertAlign w:val="baseline"/>
        </w:rPr>
        <w:t> </w:t>
      </w:r>
      <w:r>
        <w:rPr>
          <w:vertAlign w:val="baseline"/>
        </w:rPr>
        <w:t>available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third</w:t>
      </w:r>
      <w:r>
        <w:rPr>
          <w:spacing w:val="-2"/>
          <w:vertAlign w:val="baseline"/>
        </w:rPr>
        <w:t> </w:t>
      </w:r>
      <w:r>
        <w:rPr>
          <w:vertAlign w:val="baseline"/>
        </w:rPr>
        <w:t>party</w:t>
      </w:r>
      <w:r>
        <w:rPr>
          <w:spacing w:val="-2"/>
          <w:vertAlign w:val="baseline"/>
        </w:rPr>
        <w:t> </w:t>
      </w:r>
      <w:r>
        <w:rPr>
          <w:vertAlign w:val="baseline"/>
        </w:rPr>
        <w:t>any</w:t>
      </w:r>
      <w:r>
        <w:rPr>
          <w:spacing w:val="-2"/>
          <w:vertAlign w:val="baseline"/>
        </w:rPr>
        <w:t> </w:t>
      </w:r>
      <w:r>
        <w:rPr>
          <w:vertAlign w:val="baseline"/>
        </w:rPr>
        <w:t>remedy</w:t>
      </w:r>
      <w:r>
        <w:rPr>
          <w:spacing w:val="-2"/>
          <w:vertAlign w:val="baseline"/>
        </w:rPr>
        <w:t> </w:t>
      </w:r>
      <w:r>
        <w:rPr>
          <w:vertAlign w:val="baseline"/>
        </w:rPr>
        <w:t>that</w:t>
      </w:r>
      <w:r>
        <w:rPr>
          <w:spacing w:val="-2"/>
          <w:vertAlign w:val="baseline"/>
        </w:rPr>
        <w:t> </w:t>
      </w:r>
      <w:r>
        <w:rPr>
          <w:vertAlign w:val="baseline"/>
        </w:rPr>
        <w:t>would have been available to him in an action for breach of the contract if he had been a party to the</w:t>
      </w:r>
      <w:r>
        <w:rPr>
          <w:spacing w:val="40"/>
          <w:vertAlign w:val="baseline"/>
        </w:rPr>
        <w:t> </w:t>
      </w:r>
      <w:r>
        <w:rPr>
          <w:vertAlign w:val="baseline"/>
        </w:rPr>
        <w:t>contract (and the rules relating to damages, injunctions, specific performance and other relief shall apply</w:t>
      </w:r>
      <w:r>
        <w:rPr>
          <w:spacing w:val="-3"/>
          <w:vertAlign w:val="baseline"/>
        </w:rPr>
        <w:t> </w:t>
      </w:r>
      <w:r>
        <w:rPr>
          <w:vertAlign w:val="baseline"/>
        </w:rPr>
        <w:t>accordingly).”</w:t>
      </w:r>
      <w:r>
        <w:rPr>
          <w:spacing w:val="-3"/>
          <w:vertAlign w:val="baseline"/>
        </w:rPr>
        <w:t> </w:t>
      </w:r>
      <w:r>
        <w:rPr>
          <w:vertAlign w:val="baseline"/>
        </w:rPr>
        <w:t>It</w:t>
      </w:r>
      <w:r>
        <w:rPr>
          <w:spacing w:val="-3"/>
          <w:vertAlign w:val="baseline"/>
        </w:rPr>
        <w:t> </w:t>
      </w:r>
      <w:r>
        <w:rPr>
          <w:vertAlign w:val="baseline"/>
        </w:rPr>
        <w:t>follows</w:t>
      </w:r>
      <w:r>
        <w:rPr>
          <w:spacing w:val="-3"/>
          <w:vertAlign w:val="baseline"/>
        </w:rPr>
        <w:t> </w:t>
      </w:r>
      <w:r>
        <w:rPr>
          <w:vertAlign w:val="baseline"/>
        </w:rPr>
        <w:t>from</w:t>
      </w:r>
      <w:r>
        <w:rPr>
          <w:spacing w:val="-3"/>
          <w:vertAlign w:val="baseline"/>
        </w:rPr>
        <w:t> </w:t>
      </w:r>
      <w:r>
        <w:rPr>
          <w:vertAlign w:val="baseline"/>
        </w:rPr>
        <w:t>this</w:t>
      </w:r>
      <w:r>
        <w:rPr>
          <w:spacing w:val="-3"/>
          <w:vertAlign w:val="baseline"/>
        </w:rPr>
        <w:t> </w:t>
      </w:r>
      <w:r>
        <w:rPr>
          <w:vertAlign w:val="baseline"/>
        </w:rPr>
        <w:t>provision</w:t>
      </w:r>
      <w:r>
        <w:rPr>
          <w:spacing w:val="-3"/>
          <w:vertAlign w:val="baseline"/>
        </w:rPr>
        <w:t> </w:t>
      </w:r>
      <w:r>
        <w:rPr>
          <w:vertAlign w:val="baseline"/>
        </w:rPr>
        <w:t>that</w:t>
      </w:r>
      <w:r>
        <w:rPr>
          <w:spacing w:val="-3"/>
          <w:vertAlign w:val="baseline"/>
        </w:rPr>
        <w:t> </w:t>
      </w:r>
      <w:r>
        <w:rPr>
          <w:vertAlign w:val="baseline"/>
        </w:rPr>
        <w:t>C</w:t>
      </w:r>
      <w:r>
        <w:rPr>
          <w:spacing w:val="-3"/>
          <w:vertAlign w:val="baseline"/>
        </w:rPr>
        <w:t> </w:t>
      </w:r>
      <w:r>
        <w:rPr>
          <w:vertAlign w:val="baseline"/>
        </w:rPr>
        <w:t>can</w:t>
      </w:r>
      <w:r>
        <w:rPr>
          <w:spacing w:val="-3"/>
          <w:vertAlign w:val="baseline"/>
        </w:rPr>
        <w:t> </w:t>
      </w:r>
      <w:r>
        <w:rPr>
          <w:vertAlign w:val="baseline"/>
        </w:rPr>
        <w:t>invoke</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kinds</w:t>
      </w:r>
      <w:r>
        <w:rPr>
          <w:spacing w:val="-3"/>
          <w:vertAlign w:val="baseline"/>
        </w:rPr>
        <w:t> </w:t>
      </w:r>
      <w:r>
        <w:rPr>
          <w:vertAlign w:val="baseline"/>
        </w:rPr>
        <w:t>of</w:t>
      </w:r>
      <w:r>
        <w:rPr>
          <w:spacing w:val="-3"/>
          <w:vertAlign w:val="baseline"/>
        </w:rPr>
        <w:t> </w:t>
      </w:r>
      <w:r>
        <w:rPr>
          <w:vertAlign w:val="baseline"/>
        </w:rPr>
        <w:t>judicial</w:t>
      </w:r>
      <w:r>
        <w:rPr>
          <w:spacing w:val="-3"/>
          <w:vertAlign w:val="baseline"/>
        </w:rPr>
        <w:t> </w:t>
      </w:r>
      <w:r>
        <w:rPr>
          <w:vertAlign w:val="baseline"/>
        </w:rPr>
        <w:t>remedies as would be available to B if no third party were involved, and that C can recover damages for loss of bargain (or “expectation” loss) even though the bargain was made, not with him, but with B. It also follows that the same principles which would limit B’s remedies in a twoparty case also apply to an </w:t>
      </w:r>
      <w:bookmarkStart w:name="_bookmark1171" w:id="1173"/>
      <w:bookmarkEnd w:id="1173"/>
      <w:r>
        <w:rPr>
          <w:vertAlign w:val="baseline"/>
        </w:rPr>
        <w:t>action</w:t>
      </w:r>
      <w:r>
        <w:rPr>
          <w:vertAlign w:val="baseline"/>
        </w:rPr>
        <w:t> brought by C: for example, the principles of remoteness and mitigation and those which restrict the availability of specific relief. </w:t>
      </w:r>
      <w:r>
        <w:rPr>
          <w:color w:val="005DA1"/>
          <w:u w:val="single" w:color="005DA1"/>
          <w:vertAlign w:val="superscript"/>
        </w:rPr>
        <w:t>659</w:t>
      </w:r>
      <w:r>
        <w:rPr>
          <w:color w:val="005DA1"/>
          <w:vertAlign w:val="baseline"/>
        </w:rPr>
        <w:t> </w:t>
      </w:r>
      <w:r>
        <w:rPr>
          <w:vertAlign w:val="baseline"/>
        </w:rPr>
        <w:t>The application of these principles may, however, lead to different practical results where the action is brought by C from those which would follow from them in an action</w:t>
      </w:r>
      <w:r>
        <w:rPr>
          <w:spacing w:val="-1"/>
          <w:vertAlign w:val="baseline"/>
        </w:rPr>
        <w:t> </w:t>
      </w:r>
      <w:r>
        <w:rPr>
          <w:vertAlign w:val="baseline"/>
        </w:rPr>
        <w:t>brought</w:t>
      </w:r>
      <w:r>
        <w:rPr>
          <w:spacing w:val="-1"/>
          <w:vertAlign w:val="baseline"/>
        </w:rPr>
        <w:t> </w:t>
      </w:r>
      <w:r>
        <w:rPr>
          <w:vertAlign w:val="baseline"/>
        </w:rPr>
        <w:t>by</w:t>
      </w:r>
      <w:r>
        <w:rPr>
          <w:spacing w:val="-1"/>
          <w:vertAlign w:val="baseline"/>
        </w:rPr>
        <w:t> </w:t>
      </w:r>
      <w:r>
        <w:rPr>
          <w:vertAlign w:val="baseline"/>
        </w:rPr>
        <w:t>B.</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in</w:t>
      </w:r>
      <w:r>
        <w:rPr>
          <w:spacing w:val="-1"/>
          <w:vertAlign w:val="baseline"/>
        </w:rPr>
        <w:t> </w:t>
      </w:r>
      <w:r>
        <w:rPr>
          <w:vertAlign w:val="baseline"/>
        </w:rPr>
        <w:t>an</w:t>
      </w:r>
      <w:r>
        <w:rPr>
          <w:spacing w:val="-1"/>
          <w:vertAlign w:val="baseline"/>
        </w:rPr>
        <w:t> </w:t>
      </w:r>
      <w:r>
        <w:rPr>
          <w:vertAlign w:val="baseline"/>
        </w:rPr>
        <w:t>action</w:t>
      </w:r>
      <w:r>
        <w:rPr>
          <w:spacing w:val="-1"/>
          <w:vertAlign w:val="baseline"/>
        </w:rPr>
        <w:t> </w:t>
      </w:r>
      <w:r>
        <w:rPr>
          <w:vertAlign w:val="baseline"/>
        </w:rPr>
        <w:t>brought</w:t>
      </w:r>
      <w:r>
        <w:rPr>
          <w:spacing w:val="-1"/>
          <w:vertAlign w:val="baseline"/>
        </w:rPr>
        <w:t> </w:t>
      </w:r>
      <w:r>
        <w:rPr>
          <w:vertAlign w:val="baseline"/>
        </w:rPr>
        <w:t>by</w:t>
      </w:r>
      <w:r>
        <w:rPr>
          <w:spacing w:val="-1"/>
          <w:vertAlign w:val="baseline"/>
        </w:rPr>
        <w:t> </w:t>
      </w:r>
      <w:r>
        <w:rPr>
          <w:vertAlign w:val="baseline"/>
        </w:rPr>
        <w:t>C,</w:t>
      </w:r>
      <w:r>
        <w:rPr>
          <w:spacing w:val="-1"/>
          <w:vertAlign w:val="baseline"/>
        </w:rPr>
        <w:t> </w:t>
      </w:r>
      <w:r>
        <w:rPr>
          <w:vertAlign w:val="baseline"/>
        </w:rPr>
        <w:t>the</w:t>
      </w:r>
      <w:r>
        <w:rPr>
          <w:spacing w:val="-1"/>
          <w:vertAlign w:val="baseline"/>
        </w:rPr>
        <w:t> </w:t>
      </w:r>
      <w:r>
        <w:rPr>
          <w:vertAlign w:val="baseline"/>
        </w:rPr>
        <w:t>test</w:t>
      </w:r>
      <w:r>
        <w:rPr>
          <w:spacing w:val="-1"/>
          <w:vertAlign w:val="baseline"/>
        </w:rPr>
        <w:t> </w:t>
      </w:r>
      <w:r>
        <w:rPr>
          <w:vertAlign w:val="baseline"/>
        </w:rPr>
        <w:t>of</w:t>
      </w:r>
      <w:r>
        <w:rPr>
          <w:spacing w:val="-1"/>
          <w:vertAlign w:val="baseline"/>
        </w:rPr>
        <w:t> </w:t>
      </w:r>
      <w:r>
        <w:rPr>
          <w:vertAlign w:val="baseline"/>
        </w:rPr>
        <w:t>remoteness</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whether it was C’s (not B’s) loss which A ought reasonably have contemplated; the principles of mitigation would require the court to ask what steps C (not B) ought reasonably have taken to mitigate his loss; and the question whether specific relief should be refused on account of the conduct of the claimant could receive one answer where the action was brought by C and another if it were brought by B.</w:t>
      </w:r>
    </w:p>
    <w:p>
      <w:pPr>
        <w:pStyle w:val="BodyText"/>
      </w:pPr>
    </w:p>
    <w:p>
      <w:pPr>
        <w:pStyle w:val="BodyText"/>
        <w:spacing w:before="30"/>
      </w:pPr>
    </w:p>
    <w:p>
      <w:pPr>
        <w:spacing w:before="1"/>
        <w:ind w:left="165" w:right="0" w:firstLine="0"/>
        <w:jc w:val="left"/>
        <w:rPr>
          <w:rFonts w:ascii="Arial"/>
          <w:b/>
          <w:sz w:val="18"/>
        </w:rPr>
      </w:pPr>
      <w:r>
        <w:rPr>
          <w:rFonts w:ascii="Arial"/>
          <w:b/>
          <w:sz w:val="18"/>
        </w:rPr>
        <w:t>Arbitration </w:t>
      </w:r>
      <w:r>
        <w:rPr>
          <w:rFonts w:ascii="Arial"/>
          <w:b/>
          <w:spacing w:val="-2"/>
          <w:sz w:val="18"/>
        </w:rPr>
        <w:t>provisions</w:t>
      </w:r>
    </w:p>
    <w:p>
      <w:pPr>
        <w:pStyle w:val="BodyText"/>
        <w:spacing w:before="41"/>
        <w:rPr>
          <w:rFonts w:ascii="Arial"/>
          <w:b/>
          <w:sz w:val="18"/>
        </w:rPr>
      </w:pPr>
    </w:p>
    <w:p>
      <w:pPr>
        <w:pStyle w:val="Heading2"/>
      </w:pPr>
      <w:r>
        <w:rPr/>
        <w:t>18-</w:t>
      </w:r>
      <w:r>
        <w:rPr>
          <w:spacing w:val="-5"/>
        </w:rPr>
        <w:t>101</w:t>
      </w:r>
    </w:p>
    <w:p>
      <w:pPr>
        <w:pStyle w:val="BodyText"/>
        <w:spacing w:line="235" w:lineRule="auto" w:before="203"/>
        <w:ind w:left="165" w:right="167"/>
        <w:jc w:val="both"/>
      </w:pPr>
      <w:r>
        <w:rPr/>
        <w:t>The contract containing the term which C seeks to enforce against A may, in addition to that term, </w:t>
      </w:r>
      <w:bookmarkStart w:name="_bookmark1172" w:id="1174"/>
      <w:bookmarkEnd w:id="1174"/>
      <w:r>
        <w:rPr/>
        <w:t>contain</w:t>
      </w:r>
      <w:r>
        <w:rPr/>
        <w:t> an arbitration clause amounting to a written arbitration agreement within the Arbitration Act </w:t>
      </w:r>
      <w:bookmarkStart w:name="_bookmark1173" w:id="1175"/>
      <w:bookmarkEnd w:id="1175"/>
      <w:r>
        <w:rPr/>
        <w:t>1996.</w:t>
      </w:r>
      <w:r>
        <w:rPr/>
        <w:t> </w:t>
      </w:r>
      <w:r>
        <w:rPr>
          <w:color w:val="005DA1"/>
          <w:u w:val="single" w:color="005DA1"/>
          <w:vertAlign w:val="superscript"/>
        </w:rPr>
        <w:t>660</w:t>
      </w:r>
      <w:r>
        <w:rPr>
          <w:color w:val="005DA1"/>
          <w:vertAlign w:val="baseline"/>
        </w:rPr>
        <w:t> </w:t>
      </w:r>
      <w:r>
        <w:rPr>
          <w:vertAlign w:val="baseline"/>
        </w:rPr>
        <w:t>The 1999 Act provides that, if C seeks to enforce the former term against A, then C is to be treated</w:t>
      </w:r>
      <w:r>
        <w:rPr>
          <w:spacing w:val="-4"/>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party</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arbitration</w:t>
      </w:r>
      <w:r>
        <w:rPr>
          <w:spacing w:val="-4"/>
          <w:vertAlign w:val="baseline"/>
        </w:rPr>
        <w:t> </w:t>
      </w:r>
      <w:r>
        <w:rPr>
          <w:vertAlign w:val="baseline"/>
        </w:rPr>
        <w:t>agreement.</w:t>
      </w:r>
      <w:r>
        <w:rPr>
          <w:spacing w:val="-4"/>
          <w:vertAlign w:val="baseline"/>
        </w:rPr>
        <w:t> </w:t>
      </w:r>
      <w:r>
        <w:rPr>
          <w:color w:val="005DA1"/>
          <w:u w:val="single" w:color="005DA1"/>
          <w:vertAlign w:val="superscript"/>
        </w:rPr>
        <w:t>661</w:t>
      </w:r>
      <w:r>
        <w:rPr>
          <w:color w:val="005DA1"/>
          <w:spacing w:val="-4"/>
          <w:vertAlign w:val="baseline"/>
        </w:rPr>
        <w:t> </w:t>
      </w:r>
      <w:r>
        <w:rPr>
          <w:vertAlign w:val="baseline"/>
        </w:rPr>
        <w:t>It</w:t>
      </w:r>
      <w:r>
        <w:rPr>
          <w:spacing w:val="-4"/>
          <w:vertAlign w:val="baseline"/>
        </w:rPr>
        <w:t> </w:t>
      </w:r>
      <w:r>
        <w:rPr>
          <w:vertAlign w:val="baseline"/>
        </w:rPr>
        <w:t>follows</w:t>
      </w:r>
      <w:r>
        <w:rPr>
          <w:spacing w:val="-4"/>
          <w:vertAlign w:val="baseline"/>
        </w:rPr>
        <w:t> </w:t>
      </w:r>
      <w:r>
        <w:rPr>
          <w:vertAlign w:val="baseline"/>
        </w:rPr>
        <w:t>that,</w:t>
      </w:r>
      <w:r>
        <w:rPr>
          <w:spacing w:val="-4"/>
          <w:vertAlign w:val="baseline"/>
        </w:rPr>
        <w:t> </w:t>
      </w:r>
      <w:r>
        <w:rPr>
          <w:vertAlign w:val="baseline"/>
        </w:rPr>
        <w:t>if</w:t>
      </w:r>
      <w:r>
        <w:rPr>
          <w:spacing w:val="-4"/>
          <w:vertAlign w:val="baseline"/>
        </w:rPr>
        <w:t> </w:t>
      </w:r>
      <w:r>
        <w:rPr>
          <w:vertAlign w:val="baseline"/>
        </w:rPr>
        <w:t>C</w:t>
      </w:r>
      <w:r>
        <w:rPr>
          <w:spacing w:val="-4"/>
          <w:vertAlign w:val="baseline"/>
        </w:rPr>
        <w:t> </w:t>
      </w:r>
      <w:r>
        <w:rPr>
          <w:vertAlign w:val="baseline"/>
        </w:rPr>
        <w:t>attempted</w:t>
      </w:r>
      <w:r>
        <w:rPr>
          <w:spacing w:val="-4"/>
          <w:vertAlign w:val="baseline"/>
        </w:rPr>
        <w:t> </w:t>
      </w:r>
      <w:r>
        <w:rPr>
          <w:vertAlign w:val="baseline"/>
        </w:rPr>
        <w:t>to</w:t>
      </w:r>
      <w:r>
        <w:rPr>
          <w:spacing w:val="-4"/>
          <w:vertAlign w:val="baseline"/>
        </w:rPr>
        <w:t> </w:t>
      </w:r>
      <w:r>
        <w:rPr>
          <w:vertAlign w:val="baseline"/>
        </w:rPr>
        <w:t>enforce</w:t>
      </w:r>
      <w:r>
        <w:rPr>
          <w:spacing w:val="-4"/>
          <w:vertAlign w:val="baseline"/>
        </w:rPr>
        <w:t> </w:t>
      </w:r>
      <w:r>
        <w:rPr>
          <w:vertAlign w:val="baseline"/>
        </w:rPr>
        <w:t>that</w:t>
      </w:r>
      <w:r>
        <w:rPr>
          <w:spacing w:val="-4"/>
          <w:vertAlign w:val="baseline"/>
        </w:rPr>
        <w:t> </w:t>
      </w:r>
      <w:r>
        <w:rPr>
          <w:vertAlign w:val="baseline"/>
        </w:rPr>
        <w:t>term</w:t>
      </w:r>
      <w:r>
        <w:rPr>
          <w:spacing w:val="-4"/>
          <w:vertAlign w:val="baseline"/>
        </w:rPr>
        <w:t> </w:t>
      </w:r>
      <w:r>
        <w:rPr>
          <w:color w:val="005DA1"/>
          <w:u w:val="single" w:color="005DA1"/>
          <w:vertAlign w:val="superscript"/>
        </w:rPr>
        <w:t>662</w:t>
      </w:r>
      <w:r>
        <w:rPr>
          <w:color w:val="005DA1"/>
          <w:vertAlign w:val="baseline"/>
        </w:rPr>
        <w:t> </w:t>
      </w:r>
      <w:bookmarkStart w:name="_bookmark1174" w:id="1176"/>
      <w:bookmarkEnd w:id="1176"/>
      <w:r>
        <w:rPr>
          <w:color w:val="005DA1"/>
          <w:w w:val="92"/>
          <w:vertAlign w:val="baseline"/>
        </w:rPr>
      </w:r>
      <w:r>
        <w:rPr>
          <w:rFonts w:ascii="Arial"/>
          <w:i/>
          <w:vertAlign w:val="baseline"/>
        </w:rPr>
        <w:t>by action</w:t>
      </w:r>
      <w:r>
        <w:rPr>
          <w:vertAlign w:val="baseline"/>
        </w:rPr>
        <w:t>, A could obtain a stay of that action under the 1996 Act and so secure compliance by C </w:t>
      </w:r>
      <w:r>
        <w:rPr>
          <w:vertAlign w:val="baseline"/>
        </w:rPr>
        <w:t>with the arbitration agreement. </w:t>
      </w:r>
      <w:r>
        <w:rPr>
          <w:color w:val="005DA1"/>
          <w:u w:val="single" w:color="005DA1"/>
          <w:vertAlign w:val="superscript"/>
        </w:rPr>
        <w:t>663</w:t>
      </w:r>
      <w:r>
        <w:rPr>
          <w:color w:val="005DA1"/>
          <w:vertAlign w:val="baseline"/>
        </w:rPr>
        <w:t> </w:t>
      </w:r>
      <w:r>
        <w:rPr>
          <w:vertAlign w:val="baseline"/>
        </w:rPr>
        <w:t>A contract between A and B may also provide that C is to be entitled to submit to arbitration some dispute between himself and A </w:t>
      </w:r>
      <w:r>
        <w:rPr>
          <w:rFonts w:ascii="Arial"/>
          <w:i/>
          <w:vertAlign w:val="baseline"/>
        </w:rPr>
        <w:t>other </w:t>
      </w:r>
      <w:r>
        <w:rPr>
          <w:vertAlign w:val="baseline"/>
        </w:rPr>
        <w:t>than one concerning the enforcement by</w:t>
      </w:r>
      <w:r>
        <w:rPr>
          <w:spacing w:val="5"/>
          <w:vertAlign w:val="baseline"/>
        </w:rPr>
        <w:t> </w:t>
      </w:r>
      <w:r>
        <w:rPr>
          <w:vertAlign w:val="baseline"/>
        </w:rPr>
        <w:t>C</w:t>
      </w:r>
      <w:r>
        <w:rPr>
          <w:spacing w:val="5"/>
          <w:vertAlign w:val="baseline"/>
        </w:rPr>
        <w:t> </w:t>
      </w:r>
      <w:r>
        <w:rPr>
          <w:vertAlign w:val="baseline"/>
        </w:rPr>
        <w:t>against</w:t>
      </w:r>
      <w:r>
        <w:rPr>
          <w:spacing w:val="5"/>
          <w:vertAlign w:val="baseline"/>
        </w:rPr>
        <w:t> </w:t>
      </w:r>
      <w:r>
        <w:rPr>
          <w:vertAlign w:val="baseline"/>
        </w:rPr>
        <w:t>A</w:t>
      </w:r>
      <w:r>
        <w:rPr>
          <w:spacing w:val="5"/>
          <w:vertAlign w:val="baseline"/>
        </w:rPr>
        <w:t> </w:t>
      </w:r>
      <w:r>
        <w:rPr>
          <w:vertAlign w:val="baseline"/>
        </w:rPr>
        <w:t>of</w:t>
      </w:r>
      <w:r>
        <w:rPr>
          <w:spacing w:val="5"/>
          <w:vertAlign w:val="baseline"/>
        </w:rPr>
        <w:t> </w:t>
      </w:r>
      <w:r>
        <w:rPr>
          <w:vertAlign w:val="baseline"/>
        </w:rPr>
        <w:t>one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other</w:t>
      </w:r>
      <w:r>
        <w:rPr>
          <w:spacing w:val="5"/>
          <w:vertAlign w:val="baseline"/>
        </w:rPr>
        <w:t> </w:t>
      </w:r>
      <w:r>
        <w:rPr>
          <w:vertAlign w:val="baseline"/>
        </w:rPr>
        <w:t>terms</w:t>
      </w:r>
      <w:r>
        <w:rPr>
          <w:spacing w:val="5"/>
          <w:vertAlign w:val="baseline"/>
        </w:rPr>
        <w:t> </w:t>
      </w:r>
      <w:r>
        <w:rPr>
          <w:vertAlign w:val="baseline"/>
        </w:rPr>
        <w:t>of</w:t>
      </w:r>
      <w:r>
        <w:rPr>
          <w:spacing w:val="5"/>
          <w:vertAlign w:val="baseline"/>
        </w:rPr>
        <w:t> </w:t>
      </w:r>
      <w:r>
        <w:rPr>
          <w:vertAlign w:val="baseline"/>
        </w:rPr>
        <w:t>that</w:t>
      </w:r>
      <w:r>
        <w:rPr>
          <w:spacing w:val="5"/>
          <w:vertAlign w:val="baseline"/>
        </w:rPr>
        <w:t> </w:t>
      </w:r>
      <w:r>
        <w:rPr>
          <w:vertAlign w:val="baseline"/>
        </w:rPr>
        <w:t>contract.</w:t>
      </w:r>
      <w:r>
        <w:rPr>
          <w:spacing w:val="5"/>
          <w:vertAlign w:val="baseline"/>
        </w:rPr>
        <w:t> </w:t>
      </w:r>
      <w:r>
        <w:rPr>
          <w:vertAlign w:val="baseline"/>
        </w:rPr>
        <w:t>Such</w:t>
      </w:r>
      <w:r>
        <w:rPr>
          <w:spacing w:val="5"/>
          <w:vertAlign w:val="baseline"/>
        </w:rPr>
        <w:t> </w:t>
      </w:r>
      <w:r>
        <w:rPr>
          <w:vertAlign w:val="baseline"/>
        </w:rPr>
        <w:t>an</w:t>
      </w:r>
      <w:r>
        <w:rPr>
          <w:spacing w:val="5"/>
          <w:vertAlign w:val="baseline"/>
        </w:rPr>
        <w:t> </w:t>
      </w:r>
      <w:r>
        <w:rPr>
          <w:vertAlign w:val="baseline"/>
        </w:rPr>
        <w:t>arbitration</w:t>
      </w:r>
      <w:r>
        <w:rPr>
          <w:spacing w:val="5"/>
          <w:vertAlign w:val="baseline"/>
        </w:rPr>
        <w:t> </w:t>
      </w:r>
      <w:r>
        <w:rPr>
          <w:vertAlign w:val="baseline"/>
        </w:rPr>
        <w:t>provision</w:t>
      </w:r>
      <w:r>
        <w:rPr>
          <w:spacing w:val="5"/>
          <w:vertAlign w:val="baseline"/>
        </w:rPr>
        <w:t> </w:t>
      </w:r>
      <w:r>
        <w:rPr>
          <w:vertAlign w:val="baseline"/>
        </w:rPr>
        <w:t>cannot</w:t>
      </w:r>
      <w:r>
        <w:rPr>
          <w:spacing w:val="5"/>
          <w:vertAlign w:val="baseline"/>
        </w:rPr>
        <w:t> </w:t>
      </w:r>
      <w:r>
        <w:rPr>
          <w:spacing w:val="-2"/>
          <w:vertAlign w:val="baseline"/>
        </w:rPr>
        <w:t>compel</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C to resort to arbitration of (for example) a tort claim between himself and A. But if the provision is </w:t>
      </w:r>
      <w:r>
        <w:rPr/>
        <w:t>a term which C is entitled to enforce under s.1 of the 1999 Act and is also a written arbitration agreement within the Arbitration Act 1996 and C chooses to submit the dispute with A to arbitration, then C is treated for the purpose of the 1996 Act as a party to the arbitration agreement so that the arbitration proceedings will be governed by the Act.</w:t>
      </w:r>
    </w:p>
    <w:p>
      <w:pPr>
        <w:pStyle w:val="BodyText"/>
      </w:pPr>
    </w:p>
    <w:p>
      <w:pPr>
        <w:pStyle w:val="BodyText"/>
        <w:spacing w:before="36"/>
      </w:pPr>
    </w:p>
    <w:p>
      <w:pPr>
        <w:spacing w:before="0"/>
        <w:ind w:left="165" w:right="0" w:firstLine="0"/>
        <w:jc w:val="left"/>
        <w:rPr>
          <w:rFonts w:ascii="Arial"/>
          <w:b/>
          <w:sz w:val="18"/>
        </w:rPr>
      </w:pPr>
      <w:r>
        <w:rPr>
          <w:rFonts w:ascii="Arial"/>
          <w:b/>
          <w:sz w:val="18"/>
        </w:rPr>
        <w:t>No requirement of consideration moving from third </w:t>
      </w:r>
      <w:r>
        <w:rPr>
          <w:rFonts w:ascii="Arial"/>
          <w:b/>
          <w:spacing w:val="-2"/>
          <w:sz w:val="18"/>
        </w:rPr>
        <w:t>party</w:t>
      </w:r>
    </w:p>
    <w:p>
      <w:pPr>
        <w:pStyle w:val="BodyText"/>
        <w:spacing w:before="42"/>
        <w:rPr>
          <w:rFonts w:ascii="Arial"/>
          <w:b/>
          <w:sz w:val="18"/>
        </w:rPr>
      </w:pPr>
    </w:p>
    <w:p>
      <w:pPr>
        <w:pStyle w:val="Heading2"/>
      </w:pPr>
      <w:r>
        <w:rPr/>
        <w:t>18-</w:t>
      </w:r>
      <w:r>
        <w:rPr>
          <w:spacing w:val="-5"/>
        </w:rPr>
        <w:t>102</w:t>
      </w:r>
    </w:p>
    <w:p>
      <w:pPr>
        <w:pStyle w:val="BodyText"/>
        <w:spacing w:line="235" w:lineRule="auto" w:before="202"/>
        <w:ind w:left="164" w:right="167"/>
        <w:jc w:val="both"/>
      </w:pPr>
      <w:bookmarkStart w:name="_bookmark1175" w:id="1177"/>
      <w:bookmarkEnd w:id="1177"/>
      <w:r>
        <w:rPr/>
      </w:r>
      <w:r>
        <w:rPr/>
        <w:t>The</w:t>
      </w:r>
      <w:r>
        <w:rPr>
          <w:spacing w:val="-1"/>
        </w:rPr>
        <w:t> </w:t>
      </w:r>
      <w:r>
        <w:rPr/>
        <w:t>1999</w:t>
      </w:r>
      <w:r>
        <w:rPr>
          <w:spacing w:val="-1"/>
        </w:rPr>
        <w:t> </w:t>
      </w:r>
      <w:r>
        <w:rPr/>
        <w:t>Act</w:t>
      </w:r>
      <w:r>
        <w:rPr>
          <w:spacing w:val="-1"/>
        </w:rPr>
        <w:t> </w:t>
      </w:r>
      <w:r>
        <w:rPr/>
        <w:t>does</w:t>
      </w:r>
      <w:r>
        <w:rPr>
          <w:spacing w:val="-1"/>
        </w:rPr>
        <w:t> </w:t>
      </w:r>
      <w:r>
        <w:rPr/>
        <w:t>not</w:t>
      </w:r>
      <w:r>
        <w:rPr>
          <w:spacing w:val="-1"/>
        </w:rPr>
        <w:t> </w:t>
      </w:r>
      <w:r>
        <w:rPr/>
        <w:t>impose</w:t>
      </w:r>
      <w:r>
        <w:rPr>
          <w:spacing w:val="-1"/>
        </w:rPr>
        <w:t> </w:t>
      </w:r>
      <w:r>
        <w:rPr/>
        <w:t>any</w:t>
      </w:r>
      <w:r>
        <w:rPr>
          <w:spacing w:val="-1"/>
        </w:rPr>
        <w:t> </w:t>
      </w:r>
      <w:r>
        <w:rPr/>
        <w:t>requirement</w:t>
      </w:r>
      <w:r>
        <w:rPr>
          <w:spacing w:val="-1"/>
        </w:rPr>
        <w:t> </w:t>
      </w:r>
      <w:r>
        <w:rPr/>
        <w:t>that</w:t>
      </w:r>
      <w:r>
        <w:rPr>
          <w:spacing w:val="-1"/>
        </w:rPr>
        <w:t> </w:t>
      </w:r>
      <w:r>
        <w:rPr/>
        <w:t>consideration</w:t>
      </w:r>
      <w:r>
        <w:rPr>
          <w:spacing w:val="-1"/>
        </w:rPr>
        <w:t> </w:t>
      </w:r>
      <w:r>
        <w:rPr/>
        <w:t>for</w:t>
      </w:r>
      <w:r>
        <w:rPr>
          <w:spacing w:val="-1"/>
        </w:rPr>
        <w:t> </w:t>
      </w:r>
      <w:r>
        <w:rPr/>
        <w:t>A’s</w:t>
      </w:r>
      <w:r>
        <w:rPr>
          <w:spacing w:val="-1"/>
        </w:rPr>
        <w:t> </w:t>
      </w:r>
      <w:r>
        <w:rPr/>
        <w:t>promise</w:t>
      </w:r>
      <w:r>
        <w:rPr>
          <w:spacing w:val="-1"/>
        </w:rPr>
        <w:t> </w:t>
      </w:r>
      <w:r>
        <w:rPr/>
        <w:t>must</w:t>
      </w:r>
      <w:r>
        <w:rPr>
          <w:spacing w:val="-1"/>
        </w:rPr>
        <w:t> </w:t>
      </w:r>
      <w:r>
        <w:rPr/>
        <w:t>move</w:t>
      </w:r>
      <w:r>
        <w:rPr>
          <w:spacing w:val="-1"/>
        </w:rPr>
        <w:t> </w:t>
      </w:r>
      <w:r>
        <w:rPr/>
        <w:t>from</w:t>
      </w:r>
      <w:r>
        <w:rPr>
          <w:spacing w:val="-1"/>
        </w:rPr>
        <w:t> </w:t>
      </w:r>
      <w:r>
        <w:rPr/>
        <w:t>C. It does not expressly provide that there is no such requirement </w:t>
      </w:r>
      <w:r>
        <w:rPr>
          <w:color w:val="005DA1"/>
          <w:u w:val="single" w:color="005DA1"/>
          <w:vertAlign w:val="superscript"/>
        </w:rPr>
        <w:t>664</w:t>
      </w:r>
      <w:r>
        <w:rPr>
          <w:vertAlign w:val="baseline"/>
        </w:rPr>
        <w:t>; the consequence follows from the </w:t>
      </w:r>
      <w:bookmarkStart w:name="_bookmark1176" w:id="1178"/>
      <w:bookmarkEnd w:id="1178"/>
      <w:r>
        <w:rPr>
          <w:vertAlign w:val="baseline"/>
        </w:rPr>
        <w:t>fact</w:t>
      </w:r>
      <w:r>
        <w:rPr>
          <w:vertAlign w:val="baseline"/>
        </w:rPr>
        <w:t> that the Act gives C the right to enforce the term in question and is further supported by the general principle that C is not to be treated as a party to the contract between A and B. </w:t>
      </w:r>
      <w:r>
        <w:rPr>
          <w:color w:val="005DA1"/>
          <w:u w:val="single" w:color="005DA1"/>
          <w:vertAlign w:val="superscript"/>
        </w:rPr>
        <w:t>665</w:t>
      </w:r>
      <w:r>
        <w:rPr>
          <w:color w:val="005DA1"/>
          <w:vertAlign w:val="baseline"/>
        </w:rPr>
        <w:t> </w:t>
      </w:r>
      <w:r>
        <w:rPr>
          <w:vertAlign w:val="baseline"/>
        </w:rPr>
        <w:t>Since the promise in contracts of the kind in question is made to B, the fact that C need not provide any consideration for it is not strictly an exception to the rule that consideration must move </w:t>
      </w:r>
      <w:r>
        <w:rPr>
          <w:rFonts w:ascii="Arial" w:hAnsi="Arial"/>
          <w:i/>
          <w:vertAlign w:val="baseline"/>
        </w:rPr>
        <w:t>from the promisee</w:t>
      </w:r>
      <w:r>
        <w:rPr>
          <w:vertAlign w:val="baseline"/>
        </w:rPr>
        <w:t>, but it can be regarded as a quasi exception to that rule in the sense that C is a person in whose favour a promise is made and who can enforce it even though he may be no more than a gratuitous beneficiary.</w:t>
      </w:r>
    </w:p>
    <w:p>
      <w:pPr>
        <w:pStyle w:val="BodyText"/>
      </w:pPr>
    </w:p>
    <w:p>
      <w:pPr>
        <w:pStyle w:val="BodyText"/>
        <w:spacing w:before="35"/>
      </w:pPr>
    </w:p>
    <w:p>
      <w:pPr>
        <w:spacing w:before="1"/>
        <w:ind w:left="165" w:right="0" w:firstLine="0"/>
        <w:jc w:val="left"/>
        <w:rPr>
          <w:rFonts w:ascii="Arial"/>
          <w:b/>
          <w:sz w:val="18"/>
        </w:rPr>
      </w:pPr>
      <w:r>
        <w:rPr>
          <w:rFonts w:ascii="Arial"/>
          <w:b/>
          <w:sz w:val="18"/>
        </w:rPr>
        <w:t>Right to rescind or vary the contract by </w:t>
      </w:r>
      <w:r>
        <w:rPr>
          <w:rFonts w:ascii="Arial"/>
          <w:b/>
          <w:spacing w:val="-2"/>
          <w:sz w:val="18"/>
        </w:rPr>
        <w:t>agreement</w:t>
      </w:r>
    </w:p>
    <w:p>
      <w:pPr>
        <w:pStyle w:val="BodyText"/>
        <w:spacing w:before="41"/>
        <w:rPr>
          <w:rFonts w:ascii="Arial"/>
          <w:b/>
          <w:sz w:val="18"/>
        </w:rPr>
      </w:pPr>
    </w:p>
    <w:p>
      <w:pPr>
        <w:pStyle w:val="Heading2"/>
      </w:pPr>
      <w:r>
        <w:rPr/>
        <w:t>18-</w:t>
      </w:r>
      <w:r>
        <w:rPr>
          <w:spacing w:val="-5"/>
        </w:rPr>
        <w:t>103</w:t>
      </w:r>
    </w:p>
    <w:p>
      <w:pPr>
        <w:pStyle w:val="BodyText"/>
        <w:spacing w:line="235" w:lineRule="auto" w:before="203"/>
        <w:ind w:left="165" w:right="167"/>
        <w:jc w:val="both"/>
      </w:pPr>
      <w:r>
        <w:rPr/>
        <w:t>Under the judge-made rules relating to contracts for the benefit of third parties, one objection to </w:t>
      </w:r>
      <w:r>
        <w:rPr/>
        <w:t>the </w:t>
      </w:r>
      <w:bookmarkStart w:name="_bookmark1177" w:id="1179"/>
      <w:bookmarkEnd w:id="1179"/>
      <w:r>
        <w:rPr/>
        <w:t>creation</w:t>
      </w:r>
      <w:r>
        <w:rPr/>
        <w:t> of such rights has been that it would deprive the contracting parties of their right to rescind or vary the contract by mutual consent. </w:t>
      </w:r>
      <w:r>
        <w:rPr>
          <w:color w:val="005DA1"/>
          <w:u w:val="single" w:color="005DA1"/>
          <w:vertAlign w:val="superscript"/>
        </w:rPr>
        <w:t>666</w:t>
      </w:r>
      <w:r>
        <w:rPr>
          <w:color w:val="005DA1"/>
          <w:vertAlign w:val="baseline"/>
        </w:rPr>
        <w:t> </w:t>
      </w:r>
      <w:r>
        <w:rPr>
          <w:vertAlign w:val="baseline"/>
        </w:rPr>
        <w:t>The 1999 Act deals with this problem by means of a compromise:</w:t>
      </w:r>
      <w:r>
        <w:rPr>
          <w:spacing w:val="-2"/>
          <w:vertAlign w:val="baseline"/>
        </w:rPr>
        <w:t> </w:t>
      </w:r>
      <w:r>
        <w:rPr>
          <w:vertAlign w:val="baseline"/>
        </w:rPr>
        <w:t>it</w:t>
      </w:r>
      <w:r>
        <w:rPr>
          <w:spacing w:val="-2"/>
          <w:vertAlign w:val="baseline"/>
        </w:rPr>
        <w:t> </w:t>
      </w:r>
      <w:r>
        <w:rPr>
          <w:vertAlign w:val="baseline"/>
        </w:rPr>
        <w:t>specifies</w:t>
      </w:r>
      <w:r>
        <w:rPr>
          <w:spacing w:val="-2"/>
          <w:vertAlign w:val="baseline"/>
        </w:rPr>
        <w:t> </w:t>
      </w:r>
      <w:r>
        <w:rPr>
          <w:vertAlign w:val="baseline"/>
        </w:rPr>
        <w:t>the</w:t>
      </w:r>
      <w:r>
        <w:rPr>
          <w:spacing w:val="-2"/>
          <w:vertAlign w:val="baseline"/>
        </w:rPr>
        <w:t> </w:t>
      </w:r>
      <w:r>
        <w:rPr>
          <w:vertAlign w:val="baseline"/>
        </w:rPr>
        <w:t>circumstances</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A</w:t>
      </w:r>
      <w:r>
        <w:rPr>
          <w:spacing w:val="-2"/>
          <w:vertAlign w:val="baseline"/>
        </w:rPr>
        <w:t> </w:t>
      </w:r>
      <w:r>
        <w:rPr>
          <w:vertAlign w:val="baseline"/>
        </w:rPr>
        <w:t>and</w:t>
      </w:r>
      <w:r>
        <w:rPr>
          <w:spacing w:val="-2"/>
          <w:vertAlign w:val="baseline"/>
        </w:rPr>
        <w:t> </w:t>
      </w:r>
      <w:r>
        <w:rPr>
          <w:vertAlign w:val="baseline"/>
        </w:rPr>
        <w:t>B,</w:t>
      </w:r>
      <w:r>
        <w:rPr>
          <w:spacing w:val="-2"/>
          <w:vertAlign w:val="baseline"/>
        </w:rPr>
        <w:t> </w:t>
      </w:r>
      <w:r>
        <w:rPr>
          <w:rFonts w:ascii="Arial"/>
          <w:i/>
          <w:vertAlign w:val="baseline"/>
        </w:rPr>
        <w:t>prima</w:t>
      </w:r>
      <w:r>
        <w:rPr>
          <w:rFonts w:ascii="Arial"/>
          <w:i/>
          <w:spacing w:val="-2"/>
          <w:vertAlign w:val="baseline"/>
        </w:rPr>
        <w:t> </w:t>
      </w:r>
      <w:r>
        <w:rPr>
          <w:rFonts w:ascii="Arial"/>
          <w:i/>
          <w:vertAlign w:val="baseline"/>
        </w:rPr>
        <w:t>facie</w:t>
      </w:r>
      <w:r>
        <w:rPr>
          <w:vertAlign w:val="baseline"/>
        </w:rPr>
        <w:t>,</w:t>
      </w:r>
      <w:r>
        <w:rPr>
          <w:spacing w:val="-2"/>
          <w:vertAlign w:val="baseline"/>
        </w:rPr>
        <w:t> </w:t>
      </w:r>
      <w:r>
        <w:rPr>
          <w:vertAlign w:val="baseline"/>
        </w:rPr>
        <w:t>lose</w:t>
      </w:r>
      <w:r>
        <w:rPr>
          <w:spacing w:val="-2"/>
          <w:vertAlign w:val="baseline"/>
        </w:rPr>
        <w:t> </w:t>
      </w:r>
      <w:r>
        <w:rPr>
          <w:vertAlign w:val="baseline"/>
        </w:rPr>
        <w:t>this</w:t>
      </w:r>
      <w:r>
        <w:rPr>
          <w:spacing w:val="-2"/>
          <w:vertAlign w:val="baseline"/>
        </w:rPr>
        <w:t> </w:t>
      </w:r>
      <w:r>
        <w:rPr>
          <w:vertAlign w:val="baseline"/>
        </w:rPr>
        <w:t>right,</w:t>
      </w:r>
      <w:r>
        <w:rPr>
          <w:spacing w:val="-2"/>
          <w:vertAlign w:val="baseline"/>
        </w:rPr>
        <w:t> </w:t>
      </w:r>
      <w:r>
        <w:rPr>
          <w:vertAlign w:val="baseline"/>
        </w:rPr>
        <w:t>while</w:t>
      </w:r>
      <w:r>
        <w:rPr>
          <w:spacing w:val="-2"/>
          <w:vertAlign w:val="baseline"/>
        </w:rPr>
        <w:t> </w:t>
      </w:r>
      <w:r>
        <w:rPr>
          <w:vertAlign w:val="baseline"/>
        </w:rPr>
        <w:t>it</w:t>
      </w:r>
      <w:r>
        <w:rPr>
          <w:spacing w:val="-2"/>
          <w:vertAlign w:val="baseline"/>
        </w:rPr>
        <w:t> </w:t>
      </w:r>
      <w:r>
        <w:rPr>
          <w:vertAlign w:val="baseline"/>
        </w:rPr>
        <w:t>at</w:t>
      </w:r>
      <w:r>
        <w:rPr>
          <w:spacing w:val="-2"/>
          <w:vertAlign w:val="baseline"/>
        </w:rPr>
        <w:t> </w:t>
      </w:r>
      <w:r>
        <w:rPr>
          <w:vertAlign w:val="baseline"/>
        </w:rPr>
        <w:t>the same</w:t>
      </w:r>
      <w:r>
        <w:rPr>
          <w:spacing w:val="-2"/>
          <w:vertAlign w:val="baseline"/>
        </w:rPr>
        <w:t> </w:t>
      </w:r>
      <w:r>
        <w:rPr>
          <w:vertAlign w:val="baseline"/>
        </w:rPr>
        <w:t>time</w:t>
      </w:r>
      <w:r>
        <w:rPr>
          <w:spacing w:val="-2"/>
          <w:vertAlign w:val="baseline"/>
        </w:rPr>
        <w:t> </w:t>
      </w:r>
      <w:r>
        <w:rPr>
          <w:vertAlign w:val="baseline"/>
        </w:rPr>
        <w:t>enables</w:t>
      </w:r>
      <w:r>
        <w:rPr>
          <w:spacing w:val="-2"/>
          <w:vertAlign w:val="baseline"/>
        </w:rPr>
        <w:t> </w:t>
      </w:r>
      <w:r>
        <w:rPr>
          <w:vertAlign w:val="baseline"/>
        </w:rPr>
        <w:t>them</w:t>
      </w:r>
      <w:r>
        <w:rPr>
          <w:spacing w:val="-2"/>
          <w:vertAlign w:val="baseline"/>
        </w:rPr>
        <w:t> </w:t>
      </w:r>
      <w:r>
        <w:rPr>
          <w:vertAlign w:val="baseline"/>
        </w:rPr>
        <w:t>so</w:t>
      </w:r>
      <w:r>
        <w:rPr>
          <w:spacing w:val="-2"/>
          <w:vertAlign w:val="baseline"/>
        </w:rPr>
        <w:t> </w:t>
      </w:r>
      <w:r>
        <w:rPr>
          <w:vertAlign w:val="baseline"/>
        </w:rPr>
        <w:t>to</w:t>
      </w:r>
      <w:r>
        <w:rPr>
          <w:spacing w:val="-2"/>
          <w:vertAlign w:val="baseline"/>
        </w:rPr>
        <w:t> </w:t>
      </w:r>
      <w:r>
        <w:rPr>
          <w:vertAlign w:val="baseline"/>
        </w:rPr>
        <w:t>draw</w:t>
      </w:r>
      <w:r>
        <w:rPr>
          <w:spacing w:val="-2"/>
          <w:vertAlign w:val="baseline"/>
        </w:rPr>
        <w:t> </w:t>
      </w:r>
      <w:r>
        <w:rPr>
          <w:vertAlign w:val="baseline"/>
        </w:rPr>
        <w:t>up</w:t>
      </w:r>
      <w:r>
        <w:rPr>
          <w:spacing w:val="-2"/>
          <w:vertAlign w:val="baseline"/>
        </w:rPr>
        <w:t> </w:t>
      </w:r>
      <w:r>
        <w:rPr>
          <w:vertAlign w:val="baseline"/>
        </w:rPr>
        <w:t>their</w:t>
      </w:r>
      <w:r>
        <w:rPr>
          <w:spacing w:val="-2"/>
          <w:vertAlign w:val="baseline"/>
        </w:rPr>
        <w:t> </w:t>
      </w:r>
      <w:r>
        <w:rPr>
          <w:vertAlign w:val="baseline"/>
        </w:rPr>
        <w:t>contract</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retain</w:t>
      </w:r>
      <w:r>
        <w:rPr>
          <w:spacing w:val="-2"/>
          <w:vertAlign w:val="baseline"/>
        </w:rPr>
        <w:t> </w:t>
      </w:r>
      <w:r>
        <w:rPr>
          <w:vertAlign w:val="baseline"/>
        </w:rPr>
        <w:t>the</w:t>
      </w:r>
      <w:r>
        <w:rPr>
          <w:spacing w:val="-2"/>
          <w:vertAlign w:val="baseline"/>
        </w:rPr>
        <w:t> </w:t>
      </w:r>
      <w:r>
        <w:rPr>
          <w:vertAlign w:val="baseline"/>
        </w:rPr>
        <w:t>right</w:t>
      </w:r>
      <w:r>
        <w:rPr>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change</w:t>
      </w:r>
      <w:r>
        <w:rPr>
          <w:spacing w:val="-2"/>
          <w:vertAlign w:val="baseline"/>
        </w:rPr>
        <w:t> </w:t>
      </w:r>
      <w:r>
        <w:rPr>
          <w:vertAlign w:val="baseline"/>
        </w:rPr>
        <w:t>the</w:t>
      </w:r>
      <w:r>
        <w:rPr>
          <w:spacing w:val="-3"/>
          <w:vertAlign w:val="baseline"/>
        </w:rPr>
        <w:t> </w:t>
      </w:r>
      <w:r>
        <w:rPr>
          <w:rFonts w:ascii="Arial"/>
          <w:i/>
          <w:vertAlign w:val="baseline"/>
        </w:rPr>
        <w:t>prima</w:t>
      </w:r>
      <w:r>
        <w:rPr>
          <w:rFonts w:ascii="Arial"/>
          <w:i/>
          <w:spacing w:val="-2"/>
          <w:vertAlign w:val="baseline"/>
        </w:rPr>
        <w:t> </w:t>
      </w:r>
      <w:r>
        <w:rPr>
          <w:rFonts w:ascii="Arial"/>
          <w:i/>
          <w:vertAlign w:val="baseline"/>
        </w:rPr>
        <w:t>facie </w:t>
      </w:r>
      <w:r>
        <w:rPr>
          <w:vertAlign w:val="baseline"/>
        </w:rPr>
        <w:t>rules laid down in the Act which specify when that right is lost.</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General rule: C’s consent </w:t>
      </w:r>
      <w:r>
        <w:rPr>
          <w:rFonts w:ascii="Arial" w:hAnsi="Arial"/>
          <w:b/>
          <w:spacing w:val="-2"/>
          <w:sz w:val="18"/>
        </w:rPr>
        <w:t>required</w:t>
      </w:r>
    </w:p>
    <w:p>
      <w:pPr>
        <w:pStyle w:val="BodyText"/>
        <w:spacing w:before="41"/>
        <w:rPr>
          <w:rFonts w:ascii="Arial"/>
          <w:b/>
          <w:sz w:val="18"/>
        </w:rPr>
      </w:pPr>
    </w:p>
    <w:p>
      <w:pPr>
        <w:pStyle w:val="Heading2"/>
      </w:pPr>
      <w:r>
        <w:rPr/>
        <w:t>18-</w:t>
      </w:r>
      <w:r>
        <w:rPr>
          <w:spacing w:val="-5"/>
        </w:rPr>
        <w:t>104</w:t>
      </w:r>
    </w:p>
    <w:p>
      <w:pPr>
        <w:pStyle w:val="BodyText"/>
        <w:spacing w:line="235" w:lineRule="auto" w:before="203"/>
        <w:ind w:left="165" w:right="167"/>
        <w:jc w:val="both"/>
      </w:pPr>
      <w:r>
        <w:rPr/>
        <w:t>The general rule, stated in s.2(1) of the 1999 Act, is that, once C has acquired the right to enforce </w:t>
      </w:r>
      <w:r>
        <w:rPr/>
        <w:t>a term of the contract between A and B “under section 1”, then, if one of the circumstances to be described in para.18-105 and 18-106 below has arisen, A and B may not, without C’s consent, by agreement rescind or vary the contract so as to “extinguish or alter” C’s “entitlement under that right”. Rescission calls for no further comment here; but with regard to variation it should be noted that A</w:t>
      </w:r>
      <w:r>
        <w:rPr>
          <w:spacing w:val="40"/>
        </w:rPr>
        <w:t> </w:t>
      </w:r>
      <w:r>
        <w:rPr/>
        <w:t>and B are, under the general rule in s.2(1), precluded from varying the contract not only so as to extinguish but also so as to alter C’s rights. An alteration may of course operate, not only to C’s prejudice, but also to his advantage: e.g. where it purports to increase payments to be made to C under the term in question. Such a variation is unlikely to give rise to any problems between A and C, since C will presumably consent to it as soon as he hears of it. But the argument that C is entitled to </w:t>
      </w:r>
      <w:bookmarkStart w:name="_bookmark1178" w:id="1180"/>
      <w:bookmarkEnd w:id="1180"/>
      <w:r>
        <w:rPr/>
        <w:t>enforce</w:t>
      </w:r>
      <w:r>
        <w:rPr/>
        <w:t> a term of a contract between A and B can also give rise to problems between one of these parties and outside interests: e.g. creditors of B in the event of B’s insolvency. </w:t>
      </w:r>
      <w:r>
        <w:rPr>
          <w:color w:val="005DA1"/>
          <w:u w:val="single" w:color="005DA1"/>
          <w:vertAlign w:val="superscript"/>
        </w:rPr>
        <w:t>667</w:t>
      </w:r>
      <w:r>
        <w:rPr>
          <w:color w:val="005DA1"/>
          <w:vertAlign w:val="baseline"/>
        </w:rPr>
        <w:t> </w:t>
      </w:r>
      <w:r>
        <w:rPr>
          <w:vertAlign w:val="baseline"/>
        </w:rPr>
        <w:t>Such persons may seek to invoke s.2(1) where the variation increases C’s rights but where, on the crucial date for the </w:t>
      </w:r>
      <w:bookmarkStart w:name="_bookmark1179" w:id="1181"/>
      <w:bookmarkEnd w:id="1181"/>
      <w:r>
        <w:rPr>
          <w:vertAlign w:val="baseline"/>
        </w:rPr>
        <w:t>assertion</w:t>
      </w:r>
      <w:r>
        <w:rPr>
          <w:vertAlign w:val="baseline"/>
        </w:rPr>
        <w:t> of their rights, C has either not yet acquired any knowledge of the variation or has not yet made any communication to A or done any other act from which his assent to the variation </w:t>
      </w:r>
      <w:r>
        <w:rPr>
          <w:color w:val="005DA1"/>
          <w:u w:val="single" w:color="005DA1"/>
          <w:vertAlign w:val="superscript"/>
        </w:rPr>
        <w:t>668</w:t>
      </w:r>
      <w:r>
        <w:rPr>
          <w:color w:val="005DA1"/>
          <w:vertAlign w:val="baseline"/>
        </w:rPr>
        <w:t> </w:t>
      </w:r>
      <w:r>
        <w:rPr>
          <w:vertAlign w:val="baseline"/>
        </w:rPr>
        <w:t>can be </w:t>
      </w:r>
      <w:r>
        <w:rPr>
          <w:spacing w:val="-2"/>
          <w:vertAlign w:val="baseline"/>
        </w:rPr>
        <w:t>inferred.</w:t>
      </w:r>
    </w:p>
    <w:p>
      <w:pPr>
        <w:pStyle w:val="BodyText"/>
      </w:pPr>
    </w:p>
    <w:p>
      <w:pPr>
        <w:pStyle w:val="BodyText"/>
        <w:spacing w:before="32"/>
      </w:pPr>
    </w:p>
    <w:p>
      <w:pPr>
        <w:spacing w:before="0"/>
        <w:ind w:left="165" w:right="0" w:firstLine="0"/>
        <w:jc w:val="left"/>
        <w:rPr>
          <w:rFonts w:ascii="Arial" w:hAnsi="Arial"/>
          <w:b/>
          <w:sz w:val="18"/>
        </w:rPr>
      </w:pPr>
      <w:r>
        <w:rPr>
          <w:rFonts w:ascii="Arial" w:hAnsi="Arial"/>
          <w:b/>
          <w:sz w:val="18"/>
        </w:rPr>
        <w:t>Third party’s assent to the </w:t>
      </w:r>
      <w:r>
        <w:rPr>
          <w:rFonts w:ascii="Arial" w:hAnsi="Arial"/>
          <w:b/>
          <w:spacing w:val="-4"/>
          <w:sz w:val="18"/>
        </w:rPr>
        <w:t>term</w:t>
      </w:r>
    </w:p>
    <w:p>
      <w:pPr>
        <w:pStyle w:val="BodyText"/>
        <w:spacing w:before="42"/>
        <w:rPr>
          <w:rFonts w:ascii="Arial"/>
          <w:b/>
          <w:sz w:val="18"/>
        </w:rPr>
      </w:pPr>
    </w:p>
    <w:p>
      <w:pPr>
        <w:pStyle w:val="Heading2"/>
      </w:pPr>
      <w:r>
        <w:rPr/>
        <w:t>18-</w:t>
      </w:r>
      <w:r>
        <w:rPr>
          <w:spacing w:val="-5"/>
        </w:rPr>
        <w:t>105</w:t>
      </w:r>
    </w:p>
    <w:p>
      <w:pPr>
        <w:pStyle w:val="Heading2"/>
        <w:spacing w:after="0"/>
        <w:sectPr>
          <w:pgSz w:w="11900" w:h="16840"/>
          <w:pgMar w:header="971" w:footer="0" w:top="1160" w:bottom="280" w:left="1275" w:right="1275"/>
        </w:sectPr>
      </w:pPr>
    </w:p>
    <w:p>
      <w:pPr>
        <w:pStyle w:val="BodyText"/>
        <w:spacing w:before="124"/>
        <w:rPr>
          <w:rFonts w:ascii="Arial"/>
          <w:b/>
        </w:rPr>
      </w:pPr>
    </w:p>
    <w:p>
      <w:pPr>
        <w:pStyle w:val="BodyText"/>
        <w:spacing w:line="235" w:lineRule="auto" w:before="1"/>
        <w:ind w:left="165" w:right="167"/>
        <w:jc w:val="both"/>
      </w:pPr>
      <w:r>
        <w:rPr/>
        <w:t>The first of the circumstances (referred to in para.18-104 above) in which A and B may not, </w:t>
      </w:r>
      <w:r>
        <w:rPr/>
        <w:t>without </w:t>
      </w:r>
      <w:bookmarkStart w:name="_bookmark1180" w:id="1182"/>
      <w:bookmarkEnd w:id="1182"/>
      <w:r>
        <w:rPr/>
        <w:t>C’s</w:t>
      </w:r>
      <w:r>
        <w:rPr/>
        <w:t> consent, agree to rescind the contract, or to vary it in the ways described in para.18-104 above </w:t>
      </w:r>
      <w:bookmarkStart w:name="_bookmark1181" w:id="1183"/>
      <w:bookmarkEnd w:id="1183"/>
      <w:r>
        <w:rPr/>
        <w:t>arises</w:t>
      </w:r>
      <w:r>
        <w:rPr/>
        <w:t> where C has communicated his assent to the term to A </w:t>
      </w:r>
      <w:r>
        <w:rPr>
          <w:color w:val="005DA1"/>
          <w:u w:val="single" w:color="005DA1"/>
          <w:vertAlign w:val="superscript"/>
        </w:rPr>
        <w:t>669</w:t>
      </w:r>
      <w:r>
        <w:rPr>
          <w:vertAlign w:val="baseline"/>
        </w:rPr>
        <w:t>; communication to B does not</w:t>
      </w:r>
      <w:r>
        <w:rPr>
          <w:spacing w:val="40"/>
          <w:vertAlign w:val="baseline"/>
        </w:rPr>
        <w:t> </w:t>
      </w:r>
      <w:bookmarkStart w:name="_bookmark1182" w:id="1184"/>
      <w:bookmarkEnd w:id="1184"/>
      <w:r>
        <w:rPr>
          <w:vertAlign w:val="baseline"/>
        </w:rPr>
        <w:t>suffice</w:t>
      </w:r>
      <w:r>
        <w:rPr>
          <w:vertAlign w:val="baseline"/>
        </w:rPr>
        <w:t> for this purpose. </w:t>
      </w:r>
      <w:r>
        <w:rPr>
          <w:color w:val="005DA1"/>
          <w:u w:val="single" w:color="005DA1"/>
          <w:vertAlign w:val="superscript"/>
        </w:rPr>
        <w:t>670</w:t>
      </w:r>
      <w:r>
        <w:rPr>
          <w:color w:val="005DA1"/>
          <w:vertAlign w:val="baseline"/>
        </w:rPr>
        <w:t> </w:t>
      </w:r>
      <w:r>
        <w:rPr>
          <w:vertAlign w:val="baseline"/>
        </w:rPr>
        <w:t>The assent may be by words or conduct </w:t>
      </w:r>
      <w:r>
        <w:rPr>
          <w:color w:val="005DA1"/>
          <w:u w:val="single" w:color="005DA1"/>
          <w:vertAlign w:val="superscript"/>
        </w:rPr>
        <w:t>671</w:t>
      </w:r>
      <w:r>
        <w:rPr>
          <w:vertAlign w:val="baseline"/>
        </w:rPr>
        <w:t>; and if it is “sent” to A by post </w:t>
      </w:r>
      <w:bookmarkStart w:name="_bookmark1183" w:id="1185"/>
      <w:bookmarkEnd w:id="1185"/>
      <w:r>
        <w:rPr>
          <w:vertAlign w:val="baseline"/>
        </w:rPr>
        <w:t>or</w:t>
      </w:r>
      <w:r>
        <w:rPr>
          <w:vertAlign w:val="baseline"/>
        </w:rPr>
        <w:t> other means, it is not regarded as communicated to him “until received by him.” </w:t>
      </w:r>
      <w:r>
        <w:rPr>
          <w:color w:val="005DA1"/>
          <w:u w:val="single" w:color="005DA1"/>
          <w:vertAlign w:val="superscript"/>
        </w:rPr>
        <w:t>672</w:t>
      </w:r>
      <w:r>
        <w:rPr>
          <w:color w:val="005DA1"/>
          <w:vertAlign w:val="baseline"/>
        </w:rPr>
        <w:t> </w:t>
      </w:r>
      <w:r>
        <w:rPr>
          <w:vertAlign w:val="baseline"/>
        </w:rPr>
        <w:t>In other words, the “posting” rule, as developed in cases of contract formation </w:t>
      </w:r>
      <w:r>
        <w:rPr>
          <w:color w:val="005DA1"/>
          <w:u w:val="single" w:color="005DA1"/>
          <w:vertAlign w:val="superscript"/>
        </w:rPr>
        <w:t>673</w:t>
      </w:r>
      <w:r>
        <w:rPr>
          <w:color w:val="005DA1"/>
          <w:vertAlign w:val="baseline"/>
        </w:rPr>
        <w:t> </w:t>
      </w:r>
      <w:r>
        <w:rPr>
          <w:vertAlign w:val="baseline"/>
        </w:rPr>
        <w:t>does not apply in the present context. “Sent” here seems to refer to some act done by C in order to communicate words of assent</w:t>
      </w:r>
      <w:r>
        <w:rPr>
          <w:spacing w:val="40"/>
          <w:vertAlign w:val="baseline"/>
        </w:rPr>
        <w:t> </w:t>
      </w:r>
      <w:r>
        <w:rPr>
          <w:vertAlign w:val="baseline"/>
        </w:rPr>
        <w:t>to A. The rule relating to an assent “sent” to A by post or other means is negative in nature: it states that the assent is not communicated to A until received by him. It thus leaves open the question whether</w:t>
      </w:r>
      <w:r>
        <w:rPr>
          <w:spacing w:val="13"/>
          <w:vertAlign w:val="baseline"/>
        </w:rPr>
        <w:t> </w:t>
      </w:r>
      <w:r>
        <w:rPr>
          <w:vertAlign w:val="baseline"/>
        </w:rPr>
        <w:t>an</w:t>
      </w:r>
      <w:r>
        <w:rPr>
          <w:spacing w:val="13"/>
          <w:vertAlign w:val="baseline"/>
        </w:rPr>
        <w:t> </w:t>
      </w:r>
      <w:r>
        <w:rPr>
          <w:vertAlign w:val="baseline"/>
        </w:rPr>
        <w:t>assent</w:t>
      </w:r>
      <w:r>
        <w:rPr>
          <w:spacing w:val="13"/>
          <w:vertAlign w:val="baseline"/>
        </w:rPr>
        <w:t> </w:t>
      </w:r>
      <w:r>
        <w:rPr>
          <w:vertAlign w:val="baseline"/>
        </w:rPr>
        <w:t>which</w:t>
      </w:r>
      <w:r>
        <w:rPr>
          <w:spacing w:val="13"/>
          <w:vertAlign w:val="baseline"/>
        </w:rPr>
        <w:t> </w:t>
      </w:r>
      <w:r>
        <w:rPr>
          <w:vertAlign w:val="baseline"/>
        </w:rPr>
        <w:t>has</w:t>
      </w:r>
      <w:r>
        <w:rPr>
          <w:spacing w:val="13"/>
          <w:vertAlign w:val="baseline"/>
        </w:rPr>
        <w:t> </w:t>
      </w:r>
      <w:r>
        <w:rPr>
          <w:vertAlign w:val="baseline"/>
        </w:rPr>
        <w:t>been</w:t>
      </w:r>
      <w:r>
        <w:rPr>
          <w:spacing w:val="13"/>
          <w:vertAlign w:val="baseline"/>
        </w:rPr>
        <w:t> </w:t>
      </w:r>
      <w:r>
        <w:rPr>
          <w:vertAlign w:val="baseline"/>
        </w:rPr>
        <w:t>so</w:t>
      </w:r>
      <w:r>
        <w:rPr>
          <w:spacing w:val="13"/>
          <w:vertAlign w:val="baseline"/>
        </w:rPr>
        <w:t> </w:t>
      </w:r>
      <w:r>
        <w:rPr>
          <w:vertAlign w:val="baseline"/>
        </w:rPr>
        <w:t>sent</w:t>
      </w:r>
      <w:r>
        <w:rPr>
          <w:spacing w:val="13"/>
          <w:vertAlign w:val="baseline"/>
        </w:rPr>
        <w:t> </w:t>
      </w:r>
      <w:r>
        <w:rPr>
          <w:vertAlign w:val="baseline"/>
        </w:rPr>
        <w:t>can</w:t>
      </w:r>
      <w:r>
        <w:rPr>
          <w:spacing w:val="13"/>
          <w:vertAlign w:val="baseline"/>
        </w:rPr>
        <w:t> </w:t>
      </w:r>
      <w:r>
        <w:rPr>
          <w:vertAlign w:val="baseline"/>
        </w:rPr>
        <w:t>take</w:t>
      </w:r>
      <w:r>
        <w:rPr>
          <w:spacing w:val="13"/>
          <w:vertAlign w:val="baseline"/>
        </w:rPr>
        <w:t> </w:t>
      </w:r>
      <w:r>
        <w:rPr>
          <w:vertAlign w:val="baseline"/>
        </w:rPr>
        <w:t>effect</w:t>
      </w:r>
      <w:r>
        <w:rPr>
          <w:spacing w:val="13"/>
          <w:vertAlign w:val="baseline"/>
        </w:rPr>
        <w:t> </w:t>
      </w:r>
      <w:r>
        <w:rPr>
          <w:vertAlign w:val="baseline"/>
        </w:rPr>
        <w:t>before</w:t>
      </w:r>
      <w:r>
        <w:rPr>
          <w:spacing w:val="13"/>
          <w:vertAlign w:val="baseline"/>
        </w:rPr>
        <w:t> </w:t>
      </w:r>
      <w:r>
        <w:rPr>
          <w:vertAlign w:val="baseline"/>
        </w:rPr>
        <w:t>it</w:t>
      </w:r>
      <w:r>
        <w:rPr>
          <w:spacing w:val="13"/>
          <w:vertAlign w:val="baseline"/>
        </w:rPr>
        <w:t> </w:t>
      </w:r>
      <w:r>
        <w:rPr>
          <w:vertAlign w:val="baseline"/>
        </w:rPr>
        <w:t>has</w:t>
      </w:r>
      <w:r>
        <w:rPr>
          <w:spacing w:val="13"/>
          <w:vertAlign w:val="baseline"/>
        </w:rPr>
        <w:t> </w:t>
      </w:r>
      <w:r>
        <w:rPr>
          <w:vertAlign w:val="baseline"/>
        </w:rPr>
        <w:t>actually</w:t>
      </w:r>
      <w:r>
        <w:rPr>
          <w:spacing w:val="13"/>
          <w:vertAlign w:val="baseline"/>
        </w:rPr>
        <w:t> </w:t>
      </w:r>
      <w:r>
        <w:rPr>
          <w:vertAlign w:val="baseline"/>
        </w:rPr>
        <w:t>come</w:t>
      </w:r>
      <w:r>
        <w:rPr>
          <w:spacing w:val="13"/>
          <w:vertAlign w:val="baseline"/>
        </w:rPr>
        <w:t> </w:t>
      </w:r>
      <w:r>
        <w:rPr>
          <w:vertAlign w:val="baseline"/>
        </w:rPr>
        <w:t>to</w:t>
      </w:r>
      <w:r>
        <w:rPr>
          <w:spacing w:val="13"/>
          <w:vertAlign w:val="baseline"/>
        </w:rPr>
        <w:t> </w:t>
      </w:r>
      <w:r>
        <w:rPr>
          <w:vertAlign w:val="baseline"/>
        </w:rPr>
        <w:t>A’s</w:t>
      </w:r>
      <w:r>
        <w:rPr>
          <w:spacing w:val="13"/>
          <w:vertAlign w:val="baseline"/>
        </w:rPr>
        <w:t> </w:t>
      </w:r>
      <w:r>
        <w:rPr>
          <w:spacing w:val="-2"/>
          <w:vertAlign w:val="baseline"/>
        </w:rPr>
        <w:t>notice:</w:t>
      </w:r>
    </w:p>
    <w:p>
      <w:pPr>
        <w:pStyle w:val="BodyText"/>
        <w:spacing w:line="235" w:lineRule="auto"/>
        <w:ind w:left="165" w:right="167"/>
        <w:jc w:val="both"/>
      </w:pPr>
      <w:r>
        <w:rPr/>
        <w:t>e.g. where it has been delivered to his address but not yet been read by him. If the overriding requirement is one of communication, it may not be satisfied in such a case. The expression </w:t>
      </w:r>
      <w:r>
        <w:rPr/>
        <w:t>“sent” also does not seem to be appropriate to refer to an assent by conduct; but it seems that such an </w:t>
      </w:r>
      <w:bookmarkStart w:name="_bookmark1184" w:id="1186"/>
      <w:bookmarkEnd w:id="1186"/>
      <w:r>
        <w:rPr/>
        <w:t>assent</w:t>
      </w:r>
      <w:r>
        <w:rPr/>
        <w:t> must come to A’s notice: this seems to follow from the general requirement that C’s assent </w:t>
      </w:r>
      <w:bookmarkStart w:name="_bookmark1185" w:id="1187"/>
      <w:bookmarkEnd w:id="1187"/>
      <w:r>
        <w:rPr/>
        <w:t>must</w:t>
      </w:r>
      <w:r>
        <w:rPr/>
        <w:t> be “communicated” </w:t>
      </w:r>
      <w:r>
        <w:rPr>
          <w:color w:val="005DA1"/>
          <w:u w:val="single" w:color="005DA1"/>
          <w:vertAlign w:val="superscript"/>
        </w:rPr>
        <w:t>674</w:t>
      </w:r>
      <w:r>
        <w:rPr>
          <w:color w:val="005DA1"/>
          <w:vertAlign w:val="baseline"/>
        </w:rPr>
        <w:t> </w:t>
      </w:r>
      <w:r>
        <w:rPr>
          <w:vertAlign w:val="baseline"/>
        </w:rPr>
        <w:t>to A. No formality (such as writing) is required even for an assent </w:t>
      </w:r>
      <w:r>
        <w:rPr>
          <w:vertAlign w:val="baseline"/>
        </w:rPr>
        <w:t>in words, </w:t>
      </w:r>
      <w:r>
        <w:rPr>
          <w:color w:val="005DA1"/>
          <w:u w:val="single" w:color="005DA1"/>
          <w:vertAlign w:val="superscript"/>
        </w:rPr>
        <w:t>675</w:t>
      </w:r>
      <w:r>
        <w:rPr>
          <w:color w:val="005DA1"/>
          <w:vertAlign w:val="baseline"/>
        </w:rPr>
        <w:t> </w:t>
      </w:r>
      <w:r>
        <w:rPr>
          <w:vertAlign w:val="baseline"/>
        </w:rPr>
        <w:t>so that an oral communication suffices.</w:t>
      </w:r>
    </w:p>
    <w:p>
      <w:pPr>
        <w:pStyle w:val="BodyText"/>
      </w:pPr>
    </w:p>
    <w:p>
      <w:pPr>
        <w:pStyle w:val="BodyText"/>
        <w:spacing w:before="32"/>
      </w:pPr>
    </w:p>
    <w:p>
      <w:pPr>
        <w:spacing w:before="0"/>
        <w:ind w:left="165" w:right="0" w:firstLine="0"/>
        <w:jc w:val="left"/>
        <w:rPr>
          <w:rFonts w:ascii="Arial" w:hAnsi="Arial"/>
          <w:b/>
          <w:sz w:val="18"/>
        </w:rPr>
      </w:pPr>
      <w:r>
        <w:rPr>
          <w:rFonts w:ascii="Arial" w:hAnsi="Arial"/>
          <w:b/>
          <w:sz w:val="18"/>
        </w:rPr>
        <w:t>Third party’s </w:t>
      </w:r>
      <w:r>
        <w:rPr>
          <w:rFonts w:ascii="Arial" w:hAnsi="Arial"/>
          <w:b/>
          <w:spacing w:val="-2"/>
          <w:sz w:val="18"/>
        </w:rPr>
        <w:t>reliance</w:t>
      </w:r>
    </w:p>
    <w:p>
      <w:pPr>
        <w:pStyle w:val="BodyText"/>
        <w:spacing w:before="41"/>
        <w:rPr>
          <w:rFonts w:ascii="Arial"/>
          <w:b/>
          <w:sz w:val="18"/>
        </w:rPr>
      </w:pPr>
    </w:p>
    <w:p>
      <w:pPr>
        <w:pStyle w:val="Heading2"/>
        <w:spacing w:before="1"/>
      </w:pPr>
      <w:r>
        <w:rPr/>
        <w:t>18-</w:t>
      </w:r>
      <w:r>
        <w:rPr>
          <w:spacing w:val="-5"/>
        </w:rPr>
        <w:t>106</w:t>
      </w:r>
    </w:p>
    <w:p>
      <w:pPr>
        <w:pStyle w:val="BodyText"/>
        <w:spacing w:line="235" w:lineRule="auto" w:before="202"/>
        <w:ind w:left="165" w:right="167"/>
        <w:jc w:val="both"/>
      </w:pPr>
      <w:bookmarkStart w:name="_bookmark1186" w:id="1188"/>
      <w:bookmarkEnd w:id="1188"/>
      <w:r>
        <w:rPr/>
      </w:r>
      <w:r>
        <w:rPr/>
        <w:t>The right of A and B to rescind or vary the contract by agreement is also barred where A is aware of </w:t>
      </w:r>
      <w:bookmarkStart w:name="_bookmark1187" w:id="1189"/>
      <w:bookmarkEnd w:id="1189"/>
      <w:r>
        <w:rPr/>
        <w:t>C’s</w:t>
      </w:r>
      <w:r>
        <w:rPr/>
        <w:t> having relied on the term, </w:t>
      </w:r>
      <w:r>
        <w:rPr>
          <w:color w:val="005DA1"/>
          <w:u w:val="single" w:color="005DA1"/>
          <w:vertAlign w:val="superscript"/>
        </w:rPr>
        <w:t>676</w:t>
      </w:r>
      <w:r>
        <w:rPr>
          <w:color w:val="005DA1"/>
          <w:vertAlign w:val="baseline"/>
        </w:rPr>
        <w:t> </w:t>
      </w:r>
      <w:r>
        <w:rPr>
          <w:vertAlign w:val="baseline"/>
        </w:rPr>
        <w:t>or where A could reasonably have foreseen such reliance and it has actually taken place. </w:t>
      </w:r>
      <w:r>
        <w:rPr>
          <w:color w:val="005DA1"/>
          <w:u w:val="single" w:color="005DA1"/>
          <w:vertAlign w:val="superscript"/>
        </w:rPr>
        <w:t>677</w:t>
      </w:r>
      <w:r>
        <w:rPr>
          <w:color w:val="005DA1"/>
          <w:vertAlign w:val="baseline"/>
        </w:rPr>
        <w:t> </w:t>
      </w:r>
      <w:r>
        <w:rPr>
          <w:vertAlign w:val="baseline"/>
        </w:rPr>
        <w:t>It would seem that, in such cases, C may be entitled, not merely to </w:t>
      </w:r>
      <w:r>
        <w:rPr>
          <w:vertAlign w:val="baseline"/>
        </w:rPr>
        <w:t>the promised performance or its value in respect of his expectation loss, but also to damages in respect</w:t>
      </w:r>
      <w:r>
        <w:rPr>
          <w:spacing w:val="40"/>
          <w:vertAlign w:val="baseline"/>
        </w:rPr>
        <w:t> </w:t>
      </w:r>
      <w:r>
        <w:rPr>
          <w:vertAlign w:val="baseline"/>
        </w:rPr>
        <w:t>of his reliance loss: e.g. where he has travelled to the place specified in the contract for the receipt by </w:t>
      </w:r>
      <w:bookmarkStart w:name="_bookmark1188" w:id="1190"/>
      <w:bookmarkEnd w:id="1190"/>
      <w:r>
        <w:rPr>
          <w:vertAlign w:val="baseline"/>
        </w:rPr>
        <w:t>him</w:t>
      </w:r>
      <w:r>
        <w:rPr>
          <w:vertAlign w:val="baseline"/>
        </w:rPr>
        <w:t> of the promised performance. This follows from the rule laid down by the 1999 Act with respect to C’s remedies </w:t>
      </w:r>
      <w:r>
        <w:rPr>
          <w:color w:val="005DA1"/>
          <w:u w:val="single" w:color="005DA1"/>
          <w:vertAlign w:val="superscript"/>
        </w:rPr>
        <w:t>678</w:t>
      </w:r>
      <w:r>
        <w:rPr>
          <w:vertAlign w:val="baseline"/>
        </w:rPr>
        <w:t>; it also follows from this rule that C could not claim under both heads to the extent to which such a combination of claims would result in double recovery or in his being placed in a better </w:t>
      </w:r>
      <w:bookmarkStart w:name="_bookmark1189" w:id="1191"/>
      <w:bookmarkEnd w:id="1191"/>
      <w:r>
        <w:rPr>
          <w:vertAlign w:val="baseline"/>
        </w:rPr>
        <w:t>position</w:t>
      </w:r>
      <w:r>
        <w:rPr>
          <w:vertAlign w:val="baseline"/>
        </w:rPr>
        <w:t> than that in which he would have been if A had performed his promise in accordance with its original terms. </w:t>
      </w:r>
      <w:r>
        <w:rPr>
          <w:color w:val="005DA1"/>
          <w:u w:val="single" w:color="005DA1"/>
          <w:vertAlign w:val="superscript"/>
        </w:rPr>
        <w:t>679</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Consequences of attempted rescission or variation without C’s </w:t>
      </w:r>
      <w:r>
        <w:rPr>
          <w:rFonts w:ascii="Arial" w:hAnsi="Arial"/>
          <w:b/>
          <w:spacing w:val="-2"/>
          <w:sz w:val="18"/>
        </w:rPr>
        <w:t>consent</w:t>
      </w:r>
    </w:p>
    <w:p>
      <w:pPr>
        <w:pStyle w:val="BodyText"/>
        <w:spacing w:before="41"/>
        <w:rPr>
          <w:rFonts w:ascii="Arial"/>
          <w:b/>
          <w:sz w:val="18"/>
        </w:rPr>
      </w:pPr>
    </w:p>
    <w:p>
      <w:pPr>
        <w:pStyle w:val="Heading2"/>
      </w:pPr>
      <w:r>
        <w:rPr/>
        <w:t>18-</w:t>
      </w:r>
      <w:r>
        <w:rPr>
          <w:spacing w:val="-5"/>
        </w:rPr>
        <w:t>107</w:t>
      </w:r>
    </w:p>
    <w:p>
      <w:pPr>
        <w:pStyle w:val="BodyText"/>
        <w:spacing w:line="235" w:lineRule="auto" w:before="203"/>
        <w:ind w:left="165" w:right="167"/>
        <w:jc w:val="both"/>
      </w:pPr>
      <w:r>
        <w:rPr/>
        <w:t>The general rule stated in s.2(1) is that A and B “may not” by agreement rescind the contract, or vary</w:t>
      </w:r>
      <w:r>
        <w:rPr>
          <w:spacing w:val="40"/>
        </w:rPr>
        <w:t> </w:t>
      </w:r>
      <w:r>
        <w:rPr/>
        <w:t>it in the ways described in para.18-104 above, without C’s consent. The most obvious </w:t>
      </w:r>
      <w:r>
        <w:rPr/>
        <w:t>consequence</w:t>
      </w:r>
      <w:r>
        <w:rPr>
          <w:spacing w:val="40"/>
        </w:rPr>
        <w:t> </w:t>
      </w:r>
      <w:r>
        <w:rPr/>
        <w:t>of this provision is that a purported rescission or variation without C’s consent is simply </w:t>
      </w:r>
      <w:r>
        <w:rPr>
          <w:rFonts w:ascii="Arial" w:hAnsi="Arial"/>
          <w:i/>
        </w:rPr>
        <w:t>ineffective</w:t>
      </w:r>
      <w:r>
        <w:rPr/>
        <w:t>, so that C can, in spite of it, enforce the term in question </w:t>
      </w:r>
      <w:r>
        <w:rPr>
          <w:rFonts w:ascii="Arial" w:hAnsi="Arial"/>
          <w:i/>
        </w:rPr>
        <w:t>against A</w:t>
      </w:r>
      <w:r>
        <w:rPr/>
        <w:t>. But such enforcement may, because of the rescission, become a practical impossibility (e.g. because A has in consequence of the rescission put it out of his power to perform); and it is arguable that the purported rescission is also </w:t>
      </w:r>
      <w:bookmarkStart w:name="_bookmark1190" w:id="1192"/>
      <w:bookmarkEnd w:id="1192"/>
      <w:r>
        <w:rPr/>
      </w:r>
      <w:r>
        <w:rPr>
          <w:rFonts w:ascii="Arial" w:hAnsi="Arial"/>
          <w:i/>
        </w:rPr>
        <w:t>wrongful</w:t>
      </w:r>
      <w:r>
        <w:rPr/>
        <w:t>,</w:t>
      </w:r>
      <w:r>
        <w:rPr>
          <w:spacing w:val="-1"/>
        </w:rPr>
        <w:t> </w:t>
      </w:r>
      <w:r>
        <w:rPr/>
        <w:t>so</w:t>
      </w:r>
      <w:r>
        <w:rPr>
          <w:spacing w:val="-1"/>
        </w:rPr>
        <w:t> </w:t>
      </w:r>
      <w:r>
        <w:rPr/>
        <w:t>as</w:t>
      </w:r>
      <w:r>
        <w:rPr>
          <w:spacing w:val="-1"/>
        </w:rPr>
        <w:t> </w:t>
      </w:r>
      <w:r>
        <w:rPr/>
        <w:t>to</w:t>
      </w:r>
      <w:r>
        <w:rPr>
          <w:spacing w:val="-1"/>
        </w:rPr>
        <w:t> </w:t>
      </w:r>
      <w:r>
        <w:rPr/>
        <w:t>give</w:t>
      </w:r>
      <w:r>
        <w:rPr>
          <w:spacing w:val="-1"/>
        </w:rPr>
        <w:t> </w:t>
      </w:r>
      <w:r>
        <w:rPr/>
        <w:t>C</w:t>
      </w:r>
      <w:r>
        <w:rPr>
          <w:spacing w:val="-1"/>
        </w:rPr>
        <w:t> </w:t>
      </w:r>
      <w:r>
        <w:rPr/>
        <w:t>a</w:t>
      </w:r>
      <w:r>
        <w:rPr>
          <w:spacing w:val="-1"/>
        </w:rPr>
        <w:t> </w:t>
      </w:r>
      <w:r>
        <w:rPr/>
        <w:t>remedy</w:t>
      </w:r>
      <w:r>
        <w:rPr>
          <w:spacing w:val="-1"/>
        </w:rPr>
        <w:t> </w:t>
      </w:r>
      <w:r>
        <w:rPr/>
        <w:t>in</w:t>
      </w:r>
      <w:r>
        <w:rPr>
          <w:spacing w:val="-1"/>
        </w:rPr>
        <w:t> </w:t>
      </w:r>
      <w:r>
        <w:rPr/>
        <w:t>damages</w:t>
      </w:r>
      <w:r>
        <w:rPr>
          <w:spacing w:val="-1"/>
        </w:rPr>
        <w:t> </w:t>
      </w:r>
      <w:r>
        <w:rPr>
          <w:rFonts w:ascii="Arial" w:hAnsi="Arial"/>
          <w:i/>
        </w:rPr>
        <w:t>against</w:t>
      </w:r>
      <w:r>
        <w:rPr>
          <w:rFonts w:ascii="Arial" w:hAnsi="Arial"/>
          <w:i/>
          <w:spacing w:val="-1"/>
        </w:rPr>
        <w:t> </w:t>
      </w:r>
      <w:r>
        <w:rPr>
          <w:rFonts w:ascii="Arial" w:hAnsi="Arial"/>
          <w:i/>
        </w:rPr>
        <w:t>B</w:t>
      </w:r>
      <w:r>
        <w:rPr/>
        <w:t>,</w:t>
      </w:r>
      <w:r>
        <w:rPr>
          <w:spacing w:val="-1"/>
        </w:rPr>
        <w:t> </w:t>
      </w:r>
      <w:r>
        <w:rPr/>
        <w:t>perhaps</w:t>
      </w:r>
      <w:r>
        <w:rPr>
          <w:spacing w:val="-1"/>
        </w:rPr>
        <w:t> </w:t>
      </w:r>
      <w:r>
        <w:rPr/>
        <w:t>on</w:t>
      </w:r>
      <w:r>
        <w:rPr>
          <w:spacing w:val="-1"/>
        </w:rPr>
        <w:t> </w:t>
      </w:r>
      <w:r>
        <w:rPr/>
        <w:t>the</w:t>
      </w:r>
      <w:r>
        <w:rPr>
          <w:spacing w:val="-1"/>
        </w:rPr>
        <w:t> </w:t>
      </w:r>
      <w:r>
        <w:rPr/>
        <w:t>analogy</w:t>
      </w:r>
      <w:r>
        <w:rPr>
          <w:spacing w:val="-1"/>
        </w:rPr>
        <w:t> </w:t>
      </w:r>
      <w:r>
        <w:rPr/>
        <w:t>of</w:t>
      </w:r>
      <w:r>
        <w:rPr>
          <w:spacing w:val="-1"/>
        </w:rPr>
        <w:t> </w:t>
      </w:r>
      <w:r>
        <w:rPr/>
        <w:t>liability</w:t>
      </w:r>
      <w:r>
        <w:rPr>
          <w:spacing w:val="-1"/>
        </w:rPr>
        <w:t> </w:t>
      </w:r>
      <w:r>
        <w:rPr/>
        <w:t>in</w:t>
      </w:r>
      <w:r>
        <w:rPr>
          <w:spacing w:val="-1"/>
        </w:rPr>
        <w:t> </w:t>
      </w:r>
      <w:r>
        <w:rPr/>
        <w:t>tort</w:t>
      </w:r>
      <w:r>
        <w:rPr>
          <w:spacing w:val="-1"/>
        </w:rPr>
        <w:t> </w:t>
      </w:r>
      <w:r>
        <w:rPr/>
        <w:t>for causing loss by unlawful means. </w:t>
      </w:r>
      <w:r>
        <w:rPr>
          <w:color w:val="005DA1"/>
          <w:u w:val="single" w:color="005DA1"/>
          <w:vertAlign w:val="superscript"/>
        </w:rPr>
        <w:t>680</w:t>
      </w:r>
      <w:r>
        <w:rPr>
          <w:color w:val="005DA1"/>
          <w:vertAlign w:val="baseline"/>
        </w:rPr>
        <w:t> </w:t>
      </w:r>
      <w:r>
        <w:rPr>
          <w:vertAlign w:val="baseline"/>
        </w:rPr>
        <w:t>This possibility could have practical significance in the event of A’s insolvency.</w:t>
      </w:r>
    </w:p>
    <w:p>
      <w:pPr>
        <w:pStyle w:val="BodyText"/>
      </w:pPr>
    </w:p>
    <w:p>
      <w:pPr>
        <w:pStyle w:val="BodyText"/>
        <w:spacing w:before="35"/>
      </w:pPr>
    </w:p>
    <w:p>
      <w:pPr>
        <w:spacing w:before="0"/>
        <w:ind w:left="165" w:right="0" w:firstLine="0"/>
        <w:jc w:val="left"/>
        <w:rPr>
          <w:rFonts w:ascii="Arial"/>
          <w:b/>
          <w:sz w:val="18"/>
        </w:rPr>
      </w:pPr>
      <w:r>
        <w:rPr>
          <w:rFonts w:ascii="Arial"/>
          <w:b/>
          <w:sz w:val="18"/>
        </w:rPr>
        <w:t>Contract conferring choices on </w:t>
      </w:r>
      <w:r>
        <w:rPr>
          <w:rFonts w:ascii="Arial"/>
          <w:b/>
          <w:spacing w:val="-2"/>
          <w:sz w:val="18"/>
        </w:rPr>
        <w:t>promisee</w:t>
      </w:r>
    </w:p>
    <w:p>
      <w:pPr>
        <w:pStyle w:val="BodyText"/>
        <w:spacing w:before="41"/>
        <w:rPr>
          <w:rFonts w:ascii="Arial"/>
          <w:b/>
          <w:sz w:val="18"/>
        </w:rPr>
      </w:pPr>
    </w:p>
    <w:p>
      <w:pPr>
        <w:pStyle w:val="Heading2"/>
        <w:spacing w:before="1"/>
      </w:pPr>
      <w:r>
        <w:rPr/>
        <w:t>18-</w:t>
      </w:r>
      <w:r>
        <w:rPr>
          <w:spacing w:val="-5"/>
        </w:rPr>
        <w:t>108</w:t>
      </w:r>
    </w:p>
    <w:p>
      <w:pPr>
        <w:pStyle w:val="BodyText"/>
        <w:spacing w:line="235" w:lineRule="auto" w:before="202"/>
        <w:ind w:left="165" w:right="167"/>
        <w:jc w:val="both"/>
      </w:pPr>
      <w:r>
        <w:rPr/>
        <w:t>Section 2(1) of the 1999 Act deals with the situation in which C has become entitled to enforce a term of the contract “under section 1” and A and B then attempt by agreement to rescind or vary the contract. This situation must be distinguished from that in which A promises B to perform in favour of C </w:t>
      </w:r>
      <w:r>
        <w:rPr>
          <w:rFonts w:ascii="Arial" w:hAnsi="Arial"/>
          <w:i/>
        </w:rPr>
        <w:t>or as B shall direct</w:t>
      </w:r>
      <w:r>
        <w:rPr/>
        <w:t>. If, in such a case, B directs A to perform in favour of D (or of B himself) the contract is not varied. On the contrary, it is to be performed in accordance with its original </w:t>
      </w:r>
      <w:r>
        <w:rPr/>
        <w:t>terms, under which B has a choice as to the person to whom performance is to be rendered. The case therefore</w:t>
      </w:r>
      <w:r>
        <w:rPr>
          <w:spacing w:val="8"/>
        </w:rPr>
        <w:t> </w:t>
      </w:r>
      <w:r>
        <w:rPr/>
        <w:t>does</w:t>
      </w:r>
      <w:r>
        <w:rPr>
          <w:spacing w:val="8"/>
        </w:rPr>
        <w:t> </w:t>
      </w:r>
      <w:r>
        <w:rPr/>
        <w:t>not</w:t>
      </w:r>
      <w:r>
        <w:rPr>
          <w:spacing w:val="8"/>
        </w:rPr>
        <w:t> </w:t>
      </w:r>
      <w:r>
        <w:rPr/>
        <w:t>fall</w:t>
      </w:r>
      <w:r>
        <w:rPr>
          <w:spacing w:val="8"/>
        </w:rPr>
        <w:t> </w:t>
      </w:r>
      <w:r>
        <w:rPr/>
        <w:t>within</w:t>
      </w:r>
      <w:r>
        <w:rPr>
          <w:spacing w:val="8"/>
        </w:rPr>
        <w:t> </w:t>
      </w:r>
      <w:r>
        <w:rPr/>
        <w:t>s.2(1),</w:t>
      </w:r>
      <w:r>
        <w:rPr>
          <w:spacing w:val="8"/>
        </w:rPr>
        <w:t> </w:t>
      </w:r>
      <w:r>
        <w:rPr/>
        <w:t>so</w:t>
      </w:r>
      <w:r>
        <w:rPr>
          <w:spacing w:val="8"/>
        </w:rPr>
        <w:t> </w:t>
      </w:r>
      <w:r>
        <w:rPr/>
        <w:t>that</w:t>
      </w:r>
      <w:r>
        <w:rPr>
          <w:spacing w:val="8"/>
        </w:rPr>
        <w:t> </w:t>
      </w:r>
      <w:r>
        <w:rPr/>
        <w:t>the</w:t>
      </w:r>
      <w:r>
        <w:rPr>
          <w:spacing w:val="8"/>
        </w:rPr>
        <w:t> </w:t>
      </w:r>
      <w:r>
        <w:rPr/>
        <w:t>requirement</w:t>
      </w:r>
      <w:r>
        <w:rPr>
          <w:spacing w:val="8"/>
        </w:rPr>
        <w:t> </w:t>
      </w:r>
      <w:r>
        <w:rPr/>
        <w:t>of</w:t>
      </w:r>
      <w:r>
        <w:rPr>
          <w:spacing w:val="8"/>
        </w:rPr>
        <w:t> </w:t>
      </w:r>
      <w:r>
        <w:rPr/>
        <w:t>C’s</w:t>
      </w:r>
      <w:r>
        <w:rPr>
          <w:spacing w:val="8"/>
        </w:rPr>
        <w:t> </w:t>
      </w:r>
      <w:r>
        <w:rPr/>
        <w:t>consent,</w:t>
      </w:r>
      <w:r>
        <w:rPr>
          <w:spacing w:val="8"/>
        </w:rPr>
        <w:t> </w:t>
      </w:r>
      <w:r>
        <w:rPr/>
        <w:t>as</w:t>
      </w:r>
      <w:r>
        <w:rPr>
          <w:spacing w:val="8"/>
        </w:rPr>
        <w:t> </w:t>
      </w:r>
      <w:r>
        <w:rPr/>
        <w:t>there</w:t>
      </w:r>
      <w:r>
        <w:rPr>
          <w:spacing w:val="8"/>
        </w:rPr>
        <w:t> </w:t>
      </w:r>
      <w:r>
        <w:rPr/>
        <w:t>stated,</w:t>
      </w:r>
      <w:r>
        <w:rPr>
          <w:spacing w:val="8"/>
        </w:rPr>
        <w:t> </w:t>
      </w:r>
      <w:r>
        <w:rPr/>
        <w:t>does</w:t>
      </w:r>
      <w:r>
        <w:rPr>
          <w:spacing w:val="8"/>
        </w:rPr>
        <w:t> </w:t>
      </w:r>
      <w:r>
        <w:rPr>
          <w:spacing w:val="-5"/>
        </w:rPr>
        <w:t>not</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4" w:right="167"/>
        <w:jc w:val="both"/>
      </w:pPr>
      <w:bookmarkStart w:name="_bookmark1191" w:id="1193"/>
      <w:bookmarkEnd w:id="1193"/>
      <w:r>
        <w:rPr/>
      </w:r>
      <w:r>
        <w:rPr/>
        <w:t>apply. </w:t>
      </w:r>
      <w:r>
        <w:rPr>
          <w:color w:val="005DA1"/>
          <w:u w:val="single" w:color="005DA1"/>
          <w:vertAlign w:val="superscript"/>
        </w:rPr>
        <w:t>681</w:t>
      </w:r>
      <w:r>
        <w:rPr>
          <w:color w:val="005DA1"/>
          <w:vertAlign w:val="baseline"/>
        </w:rPr>
        <w:t> </w:t>
      </w:r>
      <w:r>
        <w:rPr>
          <w:vertAlign w:val="baseline"/>
        </w:rPr>
        <w:t>Another way of explaining this conclusion is to say that, in the case put, the mere making </w:t>
      </w:r>
      <w:r>
        <w:rPr>
          <w:vertAlign w:val="baseline"/>
        </w:rPr>
        <w:t>of the</w:t>
      </w:r>
      <w:r>
        <w:rPr>
          <w:spacing w:val="-1"/>
          <w:vertAlign w:val="baseline"/>
        </w:rPr>
        <w:t> </w:t>
      </w:r>
      <w:r>
        <w:rPr>
          <w:vertAlign w:val="baseline"/>
        </w:rPr>
        <w:t>promise</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intended</w:t>
      </w:r>
      <w:r>
        <w:rPr>
          <w:spacing w:val="-1"/>
          <w:vertAlign w:val="baseline"/>
        </w:rPr>
        <w:t> </w:t>
      </w:r>
      <w:r>
        <w:rPr>
          <w:vertAlign w:val="baseline"/>
        </w:rPr>
        <w:t>to</w:t>
      </w:r>
      <w:r>
        <w:rPr>
          <w:spacing w:val="-1"/>
          <w:vertAlign w:val="baseline"/>
        </w:rPr>
        <w:t> </w:t>
      </w:r>
      <w:r>
        <w:rPr>
          <w:vertAlign w:val="baseline"/>
        </w:rPr>
        <w:t>confer</w:t>
      </w:r>
      <w:r>
        <w:rPr>
          <w:spacing w:val="-1"/>
          <w:vertAlign w:val="baseline"/>
        </w:rPr>
        <w:t> </w:t>
      </w:r>
      <w:r>
        <w:rPr>
          <w:vertAlign w:val="baseline"/>
        </w:rPr>
        <w:t>an</w:t>
      </w:r>
      <w:r>
        <w:rPr>
          <w:spacing w:val="-1"/>
          <w:vertAlign w:val="baseline"/>
        </w:rPr>
        <w:t> </w:t>
      </w:r>
      <w:r>
        <w:rPr>
          <w:vertAlign w:val="baseline"/>
        </w:rPr>
        <w:t>indefeasible</w:t>
      </w:r>
      <w:r>
        <w:rPr>
          <w:spacing w:val="-1"/>
          <w:vertAlign w:val="baseline"/>
        </w:rPr>
        <w:t> </w:t>
      </w:r>
      <w:r>
        <w:rPr>
          <w:vertAlign w:val="baseline"/>
        </w:rPr>
        <w:t>right</w:t>
      </w:r>
      <w:r>
        <w:rPr>
          <w:spacing w:val="-1"/>
          <w:vertAlign w:val="baseline"/>
        </w:rPr>
        <w:t> </w:t>
      </w:r>
      <w:r>
        <w:rPr>
          <w:vertAlign w:val="baseline"/>
        </w:rPr>
        <w:t>on</w:t>
      </w:r>
      <w:r>
        <w:rPr>
          <w:spacing w:val="-1"/>
          <w:vertAlign w:val="baseline"/>
        </w:rPr>
        <w:t> </w:t>
      </w:r>
      <w:r>
        <w:rPr>
          <w:vertAlign w:val="baseline"/>
        </w:rPr>
        <w:t>C;</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gave</w:t>
      </w:r>
      <w:r>
        <w:rPr>
          <w:spacing w:val="-1"/>
          <w:vertAlign w:val="baseline"/>
        </w:rPr>
        <w:t> </w:t>
      </w:r>
      <w:r>
        <w:rPr>
          <w:vertAlign w:val="baseline"/>
        </w:rPr>
        <w:t>B </w:t>
      </w:r>
      <w:bookmarkStart w:name="_bookmark1192" w:id="1194"/>
      <w:bookmarkEnd w:id="1194"/>
      <w:r>
        <w:rPr>
          <w:vertAlign w:val="baseline"/>
        </w:rPr>
        <w:t>the</w:t>
      </w:r>
      <w:r>
        <w:rPr>
          <w:vertAlign w:val="baseline"/>
        </w:rPr>
        <w:t> power to divert the benefit away from C would indicate that A and B did not, when the contract between them was made, intend </w:t>
      </w:r>
      <w:r>
        <w:rPr>
          <w:color w:val="005DA1"/>
          <w:u w:val="single" w:color="005DA1"/>
          <w:vertAlign w:val="superscript"/>
        </w:rPr>
        <w:t>682</w:t>
      </w:r>
      <w:r>
        <w:rPr>
          <w:color w:val="005DA1"/>
          <w:vertAlign w:val="baseline"/>
        </w:rPr>
        <w:t> </w:t>
      </w:r>
      <w:r>
        <w:rPr>
          <w:vertAlign w:val="baseline"/>
        </w:rPr>
        <w:t>the term to be enforceable by C if B exercised the power. A term of the present kind might, however, also </w:t>
      </w:r>
      <w:r>
        <w:rPr>
          <w:rFonts w:ascii="Arial" w:hAnsi="Arial"/>
          <w:i/>
          <w:vertAlign w:val="baseline"/>
        </w:rPr>
        <w:t>limit </w:t>
      </w:r>
      <w:r>
        <w:rPr>
          <w:vertAlign w:val="baseline"/>
        </w:rPr>
        <w:t>B’s power to divert the benefit away from C: e.g. by providing</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power</w:t>
      </w:r>
      <w:r>
        <w:rPr>
          <w:spacing w:val="-1"/>
          <w:vertAlign w:val="baseline"/>
        </w:rPr>
        <w:t> </w:t>
      </w:r>
      <w:r>
        <w:rPr>
          <w:vertAlign w:val="baseline"/>
        </w:rPr>
        <w:t>was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exercisable</w:t>
      </w:r>
      <w:r>
        <w:rPr>
          <w:spacing w:val="-1"/>
          <w:vertAlign w:val="baseline"/>
        </w:rPr>
        <w:t> </w:t>
      </w:r>
      <w:r>
        <w:rPr>
          <w:vertAlign w:val="baseline"/>
        </w:rPr>
        <w:t>only</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specified</w:t>
      </w:r>
      <w:r>
        <w:rPr>
          <w:spacing w:val="-1"/>
          <w:vertAlign w:val="baseline"/>
        </w:rPr>
        <w:t> </w:t>
      </w:r>
      <w:r>
        <w:rPr>
          <w:vertAlign w:val="baseline"/>
        </w:rPr>
        <w:t>period.</w:t>
      </w:r>
      <w:r>
        <w:rPr>
          <w:spacing w:val="-1"/>
          <w:vertAlign w:val="baseline"/>
        </w:rPr>
        <w:t> </w:t>
      </w:r>
      <w:r>
        <w:rPr>
          <w:vertAlign w:val="baseline"/>
        </w:rPr>
        <w:t>After</w:t>
      </w:r>
      <w:r>
        <w:rPr>
          <w:spacing w:val="-1"/>
          <w:vertAlign w:val="baseline"/>
        </w:rPr>
        <w:t> </w:t>
      </w:r>
      <w:r>
        <w:rPr>
          <w:vertAlign w:val="baseline"/>
        </w:rPr>
        <w:t>the</w:t>
      </w:r>
      <w:r>
        <w:rPr>
          <w:spacing w:val="-1"/>
          <w:vertAlign w:val="baseline"/>
        </w:rPr>
        <w:t> </w:t>
      </w:r>
      <w:r>
        <w:rPr>
          <w:vertAlign w:val="baseline"/>
        </w:rPr>
        <w:t>end</w:t>
      </w:r>
      <w:r>
        <w:rPr>
          <w:spacing w:val="-1"/>
          <w:vertAlign w:val="baseline"/>
        </w:rPr>
        <w:t> </w:t>
      </w:r>
      <w:r>
        <w:rPr>
          <w:vertAlign w:val="baseline"/>
        </w:rPr>
        <w:t>of</w:t>
      </w:r>
      <w:r>
        <w:rPr>
          <w:spacing w:val="-1"/>
          <w:vertAlign w:val="baseline"/>
        </w:rPr>
        <w:t> </w:t>
      </w:r>
      <w:r>
        <w:rPr>
          <w:vertAlign w:val="baseline"/>
        </w:rPr>
        <w:t>that</w:t>
      </w:r>
      <w:r>
        <w:rPr>
          <w:spacing w:val="-1"/>
          <w:vertAlign w:val="baseline"/>
        </w:rPr>
        <w:t> </w:t>
      </w:r>
      <w:r>
        <w:rPr>
          <w:vertAlign w:val="baseline"/>
        </w:rPr>
        <w:t>period, C could no longer be deprived of the benefit of A’s promise by the unilateral act of B since the</w:t>
      </w:r>
      <w:r>
        <w:rPr>
          <w:spacing w:val="80"/>
          <w:vertAlign w:val="baseline"/>
        </w:rPr>
        <w:t> </w:t>
      </w:r>
      <w:r>
        <w:rPr>
          <w:vertAlign w:val="baseline"/>
        </w:rPr>
        <w:t>consent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and</w:t>
      </w:r>
      <w:r>
        <w:rPr>
          <w:spacing w:val="-1"/>
          <w:vertAlign w:val="baseline"/>
        </w:rPr>
        <w:t> </w:t>
      </w:r>
      <w:r>
        <w:rPr>
          <w:vertAlign w:val="baseline"/>
        </w:rPr>
        <w:t>B</w:t>
      </w:r>
      <w:r>
        <w:rPr>
          <w:spacing w:val="-1"/>
          <w:vertAlign w:val="baseline"/>
        </w:rPr>
        <w:t> </w:t>
      </w:r>
      <w:r>
        <w:rPr>
          <w:vertAlign w:val="baseline"/>
        </w:rPr>
        <w:t>would</w:t>
      </w:r>
      <w:r>
        <w:rPr>
          <w:spacing w:val="-1"/>
          <w:vertAlign w:val="baseline"/>
        </w:rPr>
        <w:t> </w:t>
      </w:r>
      <w:r>
        <w:rPr>
          <w:vertAlign w:val="baseline"/>
        </w:rPr>
        <w:t>then</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matter</w:t>
      </w:r>
      <w:r>
        <w:rPr>
          <w:spacing w:val="-1"/>
          <w:vertAlign w:val="baseline"/>
        </w:rPr>
        <w:t> </w:t>
      </w:r>
      <w:r>
        <w:rPr>
          <w:vertAlign w:val="baseline"/>
        </w:rPr>
        <w:t>of</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be</w:t>
      </w:r>
      <w:r>
        <w:rPr>
          <w:spacing w:val="-1"/>
          <w:vertAlign w:val="baseline"/>
        </w:rPr>
        <w:t> </w:t>
      </w:r>
      <w:r>
        <w:rPr>
          <w:vertAlign w:val="baseline"/>
        </w:rPr>
        <w:t>necessary</w:t>
      </w:r>
      <w:r>
        <w:rPr>
          <w:spacing w:val="-1"/>
          <w:vertAlign w:val="baseline"/>
        </w:rPr>
        <w:t> </w:t>
      </w:r>
      <w:r>
        <w:rPr>
          <w:vertAlign w:val="baseline"/>
        </w:rPr>
        <w:t>to</w:t>
      </w:r>
      <w:r>
        <w:rPr>
          <w:spacing w:val="-1"/>
          <w:vertAlign w:val="baseline"/>
        </w:rPr>
        <w:t> </w:t>
      </w:r>
      <w:r>
        <w:rPr>
          <w:vertAlign w:val="baseline"/>
        </w:rPr>
        <w:t>vary</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any such variation would then be subject to the requirement of C’s consent under s.2(1).</w:t>
      </w:r>
    </w:p>
    <w:p>
      <w:pPr>
        <w:pStyle w:val="BodyText"/>
      </w:pPr>
    </w:p>
    <w:p>
      <w:pPr>
        <w:pStyle w:val="BodyText"/>
        <w:spacing w:before="35"/>
      </w:pPr>
    </w:p>
    <w:p>
      <w:pPr>
        <w:spacing w:before="0"/>
        <w:ind w:left="164" w:right="0" w:firstLine="0"/>
        <w:jc w:val="both"/>
        <w:rPr>
          <w:rFonts w:ascii="Arial"/>
          <w:b/>
          <w:sz w:val="18"/>
        </w:rPr>
      </w:pPr>
      <w:r>
        <w:rPr>
          <w:rFonts w:ascii="Arial"/>
          <w:b/>
          <w:sz w:val="18"/>
        </w:rPr>
        <w:t>Contrary provision in the </w:t>
      </w:r>
      <w:r>
        <w:rPr>
          <w:rFonts w:ascii="Arial"/>
          <w:b/>
          <w:spacing w:val="-2"/>
          <w:sz w:val="18"/>
        </w:rPr>
        <w:t>contract</w:t>
      </w:r>
    </w:p>
    <w:p>
      <w:pPr>
        <w:pStyle w:val="BodyText"/>
        <w:spacing w:before="41"/>
        <w:rPr>
          <w:rFonts w:ascii="Arial"/>
          <w:b/>
          <w:sz w:val="18"/>
        </w:rPr>
      </w:pPr>
    </w:p>
    <w:p>
      <w:pPr>
        <w:pStyle w:val="Heading2"/>
        <w:ind w:left="164"/>
      </w:pPr>
      <w:r>
        <w:rPr/>
        <w:t>18-</w:t>
      </w:r>
      <w:r>
        <w:rPr>
          <w:spacing w:val="-5"/>
        </w:rPr>
        <w:t>109</w:t>
      </w:r>
    </w:p>
    <w:p>
      <w:pPr>
        <w:pStyle w:val="BodyText"/>
        <w:spacing w:line="235" w:lineRule="auto" w:before="203"/>
        <w:ind w:left="164" w:right="167"/>
        <w:jc w:val="both"/>
      </w:pPr>
      <w:bookmarkStart w:name="_bookmark1193" w:id="1195"/>
      <w:bookmarkEnd w:id="1195"/>
      <w:r>
        <w:rPr/>
      </w:r>
      <w:r>
        <w:rPr/>
        <w:t>The general requirement of C’s consent to a rescission or variation of the contract, contained in s.2(1) and stated in para.18-104 above, may be displaced by an “express term” </w:t>
      </w:r>
      <w:r>
        <w:rPr>
          <w:color w:val="005DA1"/>
          <w:u w:val="single" w:color="005DA1"/>
          <w:vertAlign w:val="superscript"/>
        </w:rPr>
        <w:t>683</w:t>
      </w:r>
      <w:r>
        <w:rPr>
          <w:color w:val="005DA1"/>
          <w:vertAlign w:val="baseline"/>
        </w:rPr>
        <w:t> </w:t>
      </w:r>
      <w:r>
        <w:rPr>
          <w:vertAlign w:val="baseline"/>
        </w:rPr>
        <w:t>of the contract. Section 2(3) envisages two possibilities. These are discussed in para.18-100 below.</w:t>
      </w:r>
    </w:p>
    <w:p>
      <w:pPr>
        <w:pStyle w:val="BodyText"/>
        <w:spacing w:before="207"/>
      </w:pPr>
    </w:p>
    <w:p>
      <w:pPr>
        <w:pStyle w:val="ListParagraph"/>
        <w:numPr>
          <w:ilvl w:val="0"/>
          <w:numId w:val="4"/>
        </w:numPr>
        <w:tabs>
          <w:tab w:pos="435" w:val="left" w:leader="none"/>
        </w:tabs>
        <w:spacing w:line="240" w:lineRule="auto" w:before="0" w:after="0"/>
        <w:ind w:left="435" w:right="0" w:hanging="270"/>
        <w:jc w:val="left"/>
        <w:rPr>
          <w:b/>
          <w:sz w:val="18"/>
        </w:rPr>
      </w:pPr>
      <w:r>
        <w:rPr>
          <w:b/>
          <w:sz w:val="18"/>
        </w:rPr>
        <w:t>Term dispensing with need for C’s </w:t>
      </w:r>
      <w:r>
        <w:rPr>
          <w:b/>
          <w:spacing w:val="-2"/>
          <w:sz w:val="18"/>
        </w:rPr>
        <w:t>consent</w:t>
      </w:r>
    </w:p>
    <w:p>
      <w:pPr>
        <w:pStyle w:val="BodyText"/>
        <w:spacing w:before="42"/>
        <w:rPr>
          <w:rFonts w:ascii="Arial"/>
          <w:b/>
          <w:sz w:val="18"/>
        </w:rPr>
      </w:pPr>
    </w:p>
    <w:p>
      <w:pPr>
        <w:pStyle w:val="Heading2"/>
      </w:pPr>
      <w:r>
        <w:rPr/>
        <w:t>18-</w:t>
      </w:r>
      <w:r>
        <w:rPr>
          <w:spacing w:val="-5"/>
        </w:rPr>
        <w:t>110</w:t>
      </w:r>
    </w:p>
    <w:p>
      <w:pPr>
        <w:pStyle w:val="BodyText"/>
        <w:spacing w:line="235" w:lineRule="auto" w:before="202"/>
        <w:ind w:left="165" w:right="167"/>
        <w:jc w:val="both"/>
      </w:pPr>
      <w:r>
        <w:rPr/>
        <w:t>The</w:t>
      </w:r>
      <w:r>
        <w:rPr>
          <w:spacing w:val="-1"/>
        </w:rPr>
        <w:t> </w:t>
      </w:r>
      <w:r>
        <w:rPr/>
        <w:t>first</w:t>
      </w:r>
      <w:r>
        <w:rPr>
          <w:spacing w:val="-1"/>
        </w:rPr>
        <w:t> </w:t>
      </w:r>
      <w:r>
        <w:rPr/>
        <w:t>possibility,</w:t>
      </w:r>
      <w:r>
        <w:rPr>
          <w:spacing w:val="-1"/>
        </w:rPr>
        <w:t> </w:t>
      </w:r>
      <w:r>
        <w:rPr/>
        <w:t>stated</w:t>
      </w:r>
      <w:r>
        <w:rPr>
          <w:spacing w:val="-1"/>
        </w:rPr>
        <w:t> </w:t>
      </w:r>
      <w:r>
        <w:rPr/>
        <w:t>in</w:t>
      </w:r>
      <w:r>
        <w:rPr>
          <w:spacing w:val="-1"/>
        </w:rPr>
        <w:t> </w:t>
      </w:r>
      <w:r>
        <w:rPr/>
        <w:t>s.2(3)(a),</w:t>
      </w:r>
      <w:r>
        <w:rPr>
          <w:spacing w:val="-1"/>
        </w:rPr>
        <w:t> </w:t>
      </w:r>
      <w:r>
        <w:rPr/>
        <w:t>is</w:t>
      </w:r>
      <w:r>
        <w:rPr>
          <w:spacing w:val="-1"/>
        </w:rPr>
        <w:t> </w:t>
      </w:r>
      <w:r>
        <w:rPr/>
        <w:t>for</w:t>
      </w:r>
      <w:r>
        <w:rPr>
          <w:spacing w:val="-1"/>
        </w:rPr>
        <w:t> </w:t>
      </w:r>
      <w:r>
        <w:rPr/>
        <w:t>the</w:t>
      </w:r>
      <w:r>
        <w:rPr>
          <w:spacing w:val="-1"/>
        </w:rPr>
        <w:t> </w:t>
      </w:r>
      <w:r>
        <w:rPr/>
        <w:t>express</w:t>
      </w:r>
      <w:r>
        <w:rPr>
          <w:spacing w:val="-1"/>
        </w:rPr>
        <w:t> </w:t>
      </w:r>
      <w:r>
        <w:rPr/>
        <w:t>term</w:t>
      </w:r>
      <w:r>
        <w:rPr>
          <w:spacing w:val="-1"/>
        </w:rPr>
        <w:t> </w:t>
      </w:r>
      <w:r>
        <w:rPr/>
        <w:t>to</w:t>
      </w:r>
      <w:r>
        <w:rPr>
          <w:spacing w:val="-1"/>
        </w:rPr>
        <w:t> </w:t>
      </w:r>
      <w:r>
        <w:rPr/>
        <w:t>state</w:t>
      </w:r>
      <w:r>
        <w:rPr>
          <w:spacing w:val="-1"/>
        </w:rPr>
        <w:t> </w:t>
      </w:r>
      <w:r>
        <w:rPr/>
        <w:t>that</w:t>
      </w:r>
      <w:r>
        <w:rPr>
          <w:spacing w:val="-1"/>
        </w:rPr>
        <w:t> </w:t>
      </w:r>
      <w:r>
        <w:rPr/>
        <w:t>A</w:t>
      </w:r>
      <w:r>
        <w:rPr>
          <w:spacing w:val="-1"/>
        </w:rPr>
        <w:t> </w:t>
      </w:r>
      <w:r>
        <w:rPr/>
        <w:t>and</w:t>
      </w:r>
      <w:r>
        <w:rPr>
          <w:spacing w:val="-1"/>
        </w:rPr>
        <w:t> </w:t>
      </w:r>
      <w:r>
        <w:rPr/>
        <w:t>B</w:t>
      </w:r>
      <w:r>
        <w:rPr>
          <w:spacing w:val="-1"/>
        </w:rPr>
        <w:t> </w:t>
      </w:r>
      <w:r>
        <w:rPr/>
        <w:t>may</w:t>
      </w:r>
      <w:r>
        <w:rPr>
          <w:spacing w:val="-1"/>
        </w:rPr>
        <w:t> </w:t>
      </w:r>
      <w:r>
        <w:rPr/>
        <w:t>by</w:t>
      </w:r>
      <w:r>
        <w:rPr>
          <w:spacing w:val="-1"/>
        </w:rPr>
        <w:t> </w:t>
      </w:r>
      <w:r>
        <w:rPr/>
        <w:t>agreement rescind or vary the contract, without the consent of C. Under such a term, it is open to A and B to rescind or vary the contract in spite of the fact that C has acquired a right by virtue of s.1(1) and in spite of the fact that one or more of the circumstances specified in s.2(1) have occurred: that is, even after communication of assent by C to A, or after reliance by C of which A is aware or which he could reasonably have been expected to foresee. It is not entirely clear whether it is enough for the express term to provide that A and B by agreement may rescind or vary the contract or whether it must go on to say in so many words that they may do so without the consent of C; but to be sure of achieving the desired result, A and B would be well advised to use the latter form of words.</w:t>
      </w:r>
    </w:p>
    <w:p>
      <w:pPr>
        <w:pStyle w:val="BodyText"/>
      </w:pPr>
    </w:p>
    <w:p>
      <w:pPr>
        <w:pStyle w:val="BodyText"/>
        <w:spacing w:before="35"/>
      </w:pPr>
    </w:p>
    <w:p>
      <w:pPr>
        <w:pStyle w:val="ListParagraph"/>
        <w:numPr>
          <w:ilvl w:val="0"/>
          <w:numId w:val="4"/>
        </w:numPr>
        <w:tabs>
          <w:tab w:pos="435" w:val="left" w:leader="none"/>
        </w:tabs>
        <w:spacing w:line="240" w:lineRule="auto" w:before="1" w:after="0"/>
        <w:ind w:left="435" w:right="0" w:hanging="270"/>
        <w:jc w:val="left"/>
        <w:rPr>
          <w:b/>
          <w:sz w:val="18"/>
        </w:rPr>
      </w:pPr>
      <w:r>
        <w:rPr>
          <w:b/>
          <w:sz w:val="18"/>
        </w:rPr>
        <w:t>Term modifying requirement of C’s </w:t>
      </w:r>
      <w:r>
        <w:rPr>
          <w:b/>
          <w:spacing w:val="-2"/>
          <w:sz w:val="18"/>
        </w:rPr>
        <w:t>consent</w:t>
      </w:r>
    </w:p>
    <w:p>
      <w:pPr>
        <w:pStyle w:val="BodyText"/>
        <w:spacing w:before="49"/>
        <w:rPr>
          <w:rFonts w:ascii="Arial"/>
          <w:b/>
          <w:sz w:val="18"/>
        </w:rPr>
      </w:pPr>
    </w:p>
    <w:p>
      <w:pPr>
        <w:pStyle w:val="BodyText"/>
        <w:spacing w:line="235" w:lineRule="auto"/>
        <w:ind w:left="165" w:right="167"/>
        <w:jc w:val="both"/>
      </w:pPr>
      <w:r>
        <w:rPr/>
        <w:t>The second possibility, stated in s.2(3)(b), is for the express term to provide that the consent of C is required in circumstances other than those specified in s.2(1). For example, the term might provide that such consent was required only for a specified period or that it must be given in a specified </w:t>
      </w:r>
      <w:r>
        <w:rPr/>
        <w:t>form (e.g.</w:t>
      </w:r>
      <w:r>
        <w:rPr>
          <w:spacing w:val="-2"/>
        </w:rPr>
        <w:t> </w:t>
      </w:r>
      <w:r>
        <w:rPr/>
        <w:t>by</w:t>
      </w:r>
      <w:r>
        <w:rPr>
          <w:spacing w:val="-2"/>
        </w:rPr>
        <w:t> </w:t>
      </w:r>
      <w:r>
        <w:rPr/>
        <w:t>registered</w:t>
      </w:r>
      <w:r>
        <w:rPr>
          <w:spacing w:val="-2"/>
        </w:rPr>
        <w:t> </w:t>
      </w:r>
      <w:r>
        <w:rPr/>
        <w:t>letter).</w:t>
      </w:r>
      <w:r>
        <w:rPr>
          <w:spacing w:val="-2"/>
        </w:rPr>
        <w:t> </w:t>
      </w:r>
      <w:r>
        <w:rPr/>
        <w:t>Again,</w:t>
      </w:r>
      <w:r>
        <w:rPr>
          <w:spacing w:val="-2"/>
        </w:rPr>
        <w:t> </w:t>
      </w:r>
      <w:r>
        <w:rPr/>
        <w:t>effect</w:t>
      </w:r>
      <w:r>
        <w:rPr>
          <w:spacing w:val="-2"/>
        </w:rPr>
        <w:t> </w:t>
      </w:r>
      <w:r>
        <w:rPr/>
        <w:t>would</w:t>
      </w:r>
      <w:r>
        <w:rPr>
          <w:spacing w:val="-2"/>
        </w:rPr>
        <w:t> </w:t>
      </w:r>
      <w:r>
        <w:rPr/>
        <w:t>be</w:t>
      </w:r>
      <w:r>
        <w:rPr>
          <w:spacing w:val="-2"/>
        </w:rPr>
        <w:t> </w:t>
      </w:r>
      <w:r>
        <w:rPr/>
        <w:t>given</w:t>
      </w:r>
      <w:r>
        <w:rPr>
          <w:spacing w:val="-2"/>
        </w:rPr>
        <w:t> </w:t>
      </w:r>
      <w:r>
        <w:rPr/>
        <w:t>to</w:t>
      </w:r>
      <w:r>
        <w:rPr>
          <w:spacing w:val="-2"/>
        </w:rPr>
        <w:t> </w:t>
      </w:r>
      <w:r>
        <w:rPr/>
        <w:t>such</w:t>
      </w:r>
      <w:r>
        <w:rPr>
          <w:spacing w:val="-2"/>
        </w:rPr>
        <w:t> </w:t>
      </w:r>
      <w:r>
        <w:rPr/>
        <w:t>provisions,</w:t>
      </w:r>
      <w:r>
        <w:rPr>
          <w:spacing w:val="-2"/>
        </w:rPr>
        <w:t> </w:t>
      </w:r>
      <w:r>
        <w:rPr/>
        <w:t>so</w:t>
      </w:r>
      <w:r>
        <w:rPr>
          <w:spacing w:val="-2"/>
        </w:rPr>
        <w:t> </w:t>
      </w:r>
      <w:r>
        <w:rPr/>
        <w:t>that</w:t>
      </w:r>
      <w:r>
        <w:rPr>
          <w:spacing w:val="-2"/>
        </w:rPr>
        <w:t> </w:t>
      </w:r>
      <w:r>
        <w:rPr/>
        <w:t>in</w:t>
      </w:r>
      <w:r>
        <w:rPr>
          <w:spacing w:val="-2"/>
        </w:rPr>
        <w:t> </w:t>
      </w:r>
      <w:r>
        <w:rPr/>
        <w:t>the</w:t>
      </w:r>
      <w:r>
        <w:rPr>
          <w:spacing w:val="-2"/>
        </w:rPr>
        <w:t> </w:t>
      </w:r>
      <w:r>
        <w:rPr/>
        <w:t>first</w:t>
      </w:r>
      <w:r>
        <w:rPr>
          <w:spacing w:val="-2"/>
        </w:rPr>
        <w:t> </w:t>
      </w:r>
      <w:r>
        <w:rPr/>
        <w:t>of</w:t>
      </w:r>
      <w:r>
        <w:rPr>
          <w:spacing w:val="-2"/>
        </w:rPr>
        <w:t> </w:t>
      </w:r>
      <w:r>
        <w:rPr/>
        <w:t>the</w:t>
      </w:r>
      <w:r>
        <w:rPr>
          <w:spacing w:val="-2"/>
        </w:rPr>
        <w:t> </w:t>
      </w:r>
      <w:r>
        <w:rPr/>
        <w:t>two examples just given, C’s consent would no longer be needed (even after one of the circumstances described in s.2(1) had occurred) after the end of the specified period; while in the second it would be ineffective if not given in the specified form.</w:t>
      </w:r>
    </w:p>
    <w:p>
      <w:pPr>
        <w:pStyle w:val="BodyText"/>
      </w:pPr>
    </w:p>
    <w:p>
      <w:pPr>
        <w:pStyle w:val="BodyText"/>
        <w:spacing w:before="96"/>
      </w:pPr>
    </w:p>
    <w:p>
      <w:pPr>
        <w:spacing w:before="0"/>
        <w:ind w:left="165" w:right="0" w:firstLine="0"/>
        <w:jc w:val="left"/>
        <w:rPr>
          <w:rFonts w:ascii="Arial"/>
          <w:b/>
          <w:sz w:val="18"/>
        </w:rPr>
      </w:pPr>
      <w:r>
        <w:rPr>
          <w:rFonts w:ascii="Arial"/>
          <w:b/>
          <w:sz w:val="18"/>
        </w:rPr>
        <w:t>Judicial discretion to dispense with </w:t>
      </w:r>
      <w:r>
        <w:rPr>
          <w:rFonts w:ascii="Arial"/>
          <w:b/>
          <w:spacing w:val="-2"/>
          <w:sz w:val="18"/>
        </w:rPr>
        <w:t>consent</w:t>
      </w:r>
    </w:p>
    <w:p>
      <w:pPr>
        <w:pStyle w:val="BodyText"/>
        <w:spacing w:before="42"/>
        <w:rPr>
          <w:rFonts w:ascii="Arial"/>
          <w:b/>
          <w:sz w:val="18"/>
        </w:rPr>
      </w:pPr>
    </w:p>
    <w:p>
      <w:pPr>
        <w:pStyle w:val="Heading2"/>
      </w:pPr>
      <w:r>
        <w:rPr/>
        <w:t>18-</w:t>
      </w:r>
      <w:r>
        <w:rPr>
          <w:spacing w:val="-5"/>
        </w:rPr>
        <w:t>111</w:t>
      </w:r>
    </w:p>
    <w:p>
      <w:pPr>
        <w:pStyle w:val="BodyText"/>
        <w:spacing w:line="235" w:lineRule="auto" w:before="202"/>
        <w:ind w:left="164" w:right="167"/>
        <w:jc w:val="both"/>
      </w:pPr>
      <w:r>
        <w:rPr/>
        <w:t>Section 2(4) gives the court power, on the application of A and B, to dispense with the requirement of C’s consent to a rescission or variation of the contract by agreement between A and B in two situations: (a) where C’s consent cannot be obtained because “his whereabouts cannot </w:t>
      </w:r>
      <w:r>
        <w:rPr/>
        <w:t>reasonably</w:t>
      </w:r>
      <w:r>
        <w:rPr>
          <w:spacing w:val="80"/>
        </w:rPr>
        <w:t> </w:t>
      </w:r>
      <w:r>
        <w:rPr/>
        <w:t>be</w:t>
      </w:r>
      <w:r>
        <w:rPr>
          <w:spacing w:val="-1"/>
        </w:rPr>
        <w:t> </w:t>
      </w:r>
      <w:r>
        <w:rPr/>
        <w:t>ascertained”;</w:t>
      </w:r>
      <w:r>
        <w:rPr>
          <w:spacing w:val="-1"/>
        </w:rPr>
        <w:t> </w:t>
      </w:r>
      <w:r>
        <w:rPr/>
        <w:t>or</w:t>
      </w:r>
      <w:r>
        <w:rPr>
          <w:spacing w:val="-1"/>
        </w:rPr>
        <w:t> </w:t>
      </w:r>
      <w:r>
        <w:rPr/>
        <w:t>(b)</w:t>
      </w:r>
      <w:r>
        <w:rPr>
          <w:spacing w:val="-1"/>
        </w:rPr>
        <w:t> </w:t>
      </w:r>
      <w:r>
        <w:rPr/>
        <w:t>where</w:t>
      </w:r>
      <w:r>
        <w:rPr>
          <w:spacing w:val="-1"/>
        </w:rPr>
        <w:t> </w:t>
      </w:r>
      <w:r>
        <w:rPr/>
        <w:t>he</w:t>
      </w:r>
      <w:r>
        <w:rPr>
          <w:spacing w:val="-1"/>
        </w:rPr>
        <w:t> </w:t>
      </w:r>
      <w:r>
        <w:rPr/>
        <w:t>is</w:t>
      </w:r>
      <w:r>
        <w:rPr>
          <w:spacing w:val="-1"/>
        </w:rPr>
        <w:t> </w:t>
      </w:r>
      <w:r>
        <w:rPr/>
        <w:t>mentally</w:t>
      </w:r>
      <w:r>
        <w:rPr>
          <w:spacing w:val="-1"/>
        </w:rPr>
        <w:t> </w:t>
      </w:r>
      <w:r>
        <w:rPr/>
        <w:t>incapable</w:t>
      </w:r>
      <w:r>
        <w:rPr>
          <w:spacing w:val="-1"/>
        </w:rPr>
        <w:t> </w:t>
      </w:r>
      <w:r>
        <w:rPr/>
        <w:t>of</w:t>
      </w:r>
      <w:r>
        <w:rPr>
          <w:spacing w:val="-1"/>
        </w:rPr>
        <w:t> </w:t>
      </w:r>
      <w:r>
        <w:rPr/>
        <w:t>giving</w:t>
      </w:r>
      <w:r>
        <w:rPr>
          <w:spacing w:val="-1"/>
        </w:rPr>
        <w:t> </w:t>
      </w:r>
      <w:r>
        <w:rPr/>
        <w:t>his</w:t>
      </w:r>
      <w:r>
        <w:rPr>
          <w:spacing w:val="-1"/>
        </w:rPr>
        <w:t> </w:t>
      </w:r>
      <w:r>
        <w:rPr/>
        <w:t>consent.</w:t>
      </w:r>
      <w:r>
        <w:rPr>
          <w:spacing w:val="-1"/>
        </w:rPr>
        <w:t> </w:t>
      </w:r>
      <w:r>
        <w:rPr/>
        <w:t>On</w:t>
      </w:r>
      <w:r>
        <w:rPr>
          <w:spacing w:val="-1"/>
        </w:rPr>
        <w:t> </w:t>
      </w:r>
      <w:r>
        <w:rPr/>
        <w:t>a</w:t>
      </w:r>
      <w:r>
        <w:rPr>
          <w:spacing w:val="-1"/>
        </w:rPr>
        <w:t> </w:t>
      </w:r>
      <w:r>
        <w:rPr/>
        <w:t>similar</w:t>
      </w:r>
      <w:r>
        <w:rPr>
          <w:spacing w:val="-1"/>
        </w:rPr>
        <w:t> </w:t>
      </w:r>
      <w:r>
        <w:rPr/>
        <w:t>principle,</w:t>
      </w:r>
      <w:r>
        <w:rPr>
          <w:spacing w:val="-1"/>
        </w:rPr>
        <w:t> </w:t>
      </w:r>
      <w:r>
        <w:rPr/>
        <w:t>the </w:t>
      </w:r>
      <w:bookmarkStart w:name="_bookmark1194" w:id="1196"/>
      <w:bookmarkEnd w:id="1196"/>
      <w:r>
        <w:rPr/>
        <w:t>court</w:t>
      </w:r>
      <w:r>
        <w:rPr/>
        <w:t> has under s.2(5) the same power where it is alleged that C’s consent is required because A could reasonably have foreseen that C would rely on the term </w:t>
      </w:r>
      <w:r>
        <w:rPr>
          <w:color w:val="005DA1"/>
          <w:u w:val="single" w:color="005DA1"/>
          <w:vertAlign w:val="superscript"/>
        </w:rPr>
        <w:t>684</w:t>
      </w:r>
      <w:r>
        <w:rPr>
          <w:color w:val="005DA1"/>
          <w:vertAlign w:val="baseline"/>
        </w:rPr>
        <w:t> </w:t>
      </w:r>
      <w:r>
        <w:rPr>
          <w:vertAlign w:val="baseline"/>
        </w:rPr>
        <w:t>but it cannot reasonably be </w:t>
      </w:r>
      <w:bookmarkStart w:name="_bookmark1195" w:id="1197"/>
      <w:bookmarkEnd w:id="1197"/>
      <w:r>
        <w:rPr>
          <w:vertAlign w:val="baseline"/>
        </w:rPr>
        <w:t>ascertained</w:t>
      </w:r>
      <w:r>
        <w:rPr>
          <w:spacing w:val="-1"/>
          <w:vertAlign w:val="baseline"/>
        </w:rPr>
        <w:t> </w:t>
      </w:r>
      <w:r>
        <w:rPr>
          <w:vertAlign w:val="baseline"/>
        </w:rPr>
        <w:t>whether</w:t>
      </w:r>
      <w:r>
        <w:rPr>
          <w:spacing w:val="-1"/>
          <w:vertAlign w:val="baseline"/>
        </w:rPr>
        <w:t> </w:t>
      </w:r>
      <w:r>
        <w:rPr>
          <w:vertAlign w:val="baseline"/>
        </w:rPr>
        <w:t>he</w:t>
      </w:r>
      <w:r>
        <w:rPr>
          <w:spacing w:val="-1"/>
          <w:vertAlign w:val="baseline"/>
        </w:rPr>
        <w:t> </w:t>
      </w:r>
      <w:r>
        <w:rPr>
          <w:vertAlign w:val="baseline"/>
        </w:rPr>
        <w:t>has</w:t>
      </w:r>
      <w:r>
        <w:rPr>
          <w:spacing w:val="-1"/>
          <w:vertAlign w:val="baseline"/>
        </w:rPr>
        <w:t> </w:t>
      </w:r>
      <w:r>
        <w:rPr>
          <w:vertAlign w:val="baseline"/>
        </w:rPr>
        <w:t>in</w:t>
      </w:r>
      <w:r>
        <w:rPr>
          <w:spacing w:val="-1"/>
          <w:vertAlign w:val="baseline"/>
        </w:rPr>
        <w:t> </w:t>
      </w:r>
      <w:r>
        <w:rPr>
          <w:vertAlign w:val="baseline"/>
        </w:rPr>
        <w:t>fact</w:t>
      </w:r>
      <w:r>
        <w:rPr>
          <w:spacing w:val="-1"/>
          <w:vertAlign w:val="baseline"/>
        </w:rPr>
        <w:t> </w:t>
      </w:r>
      <w:r>
        <w:rPr>
          <w:vertAlign w:val="baseline"/>
        </w:rPr>
        <w:t>relied</w:t>
      </w:r>
      <w:r>
        <w:rPr>
          <w:spacing w:val="-1"/>
          <w:vertAlign w:val="baseline"/>
        </w:rPr>
        <w:t> </w:t>
      </w:r>
      <w:r>
        <w:rPr>
          <w:vertAlign w:val="baseline"/>
        </w:rPr>
        <w:t>on</w:t>
      </w:r>
      <w:r>
        <w:rPr>
          <w:spacing w:val="-1"/>
          <w:vertAlign w:val="baseline"/>
        </w:rPr>
        <w:t> </w:t>
      </w:r>
      <w:r>
        <w:rPr>
          <w:vertAlign w:val="baseline"/>
        </w:rPr>
        <w:t>it.</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under</w:t>
      </w:r>
      <w:r>
        <w:rPr>
          <w:spacing w:val="-1"/>
          <w:vertAlign w:val="baseline"/>
        </w:rPr>
        <w:t> </w:t>
      </w:r>
      <w:r>
        <w:rPr>
          <w:vertAlign w:val="baseline"/>
        </w:rPr>
        <w:t>these</w:t>
      </w:r>
      <w:r>
        <w:rPr>
          <w:spacing w:val="-1"/>
          <w:vertAlign w:val="baseline"/>
        </w:rPr>
        <w:t> </w:t>
      </w:r>
      <w:r>
        <w:rPr>
          <w:vertAlign w:val="baseline"/>
        </w:rPr>
        <w:t>provisions</w:t>
      </w:r>
      <w:r>
        <w:rPr>
          <w:spacing w:val="-1"/>
          <w:vertAlign w:val="baseline"/>
        </w:rPr>
        <w:t> </w:t>
      </w:r>
      <w:r>
        <w:rPr>
          <w:vertAlign w:val="baseline"/>
        </w:rPr>
        <w:t>dispenses</w:t>
      </w:r>
      <w:r>
        <w:rPr>
          <w:spacing w:val="-1"/>
          <w:vertAlign w:val="baseline"/>
        </w:rPr>
        <w:t> </w:t>
      </w:r>
      <w:r>
        <w:rPr>
          <w:vertAlign w:val="baseline"/>
        </w:rPr>
        <w:t>with C’s</w:t>
      </w:r>
      <w:r>
        <w:rPr>
          <w:spacing w:val="-2"/>
          <w:vertAlign w:val="baseline"/>
        </w:rPr>
        <w:t> </w:t>
      </w:r>
      <w:r>
        <w:rPr>
          <w:vertAlign w:val="baseline"/>
        </w:rPr>
        <w:t>consent,</w:t>
      </w:r>
      <w:r>
        <w:rPr>
          <w:spacing w:val="-2"/>
          <w:vertAlign w:val="baseline"/>
        </w:rPr>
        <w:t> </w:t>
      </w:r>
      <w:r>
        <w:rPr>
          <w:vertAlign w:val="baseline"/>
        </w:rPr>
        <w:t>it</w:t>
      </w:r>
      <w:r>
        <w:rPr>
          <w:spacing w:val="-2"/>
          <w:vertAlign w:val="baseline"/>
        </w:rPr>
        <w:t> </w:t>
      </w:r>
      <w:r>
        <w:rPr>
          <w:vertAlign w:val="baseline"/>
        </w:rPr>
        <w:t>may</w:t>
      </w:r>
      <w:r>
        <w:rPr>
          <w:spacing w:val="-2"/>
          <w:vertAlign w:val="baseline"/>
        </w:rPr>
        <w:t> </w:t>
      </w:r>
      <w:r>
        <w:rPr>
          <w:vertAlign w:val="baseline"/>
        </w:rPr>
        <w:t>order</w:t>
      </w:r>
      <w:r>
        <w:rPr>
          <w:spacing w:val="-2"/>
          <w:vertAlign w:val="baseline"/>
        </w:rPr>
        <w:t> </w:t>
      </w:r>
      <w:r>
        <w:rPr>
          <w:vertAlign w:val="baseline"/>
        </w:rPr>
        <w:t>compensation</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paid</w:t>
      </w:r>
      <w:r>
        <w:rPr>
          <w:spacing w:val="-2"/>
          <w:vertAlign w:val="baseline"/>
        </w:rPr>
        <w:t> </w:t>
      </w:r>
      <w:r>
        <w:rPr>
          <w:vertAlign w:val="baseline"/>
        </w:rPr>
        <w:t>to</w:t>
      </w:r>
      <w:r>
        <w:rPr>
          <w:spacing w:val="-2"/>
          <w:vertAlign w:val="baseline"/>
        </w:rPr>
        <w:t> </w:t>
      </w:r>
      <w:r>
        <w:rPr>
          <w:vertAlign w:val="baseline"/>
        </w:rPr>
        <w:t>him</w:t>
      </w:r>
      <w:r>
        <w:rPr>
          <w:spacing w:val="-3"/>
          <w:vertAlign w:val="baseline"/>
        </w:rPr>
        <w:t> </w:t>
      </w:r>
      <w:r>
        <w:rPr>
          <w:color w:val="005DA1"/>
          <w:u w:val="single" w:color="005DA1"/>
          <w:vertAlign w:val="superscript"/>
        </w:rPr>
        <w:t>685</w:t>
      </w:r>
      <w:r>
        <w:rPr>
          <w:vertAlign w:val="baseline"/>
        </w:rPr>
        <w:t>;</w:t>
      </w:r>
      <w:r>
        <w:rPr>
          <w:spacing w:val="-2"/>
          <w:vertAlign w:val="baseline"/>
        </w:rPr>
        <w:t> </w:t>
      </w:r>
      <w:r>
        <w:rPr>
          <w:vertAlign w:val="baseline"/>
        </w:rPr>
        <w:t>such</w:t>
      </w:r>
      <w:r>
        <w:rPr>
          <w:spacing w:val="-2"/>
          <w:vertAlign w:val="baseline"/>
        </w:rPr>
        <w:t> </w:t>
      </w:r>
      <w:r>
        <w:rPr>
          <w:vertAlign w:val="baseline"/>
        </w:rPr>
        <w:t>an</w:t>
      </w:r>
      <w:r>
        <w:rPr>
          <w:spacing w:val="-2"/>
          <w:vertAlign w:val="baseline"/>
        </w:rPr>
        <w:t> </w:t>
      </w:r>
      <w:r>
        <w:rPr>
          <w:vertAlign w:val="baseline"/>
        </w:rPr>
        <w:t>order</w:t>
      </w:r>
      <w:r>
        <w:rPr>
          <w:spacing w:val="-2"/>
          <w:vertAlign w:val="baseline"/>
        </w:rPr>
        <w:t> </w:t>
      </w:r>
      <w:r>
        <w:rPr>
          <w:vertAlign w:val="baseline"/>
        </w:rPr>
        <w:t>may</w:t>
      </w:r>
      <w:r>
        <w:rPr>
          <w:spacing w:val="-2"/>
          <w:vertAlign w:val="baseline"/>
        </w:rPr>
        <w:t> </w:t>
      </w:r>
      <w:r>
        <w:rPr>
          <w:vertAlign w:val="baseline"/>
        </w:rPr>
        <w:t>presumably</w:t>
      </w:r>
      <w:r>
        <w:rPr>
          <w:spacing w:val="-2"/>
          <w:vertAlign w:val="baseline"/>
        </w:rPr>
        <w:t> </w:t>
      </w:r>
      <w:r>
        <w:rPr>
          <w:vertAlign w:val="baseline"/>
        </w:rPr>
        <w:t>be</w:t>
      </w:r>
      <w:r>
        <w:rPr>
          <w:spacing w:val="-2"/>
          <w:vertAlign w:val="baseline"/>
        </w:rPr>
        <w:t> </w:t>
      </w:r>
      <w:r>
        <w:rPr>
          <w:vertAlign w:val="baseline"/>
        </w:rPr>
        <w:t>made against either A or B or both of them.</w:t>
      </w:r>
    </w:p>
    <w:p>
      <w:pPr>
        <w:pStyle w:val="BodyText"/>
        <w:spacing w:after="0" w:line="235" w:lineRule="auto"/>
        <w:jc w:val="both"/>
        <w:sectPr>
          <w:pgSz w:w="11900" w:h="16840"/>
          <w:pgMar w:header="971" w:footer="0" w:top="1160" w:bottom="280" w:left="1275" w:right="1275"/>
        </w:sectPr>
      </w:pPr>
    </w:p>
    <w:p>
      <w:pPr>
        <w:pStyle w:val="BodyText"/>
        <w:rPr>
          <w:sz w:val="18"/>
        </w:rPr>
      </w:pPr>
    </w:p>
    <w:p>
      <w:pPr>
        <w:pStyle w:val="BodyText"/>
        <w:spacing w:before="179"/>
        <w:rPr>
          <w:sz w:val="18"/>
        </w:rPr>
      </w:pPr>
    </w:p>
    <w:p>
      <w:pPr>
        <w:spacing w:before="0"/>
        <w:ind w:left="165" w:right="0" w:firstLine="0"/>
        <w:jc w:val="left"/>
        <w:rPr>
          <w:rFonts w:ascii="Arial" w:hAnsi="Arial"/>
          <w:b/>
          <w:sz w:val="18"/>
        </w:rPr>
      </w:pPr>
      <w:r>
        <w:rPr>
          <w:rFonts w:ascii="Arial" w:hAnsi="Arial"/>
          <w:b/>
          <w:sz w:val="18"/>
        </w:rPr>
        <w:t>Promisor’s defences against third </w:t>
      </w:r>
      <w:r>
        <w:rPr>
          <w:rFonts w:ascii="Arial" w:hAnsi="Arial"/>
          <w:b/>
          <w:spacing w:val="-2"/>
          <w:sz w:val="18"/>
        </w:rPr>
        <w:t>party</w:t>
      </w:r>
    </w:p>
    <w:p>
      <w:pPr>
        <w:pStyle w:val="BodyText"/>
        <w:spacing w:before="41"/>
        <w:rPr>
          <w:rFonts w:ascii="Arial"/>
          <w:b/>
          <w:sz w:val="18"/>
        </w:rPr>
      </w:pPr>
    </w:p>
    <w:p>
      <w:pPr>
        <w:pStyle w:val="Heading2"/>
        <w:spacing w:before="1"/>
      </w:pPr>
      <w:r>
        <w:rPr/>
        <w:t>18-</w:t>
      </w:r>
      <w:r>
        <w:rPr>
          <w:spacing w:val="-5"/>
        </w:rPr>
        <w:t>112</w:t>
      </w:r>
    </w:p>
    <w:p>
      <w:pPr>
        <w:pStyle w:val="BodyText"/>
        <w:spacing w:line="235" w:lineRule="auto" w:before="202"/>
        <w:ind w:left="165" w:right="167"/>
        <w:jc w:val="both"/>
      </w:pPr>
      <w:r>
        <w:rPr/>
        <w:t>Section 3 of the 1999 Act contains an elaborate set of provisions which specify matters on which </w:t>
      </w:r>
      <w:r>
        <w:rPr/>
        <w:t>A </w:t>
      </w:r>
      <w:bookmarkStart w:name="_bookmark1196" w:id="1198"/>
      <w:bookmarkEnd w:id="1198"/>
      <w:r>
        <w:rPr/>
        <w:t>can</w:t>
      </w:r>
      <w:r>
        <w:rPr/>
        <w:t> rely by way of defence, set-off or counterclaim against C in an action by C for the enforcement,</w:t>
      </w:r>
      <w:r>
        <w:rPr>
          <w:spacing w:val="40"/>
        </w:rPr>
        <w:t> </w:t>
      </w:r>
      <w:r>
        <w:rPr/>
        <w:t>“in reliance on section 1,” </w:t>
      </w:r>
      <w:r>
        <w:rPr>
          <w:color w:val="005DA1"/>
          <w:u w:val="single" w:color="005DA1"/>
          <w:vertAlign w:val="superscript"/>
        </w:rPr>
        <w:t>686</w:t>
      </w:r>
      <w:r>
        <w:rPr>
          <w:color w:val="005DA1"/>
          <w:vertAlign w:val="baseline"/>
        </w:rPr>
        <w:t> </w:t>
      </w:r>
      <w:r>
        <w:rPr>
          <w:vertAlign w:val="baseline"/>
        </w:rPr>
        <w:t>of a term of the contract between A and B.</w:t>
      </w:r>
    </w:p>
    <w:p>
      <w:pPr>
        <w:pStyle w:val="BodyText"/>
        <w:spacing w:before="208"/>
      </w:pPr>
    </w:p>
    <w:p>
      <w:pPr>
        <w:pStyle w:val="ListParagraph"/>
        <w:numPr>
          <w:ilvl w:val="0"/>
          <w:numId w:val="5"/>
        </w:numPr>
        <w:tabs>
          <w:tab w:pos="435" w:val="left" w:leader="none"/>
        </w:tabs>
        <w:spacing w:line="240" w:lineRule="auto" w:before="0" w:after="0"/>
        <w:ind w:left="435" w:right="0" w:hanging="270"/>
        <w:jc w:val="left"/>
        <w:rPr>
          <w:b/>
          <w:sz w:val="18"/>
        </w:rPr>
      </w:pPr>
      <w:r>
        <w:rPr>
          <w:b/>
          <w:sz w:val="18"/>
        </w:rPr>
        <w:t>General </w:t>
      </w:r>
      <w:r>
        <w:rPr>
          <w:b/>
          <w:spacing w:val="-2"/>
          <w:sz w:val="18"/>
        </w:rPr>
        <w:t>principle</w:t>
      </w:r>
    </w:p>
    <w:p>
      <w:pPr>
        <w:pStyle w:val="BodyText"/>
        <w:spacing w:before="49"/>
        <w:rPr>
          <w:rFonts w:ascii="Arial"/>
          <w:b/>
          <w:sz w:val="18"/>
        </w:rPr>
      </w:pPr>
    </w:p>
    <w:p>
      <w:pPr>
        <w:pStyle w:val="BodyText"/>
        <w:spacing w:line="235" w:lineRule="auto" w:before="1"/>
        <w:ind w:left="164" w:right="167"/>
        <w:jc w:val="both"/>
      </w:pPr>
      <w:r>
        <w:rPr/>
        <w:t>The starting principle, stated in s.3(2), is that A can rely by way of defence, or set-off on any </w:t>
      </w:r>
      <w:r>
        <w:rPr/>
        <w:t>matter that “arises from or in connection with the contract [between A and B] and is relevant to the term” and would</w:t>
      </w:r>
      <w:r>
        <w:rPr>
          <w:spacing w:val="-2"/>
        </w:rPr>
        <w:t> </w:t>
      </w:r>
      <w:r>
        <w:rPr/>
        <w:t>have</w:t>
      </w:r>
      <w:r>
        <w:rPr>
          <w:spacing w:val="-2"/>
        </w:rPr>
        <w:t> </w:t>
      </w:r>
      <w:r>
        <w:rPr/>
        <w:t>been</w:t>
      </w:r>
      <w:r>
        <w:rPr>
          <w:spacing w:val="-2"/>
        </w:rPr>
        <w:t> </w:t>
      </w:r>
      <w:r>
        <w:rPr/>
        <w:t>available</w:t>
      </w:r>
      <w:r>
        <w:rPr>
          <w:spacing w:val="-2"/>
        </w:rPr>
        <w:t> </w:t>
      </w:r>
      <w:r>
        <w:rPr/>
        <w:t>to</w:t>
      </w:r>
      <w:r>
        <w:rPr>
          <w:spacing w:val="-2"/>
        </w:rPr>
        <w:t> </w:t>
      </w:r>
      <w:r>
        <w:rPr/>
        <w:t>A</w:t>
      </w:r>
      <w:r>
        <w:rPr>
          <w:spacing w:val="-2"/>
        </w:rPr>
        <w:t> </w:t>
      </w:r>
      <w:r>
        <w:rPr/>
        <w:t>if</w:t>
      </w:r>
      <w:r>
        <w:rPr>
          <w:spacing w:val="-2"/>
        </w:rPr>
        <w:t> </w:t>
      </w:r>
      <w:r>
        <w:rPr/>
        <w:t>the</w:t>
      </w:r>
      <w:r>
        <w:rPr>
          <w:spacing w:val="-2"/>
        </w:rPr>
        <w:t> </w:t>
      </w:r>
      <w:r>
        <w:rPr/>
        <w:t>proceedings</w:t>
      </w:r>
      <w:r>
        <w:rPr>
          <w:spacing w:val="-2"/>
        </w:rPr>
        <w:t> </w:t>
      </w:r>
      <w:r>
        <w:rPr/>
        <w:t>(to</w:t>
      </w:r>
      <w:r>
        <w:rPr>
          <w:spacing w:val="-2"/>
        </w:rPr>
        <w:t> </w:t>
      </w:r>
      <w:r>
        <w:rPr/>
        <w:t>enforce</w:t>
      </w:r>
      <w:r>
        <w:rPr>
          <w:spacing w:val="-2"/>
        </w:rPr>
        <w:t> </w:t>
      </w:r>
      <w:r>
        <w:rPr/>
        <w:t>the</w:t>
      </w:r>
      <w:r>
        <w:rPr>
          <w:spacing w:val="-2"/>
        </w:rPr>
        <w:t> </w:t>
      </w:r>
      <w:r>
        <w:rPr/>
        <w:t>term)</w:t>
      </w:r>
      <w:r>
        <w:rPr>
          <w:spacing w:val="-2"/>
        </w:rPr>
        <w:t> </w:t>
      </w:r>
      <w:r>
        <w:rPr/>
        <w:t>had</w:t>
      </w:r>
      <w:r>
        <w:rPr>
          <w:spacing w:val="-2"/>
        </w:rPr>
        <w:t> </w:t>
      </w:r>
      <w:r>
        <w:rPr/>
        <w:t>been</w:t>
      </w:r>
      <w:r>
        <w:rPr>
          <w:spacing w:val="-2"/>
        </w:rPr>
        <w:t> </w:t>
      </w:r>
      <w:r>
        <w:rPr/>
        <w:t>brought</w:t>
      </w:r>
      <w:r>
        <w:rPr>
          <w:spacing w:val="-2"/>
        </w:rPr>
        <w:t> </w:t>
      </w:r>
      <w:r>
        <w:rPr/>
        <w:t>by</w:t>
      </w:r>
      <w:r>
        <w:rPr>
          <w:spacing w:val="-2"/>
        </w:rPr>
        <w:t> </w:t>
      </w:r>
      <w:r>
        <w:rPr/>
        <w:t>B.</w:t>
      </w:r>
      <w:r>
        <w:rPr>
          <w:spacing w:val="-2"/>
        </w:rPr>
        <w:t> </w:t>
      </w:r>
      <w:r>
        <w:rPr/>
        <w:t>Under </w:t>
      </w:r>
      <w:bookmarkStart w:name="_bookmark1197" w:id="1199"/>
      <w:bookmarkEnd w:id="1199"/>
      <w:r>
        <w:rPr/>
        <w:t>this</w:t>
      </w:r>
      <w:r>
        <w:rPr/>
        <w:t> principle, A could, for example, rely against C on a valid exemption clause in the contract</w:t>
      </w:r>
      <w:r>
        <w:rPr>
          <w:spacing w:val="40"/>
        </w:rPr>
        <w:t> </w:t>
      </w:r>
      <w:bookmarkStart w:name="_bookmark1198" w:id="1200"/>
      <w:bookmarkEnd w:id="1200"/>
      <w:r>
        <w:rPr/>
        <w:t>between</w:t>
      </w:r>
      <w:r>
        <w:rPr/>
        <w:t> A and B </w:t>
      </w:r>
      <w:r>
        <w:rPr>
          <w:color w:val="005DA1"/>
          <w:u w:val="single" w:color="005DA1"/>
          <w:vertAlign w:val="superscript"/>
        </w:rPr>
        <w:t>687</w:t>
      </w:r>
      <w:r>
        <w:rPr>
          <w:vertAlign w:val="baseline"/>
        </w:rPr>
        <w:t>; and on the fact that the contract was void for mistake or voidable for misrepresentation, </w:t>
      </w:r>
      <w:r>
        <w:rPr>
          <w:color w:val="005DA1"/>
          <w:u w:val="single" w:color="005DA1"/>
          <w:vertAlign w:val="superscript"/>
        </w:rPr>
        <w:t>688</w:t>
      </w:r>
      <w:r>
        <w:rPr>
          <w:color w:val="005DA1"/>
          <w:vertAlign w:val="baseline"/>
        </w:rPr>
        <w:t> </w:t>
      </w:r>
      <w:r>
        <w:rPr>
          <w:vertAlign w:val="baseline"/>
        </w:rPr>
        <w:t>or that it had been frustrated or that A was justified in refusing to perform it on account of B’s repudiatory breach.</w:t>
      </w:r>
    </w:p>
    <w:p>
      <w:pPr>
        <w:pStyle w:val="BodyText"/>
      </w:pPr>
    </w:p>
    <w:p>
      <w:pPr>
        <w:pStyle w:val="BodyText"/>
        <w:spacing w:before="36"/>
      </w:pPr>
    </w:p>
    <w:p>
      <w:pPr>
        <w:pStyle w:val="ListParagraph"/>
        <w:numPr>
          <w:ilvl w:val="0"/>
          <w:numId w:val="5"/>
        </w:numPr>
        <w:tabs>
          <w:tab w:pos="434" w:val="left" w:leader="none"/>
        </w:tabs>
        <w:spacing w:line="240" w:lineRule="auto" w:before="0" w:after="0"/>
        <w:ind w:left="434" w:right="0" w:hanging="270"/>
        <w:jc w:val="left"/>
        <w:rPr>
          <w:b/>
          <w:sz w:val="18"/>
        </w:rPr>
      </w:pPr>
      <w:r>
        <w:rPr>
          <w:b/>
          <w:sz w:val="18"/>
        </w:rPr>
        <w:t>Contrary </w:t>
      </w:r>
      <w:r>
        <w:rPr>
          <w:b/>
          <w:spacing w:val="-2"/>
          <w:sz w:val="18"/>
        </w:rPr>
        <w:t>provision</w:t>
      </w:r>
    </w:p>
    <w:p>
      <w:pPr>
        <w:pStyle w:val="BodyText"/>
        <w:spacing w:before="41"/>
        <w:rPr>
          <w:rFonts w:ascii="Arial"/>
          <w:b/>
          <w:sz w:val="18"/>
        </w:rPr>
      </w:pPr>
    </w:p>
    <w:p>
      <w:pPr>
        <w:pStyle w:val="Heading2"/>
        <w:ind w:left="164"/>
      </w:pPr>
      <w:r>
        <w:rPr/>
        <w:t>18-</w:t>
      </w:r>
      <w:r>
        <w:rPr>
          <w:spacing w:val="-5"/>
        </w:rPr>
        <w:t>113</w:t>
      </w:r>
    </w:p>
    <w:p>
      <w:pPr>
        <w:pStyle w:val="BodyText"/>
        <w:spacing w:line="235" w:lineRule="auto" w:before="203"/>
        <w:ind w:left="164" w:right="167"/>
        <w:jc w:val="both"/>
      </w:pPr>
      <w:bookmarkStart w:name="_bookmark1199" w:id="1201"/>
      <w:bookmarkEnd w:id="1201"/>
      <w:r>
        <w:rPr/>
      </w:r>
      <w:r>
        <w:rPr/>
        <w:t>The above general principle can be excluded by a contrary provision in the contract: i.e. by a term in the contract between A and B that A is not to be entitled to rely on such matters against C </w:t>
      </w:r>
      <w:r>
        <w:rPr>
          <w:color w:val="005DA1"/>
          <w:u w:val="single" w:color="005DA1"/>
          <w:vertAlign w:val="superscript"/>
        </w:rPr>
        <w:t>689</w:t>
      </w:r>
      <w:r>
        <w:rPr>
          <w:vertAlign w:val="baseline"/>
        </w:rPr>
        <w:t>; though where the contract between A and B was wholly void such a term would appear to be of no </w:t>
      </w:r>
      <w:r>
        <w:rPr>
          <w:vertAlign w:val="baseline"/>
        </w:rPr>
        <w:t>more effect than the rest of the purported contract. The general principle can, conversely, be extended by an</w:t>
      </w:r>
      <w:r>
        <w:rPr>
          <w:spacing w:val="-1"/>
          <w:vertAlign w:val="baseline"/>
        </w:rPr>
        <w:t> </w:t>
      </w:r>
      <w:r>
        <w:rPr>
          <w:vertAlign w:val="baseline"/>
        </w:rPr>
        <w:t>express</w:t>
      </w:r>
      <w:r>
        <w:rPr>
          <w:spacing w:val="-1"/>
          <w:vertAlign w:val="baseline"/>
        </w:rPr>
        <w:t> </w:t>
      </w:r>
      <w:r>
        <w:rPr>
          <w:vertAlign w:val="baseline"/>
        </w:rPr>
        <w:t>term</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Section</w:t>
      </w:r>
      <w:r>
        <w:rPr>
          <w:spacing w:val="-1"/>
          <w:vertAlign w:val="baseline"/>
        </w:rPr>
        <w:t> </w:t>
      </w:r>
      <w:r>
        <w:rPr>
          <w:vertAlign w:val="baseline"/>
        </w:rPr>
        <w:t>3(3)</w:t>
      </w:r>
      <w:r>
        <w:rPr>
          <w:spacing w:val="-1"/>
          <w:vertAlign w:val="baseline"/>
        </w:rPr>
        <w:t> </w:t>
      </w:r>
      <w:r>
        <w:rPr>
          <w:vertAlign w:val="baseline"/>
        </w:rPr>
        <w:t>provides</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can</w:t>
      </w:r>
      <w:r>
        <w:rPr>
          <w:spacing w:val="-1"/>
          <w:vertAlign w:val="baseline"/>
        </w:rPr>
        <w:t> </w:t>
      </w:r>
      <w:r>
        <w:rPr>
          <w:vertAlign w:val="baseline"/>
        </w:rPr>
        <w:t>(in</w:t>
      </w:r>
      <w:r>
        <w:rPr>
          <w:spacing w:val="-1"/>
          <w:vertAlign w:val="baseline"/>
        </w:rPr>
        <w:t> </w:t>
      </w:r>
      <w:r>
        <w:rPr>
          <w:vertAlign w:val="baseline"/>
        </w:rPr>
        <w:t>addition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matters</w:t>
      </w:r>
      <w:r>
        <w:rPr>
          <w:spacing w:val="-1"/>
          <w:vertAlign w:val="baseline"/>
        </w:rPr>
        <w:t> </w:t>
      </w:r>
      <w:r>
        <w:rPr>
          <w:vertAlign w:val="baseline"/>
        </w:rPr>
        <w:t>referred</w:t>
      </w:r>
      <w:r>
        <w:rPr>
          <w:spacing w:val="-1"/>
          <w:vertAlign w:val="baseline"/>
        </w:rPr>
        <w:t> </w:t>
      </w:r>
      <w:r>
        <w:rPr>
          <w:vertAlign w:val="baseline"/>
        </w:rPr>
        <w:t>to in s.3(2)) rely by way of defence or set-off against C on any matter if “an express term of the contract provides for it to be available to him [A] in proceedings brought by” C and it would have been so available to A in proceedings brought by B. Under this provision, A could rely against C on debts</w:t>
      </w:r>
      <w:r>
        <w:rPr>
          <w:spacing w:val="40"/>
          <w:vertAlign w:val="baseline"/>
        </w:rPr>
        <w:t> </w:t>
      </w:r>
      <w:r>
        <w:rPr>
          <w:vertAlign w:val="baseline"/>
        </w:rPr>
        <w:t>owed by B to A even though the debts arose out of other transactions, if the contract containing the term which C was seeking to enforce contained an express term that A was to be entitled to rely on those debts also against C.</w:t>
      </w:r>
    </w:p>
    <w:p>
      <w:pPr>
        <w:pStyle w:val="BodyText"/>
      </w:pPr>
    </w:p>
    <w:p>
      <w:pPr>
        <w:pStyle w:val="BodyText"/>
        <w:spacing w:before="34"/>
      </w:pPr>
    </w:p>
    <w:p>
      <w:pPr>
        <w:pStyle w:val="ListParagraph"/>
        <w:numPr>
          <w:ilvl w:val="0"/>
          <w:numId w:val="5"/>
        </w:numPr>
        <w:tabs>
          <w:tab w:pos="434" w:val="left" w:leader="none"/>
        </w:tabs>
        <w:spacing w:line="240" w:lineRule="auto" w:before="0" w:after="0"/>
        <w:ind w:left="434" w:right="0" w:hanging="270"/>
        <w:jc w:val="left"/>
        <w:rPr>
          <w:b/>
          <w:sz w:val="18"/>
        </w:rPr>
      </w:pPr>
      <w:r>
        <w:rPr>
          <w:b/>
          <w:sz w:val="18"/>
        </w:rPr>
        <w:t>Defence against C </w:t>
      </w:r>
      <w:r>
        <w:rPr>
          <w:b/>
          <w:spacing w:val="-4"/>
          <w:sz w:val="18"/>
        </w:rPr>
        <w:t>only</w:t>
      </w:r>
    </w:p>
    <w:p>
      <w:pPr>
        <w:pStyle w:val="BodyText"/>
        <w:spacing w:before="41"/>
        <w:rPr>
          <w:rFonts w:ascii="Arial"/>
          <w:b/>
          <w:sz w:val="18"/>
        </w:rPr>
      </w:pPr>
    </w:p>
    <w:p>
      <w:pPr>
        <w:pStyle w:val="Heading2"/>
        <w:ind w:left="164"/>
      </w:pPr>
      <w:r>
        <w:rPr/>
        <w:t>18-</w:t>
      </w:r>
      <w:r>
        <w:rPr>
          <w:spacing w:val="-5"/>
        </w:rPr>
        <w:t>114</w:t>
      </w:r>
    </w:p>
    <w:p>
      <w:pPr>
        <w:pStyle w:val="BodyText"/>
        <w:spacing w:line="235" w:lineRule="auto" w:before="203"/>
        <w:ind w:left="164" w:right="167"/>
        <w:jc w:val="both"/>
      </w:pPr>
      <w:r>
        <w:rPr/>
        <w:t>There</w:t>
      </w:r>
      <w:r>
        <w:rPr>
          <w:spacing w:val="-1"/>
        </w:rPr>
        <w:t> </w:t>
      </w:r>
      <w:r>
        <w:rPr/>
        <w:t>is</w:t>
      </w:r>
      <w:r>
        <w:rPr>
          <w:spacing w:val="-1"/>
        </w:rPr>
        <w:t> </w:t>
      </w:r>
      <w:r>
        <w:rPr/>
        <w:t>a</w:t>
      </w:r>
      <w:r>
        <w:rPr>
          <w:spacing w:val="-1"/>
        </w:rPr>
        <w:t> </w:t>
      </w:r>
      <w:r>
        <w:rPr/>
        <w:t>further</w:t>
      </w:r>
      <w:r>
        <w:rPr>
          <w:spacing w:val="-1"/>
        </w:rPr>
        <w:t> </w:t>
      </w:r>
      <w:r>
        <w:rPr/>
        <w:t>possibility</w:t>
      </w:r>
      <w:r>
        <w:rPr>
          <w:spacing w:val="-1"/>
        </w:rPr>
        <w:t> </w:t>
      </w:r>
      <w:r>
        <w:rPr/>
        <w:t>that</w:t>
      </w:r>
      <w:r>
        <w:rPr>
          <w:spacing w:val="-1"/>
        </w:rPr>
        <w:t> </w:t>
      </w:r>
      <w:r>
        <w:rPr/>
        <w:t>A</w:t>
      </w:r>
      <w:r>
        <w:rPr>
          <w:spacing w:val="-1"/>
        </w:rPr>
        <w:t> </w:t>
      </w:r>
      <w:r>
        <w:rPr/>
        <w:t>may</w:t>
      </w:r>
      <w:r>
        <w:rPr>
          <w:spacing w:val="-1"/>
        </w:rPr>
        <w:t> </w:t>
      </w:r>
      <w:r>
        <w:rPr/>
        <w:t>have</w:t>
      </w:r>
      <w:r>
        <w:rPr>
          <w:spacing w:val="-1"/>
        </w:rPr>
        <w:t> </w:t>
      </w:r>
      <w:r>
        <w:rPr/>
        <w:t>defences</w:t>
      </w:r>
      <w:r>
        <w:rPr>
          <w:spacing w:val="-1"/>
        </w:rPr>
        <w:t> </w:t>
      </w:r>
      <w:r>
        <w:rPr/>
        <w:t>or</w:t>
      </w:r>
      <w:r>
        <w:rPr>
          <w:spacing w:val="-1"/>
        </w:rPr>
        <w:t> </w:t>
      </w:r>
      <w:r>
        <w:rPr/>
        <w:t>counterclaims</w:t>
      </w:r>
      <w:r>
        <w:rPr>
          <w:spacing w:val="-1"/>
        </w:rPr>
        <w:t> </w:t>
      </w:r>
      <w:r>
        <w:rPr/>
        <w:t>against</w:t>
      </w:r>
      <w:r>
        <w:rPr>
          <w:spacing w:val="-1"/>
        </w:rPr>
        <w:t> </w:t>
      </w:r>
      <w:r>
        <w:rPr/>
        <w:t>C</w:t>
      </w:r>
      <w:r>
        <w:rPr>
          <w:spacing w:val="-1"/>
        </w:rPr>
        <w:t> </w:t>
      </w:r>
      <w:r>
        <w:rPr/>
        <w:t>which</w:t>
      </w:r>
      <w:r>
        <w:rPr>
          <w:spacing w:val="-1"/>
        </w:rPr>
        <w:t> </w:t>
      </w:r>
      <w:r>
        <w:rPr/>
        <w:t>he</w:t>
      </w:r>
      <w:r>
        <w:rPr>
          <w:spacing w:val="-1"/>
        </w:rPr>
        <w:t> </w:t>
      </w:r>
      <w:r>
        <w:rPr/>
        <w:t>would</w:t>
      </w:r>
      <w:r>
        <w:rPr>
          <w:spacing w:val="-1"/>
        </w:rPr>
        <w:t> </w:t>
      </w:r>
      <w:r>
        <w:rPr/>
        <w:t>not have against B: e.g. where A had been induced to enter into the contract with B by C’s misrepresentation, or where C was indebted to A under another transaction. Section 3(4) enables A</w:t>
      </w:r>
      <w:r>
        <w:rPr>
          <w:spacing w:val="80"/>
        </w:rPr>
        <w:t> </w:t>
      </w:r>
      <w:r>
        <w:rPr/>
        <w:t>to rely on such matters against C if they could have been so relied on if C had been a party to the </w:t>
      </w:r>
      <w:bookmarkStart w:name="_bookmark1200" w:id="1202"/>
      <w:bookmarkEnd w:id="1202"/>
      <w:r>
        <w:rPr/>
        <w:t>contract</w:t>
      </w:r>
      <w:r>
        <w:rPr/>
        <w:t> between A and B; though this rule, like the general principle stated in s.3(2), can be modified or excluded by an express term of that contract. </w:t>
      </w:r>
      <w:r>
        <w:rPr>
          <w:color w:val="005DA1"/>
          <w:u w:val="single" w:color="005DA1"/>
          <w:vertAlign w:val="superscript"/>
        </w:rPr>
        <w:t>690</w:t>
      </w:r>
    </w:p>
    <w:p>
      <w:pPr>
        <w:pStyle w:val="BodyText"/>
      </w:pPr>
    </w:p>
    <w:p>
      <w:pPr>
        <w:pStyle w:val="BodyText"/>
        <w:spacing w:before="36"/>
      </w:pPr>
    </w:p>
    <w:p>
      <w:pPr>
        <w:pStyle w:val="ListParagraph"/>
        <w:numPr>
          <w:ilvl w:val="0"/>
          <w:numId w:val="5"/>
        </w:numPr>
        <w:tabs>
          <w:tab w:pos="435" w:val="left" w:leader="none"/>
        </w:tabs>
        <w:spacing w:line="240" w:lineRule="auto" w:before="0" w:after="0"/>
        <w:ind w:left="435" w:right="0" w:hanging="270"/>
        <w:jc w:val="left"/>
        <w:rPr>
          <w:b/>
          <w:sz w:val="18"/>
        </w:rPr>
      </w:pPr>
      <w:r>
        <w:rPr>
          <w:b/>
          <w:sz w:val="18"/>
        </w:rPr>
        <w:t>Reliance on exemption </w:t>
      </w:r>
      <w:r>
        <w:rPr>
          <w:b/>
          <w:spacing w:val="-2"/>
          <w:sz w:val="18"/>
        </w:rPr>
        <w:t>clauses</w:t>
      </w:r>
    </w:p>
    <w:p>
      <w:pPr>
        <w:pStyle w:val="BodyText"/>
        <w:spacing w:before="42"/>
        <w:rPr>
          <w:rFonts w:ascii="Arial"/>
          <w:b/>
          <w:sz w:val="18"/>
        </w:rPr>
      </w:pPr>
    </w:p>
    <w:p>
      <w:pPr>
        <w:pStyle w:val="Heading2"/>
      </w:pPr>
      <w:r>
        <w:rPr/>
        <w:t>18-</w:t>
      </w:r>
      <w:r>
        <w:rPr>
          <w:spacing w:val="-5"/>
        </w:rPr>
        <w:t>115</w:t>
      </w:r>
    </w:p>
    <w:p>
      <w:pPr>
        <w:pStyle w:val="BodyText"/>
        <w:spacing w:line="235" w:lineRule="auto" w:before="202"/>
        <w:ind w:left="165" w:right="167"/>
        <w:jc w:val="both"/>
      </w:pPr>
      <w:bookmarkStart w:name="_bookmark1201" w:id="1203"/>
      <w:bookmarkEnd w:id="1203"/>
      <w:r>
        <w:rPr/>
      </w:r>
      <w:r>
        <w:rPr/>
        <w:t>A rule analogous to the general principle stated in s.3(2) </w:t>
      </w:r>
      <w:r>
        <w:rPr>
          <w:color w:val="005DA1"/>
          <w:u w:val="single" w:color="005DA1"/>
          <w:vertAlign w:val="superscript"/>
        </w:rPr>
        <w:t>691</w:t>
      </w:r>
      <w:r>
        <w:rPr>
          <w:color w:val="005DA1"/>
          <w:vertAlign w:val="baseline"/>
        </w:rPr>
        <w:t> </w:t>
      </w:r>
      <w:r>
        <w:rPr>
          <w:vertAlign w:val="baseline"/>
        </w:rPr>
        <w:t>applies where the “enforcement” of </w:t>
      </w:r>
      <w:r>
        <w:rPr>
          <w:vertAlign w:val="baseline"/>
        </w:rPr>
        <w:t>the </w:t>
      </w:r>
      <w:bookmarkStart w:name="_bookmark1202" w:id="1204"/>
      <w:bookmarkEnd w:id="1204"/>
      <w:r>
        <w:rPr>
          <w:vertAlign w:val="baseline"/>
        </w:rPr>
        <w:t>term</w:t>
      </w:r>
      <w:r>
        <w:rPr>
          <w:vertAlign w:val="baseline"/>
        </w:rPr>
        <w:t> by C takes the form of his availing himself of an exemption or limitation clause in his favour in</w:t>
      </w:r>
      <w:r>
        <w:rPr>
          <w:spacing w:val="80"/>
          <w:vertAlign w:val="baseline"/>
        </w:rPr>
        <w:t> </w:t>
      </w:r>
      <w:r>
        <w:rPr>
          <w:vertAlign w:val="baseline"/>
        </w:rPr>
        <w:t>the contract between A and B. </w:t>
      </w:r>
      <w:r>
        <w:rPr>
          <w:color w:val="005DA1"/>
          <w:u w:val="single" w:color="005DA1"/>
          <w:vertAlign w:val="superscript"/>
        </w:rPr>
        <w:t>692</w:t>
      </w:r>
      <w:r>
        <w:rPr>
          <w:color w:val="005DA1"/>
          <w:vertAlign w:val="baseline"/>
        </w:rPr>
        <w:t> </w:t>
      </w:r>
      <w:r>
        <w:rPr>
          <w:vertAlign w:val="baseline"/>
        </w:rPr>
        <w:t>Section 3(6) provides that C cannot in this way “enforce” the term if </w:t>
      </w:r>
      <w:bookmarkStart w:name="_bookmark1203" w:id="1205"/>
      <w:bookmarkEnd w:id="1205"/>
      <w:r>
        <w:rPr>
          <w:vertAlign w:val="baseline"/>
        </w:rPr>
        <w:t>he</w:t>
      </w:r>
      <w:r>
        <w:rPr>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have</w:t>
      </w:r>
      <w:r>
        <w:rPr>
          <w:spacing w:val="-1"/>
          <w:vertAlign w:val="baseline"/>
        </w:rPr>
        <w:t> </w:t>
      </w:r>
      <w:r>
        <w:rPr>
          <w:vertAlign w:val="baseline"/>
        </w:rPr>
        <w:t>done</w:t>
      </w:r>
      <w:r>
        <w:rPr>
          <w:spacing w:val="-1"/>
          <w:vertAlign w:val="baseline"/>
        </w:rPr>
        <w:t> </w:t>
      </w:r>
      <w:r>
        <w:rPr>
          <w:vertAlign w:val="baseline"/>
        </w:rPr>
        <w:t>so,</w:t>
      </w:r>
      <w:r>
        <w:rPr>
          <w:spacing w:val="-1"/>
          <w:vertAlign w:val="baseline"/>
        </w:rPr>
        <w:t> </w:t>
      </w:r>
      <w:r>
        <w:rPr>
          <w:vertAlign w:val="baseline"/>
        </w:rPr>
        <w:t>had</w:t>
      </w:r>
      <w:r>
        <w:rPr>
          <w:spacing w:val="-1"/>
          <w:vertAlign w:val="baseline"/>
        </w:rPr>
        <w:t> </w:t>
      </w:r>
      <w:r>
        <w:rPr>
          <w:vertAlign w:val="baseline"/>
        </w:rPr>
        <w:t>he</w:t>
      </w:r>
      <w:r>
        <w:rPr>
          <w:spacing w:val="-1"/>
          <w:vertAlign w:val="baseline"/>
        </w:rPr>
        <w:t> </w:t>
      </w:r>
      <w:r>
        <w:rPr>
          <w:vertAlign w:val="baseline"/>
        </w:rPr>
        <w:t>been</w:t>
      </w:r>
      <w:r>
        <w:rPr>
          <w:spacing w:val="-1"/>
          <w:vertAlign w:val="baseline"/>
        </w:rPr>
        <w:t> </w:t>
      </w:r>
      <w:r>
        <w:rPr>
          <w:vertAlign w:val="baseline"/>
        </w:rPr>
        <w:t>a</w:t>
      </w:r>
      <w:r>
        <w:rPr>
          <w:spacing w:val="-1"/>
          <w:vertAlign w:val="baseline"/>
        </w:rPr>
        <w:t> </w:t>
      </w:r>
      <w:r>
        <w:rPr>
          <w:vertAlign w:val="baseline"/>
        </w:rPr>
        <w:t>party</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This</w:t>
      </w:r>
      <w:r>
        <w:rPr>
          <w:spacing w:val="-1"/>
          <w:vertAlign w:val="baseline"/>
        </w:rPr>
        <w:t> </w:t>
      </w:r>
      <w:r>
        <w:rPr>
          <w:vertAlign w:val="baseline"/>
        </w:rPr>
        <w:t>restriction</w:t>
      </w:r>
      <w:r>
        <w:rPr>
          <w:spacing w:val="-1"/>
          <w:vertAlign w:val="baseline"/>
        </w:rPr>
        <w:t> </w:t>
      </w:r>
      <w:r>
        <w:rPr>
          <w:vertAlign w:val="baseline"/>
        </w:rPr>
        <w:t>on</w:t>
      </w:r>
      <w:r>
        <w:rPr>
          <w:spacing w:val="-1"/>
          <w:vertAlign w:val="baseline"/>
        </w:rPr>
        <w:t> </w:t>
      </w:r>
      <w:r>
        <w:rPr>
          <w:vertAlign w:val="baseline"/>
        </w:rPr>
        <w:t>C’s</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enforce the term would, for example, apply if, by reason of the Unfair Contract Terms Act 1977 </w:t>
      </w:r>
      <w:r>
        <w:rPr>
          <w:color w:val="005DA1"/>
          <w:u w:val="single" w:color="005DA1"/>
          <w:vertAlign w:val="superscript"/>
        </w:rPr>
        <w:t>693</w:t>
      </w:r>
      <w:r>
        <w:rPr>
          <w:color w:val="005DA1"/>
          <w:vertAlign w:val="baseline"/>
        </w:rPr>
        <w:t> </w:t>
      </w:r>
      <w:r>
        <w:rPr>
          <w:vertAlign w:val="baseline"/>
        </w:rPr>
        <w:t>the clause had</w:t>
      </w:r>
      <w:r>
        <w:rPr>
          <w:spacing w:val="13"/>
          <w:vertAlign w:val="baseline"/>
        </w:rPr>
        <w:t> </w:t>
      </w:r>
      <w:r>
        <w:rPr>
          <w:vertAlign w:val="baseline"/>
        </w:rPr>
        <w:t>been</w:t>
      </w:r>
      <w:r>
        <w:rPr>
          <w:spacing w:val="13"/>
          <w:vertAlign w:val="baseline"/>
        </w:rPr>
        <w:t> </w:t>
      </w:r>
      <w:r>
        <w:rPr>
          <w:vertAlign w:val="baseline"/>
        </w:rPr>
        <w:t>invalid</w:t>
      </w:r>
      <w:r>
        <w:rPr>
          <w:spacing w:val="13"/>
          <w:vertAlign w:val="baseline"/>
        </w:rPr>
        <w:t> </w:t>
      </w:r>
      <w:r>
        <w:rPr>
          <w:vertAlign w:val="baseline"/>
        </w:rPr>
        <w:t>or</w:t>
      </w:r>
      <w:r>
        <w:rPr>
          <w:spacing w:val="13"/>
          <w:vertAlign w:val="baseline"/>
        </w:rPr>
        <w:t> </w:t>
      </w:r>
      <w:r>
        <w:rPr>
          <w:vertAlign w:val="baseline"/>
        </w:rPr>
        <w:t>if</w:t>
      </w:r>
      <w:r>
        <w:rPr>
          <w:spacing w:val="13"/>
          <w:vertAlign w:val="baseline"/>
        </w:rPr>
        <w:t> </w:t>
      </w:r>
      <w:r>
        <w:rPr>
          <w:vertAlign w:val="baseline"/>
        </w:rPr>
        <w:t>it</w:t>
      </w:r>
      <w:r>
        <w:rPr>
          <w:spacing w:val="13"/>
          <w:vertAlign w:val="baseline"/>
        </w:rPr>
        <w:t> </w:t>
      </w:r>
      <w:r>
        <w:rPr>
          <w:vertAlign w:val="baseline"/>
        </w:rPr>
        <w:t>had</w:t>
      </w:r>
      <w:r>
        <w:rPr>
          <w:spacing w:val="13"/>
          <w:vertAlign w:val="baseline"/>
        </w:rPr>
        <w:t> </w:t>
      </w:r>
      <w:r>
        <w:rPr>
          <w:vertAlign w:val="baseline"/>
        </w:rPr>
        <w:t>not</w:t>
      </w:r>
      <w:r>
        <w:rPr>
          <w:spacing w:val="13"/>
          <w:vertAlign w:val="baseline"/>
        </w:rPr>
        <w:t> </w:t>
      </w:r>
      <w:r>
        <w:rPr>
          <w:vertAlign w:val="baseline"/>
        </w:rPr>
        <w:t>satisfied</w:t>
      </w:r>
      <w:r>
        <w:rPr>
          <w:spacing w:val="13"/>
          <w:vertAlign w:val="baseline"/>
        </w:rPr>
        <w:t> </w:t>
      </w:r>
      <w:r>
        <w:rPr>
          <w:vertAlign w:val="baseline"/>
        </w:rPr>
        <w:t>the</w:t>
      </w:r>
      <w:r>
        <w:rPr>
          <w:spacing w:val="13"/>
          <w:vertAlign w:val="baseline"/>
        </w:rPr>
        <w:t> </w:t>
      </w:r>
      <w:r>
        <w:rPr>
          <w:vertAlign w:val="baseline"/>
        </w:rPr>
        <w:t>requirement</w:t>
      </w:r>
      <w:r>
        <w:rPr>
          <w:spacing w:val="13"/>
          <w:vertAlign w:val="baseline"/>
        </w:rPr>
        <w:t> </w:t>
      </w:r>
      <w:r>
        <w:rPr>
          <w:vertAlign w:val="baseline"/>
        </w:rPr>
        <w:t>of</w:t>
      </w:r>
      <w:r>
        <w:rPr>
          <w:spacing w:val="13"/>
          <w:vertAlign w:val="baseline"/>
        </w:rPr>
        <w:t> </w:t>
      </w:r>
      <w:r>
        <w:rPr>
          <w:vertAlign w:val="baseline"/>
        </w:rPr>
        <w:t>reasonableness</w:t>
      </w:r>
      <w:r>
        <w:rPr>
          <w:spacing w:val="13"/>
          <w:vertAlign w:val="baseline"/>
        </w:rPr>
        <w:t> </w:t>
      </w:r>
      <w:r>
        <w:rPr>
          <w:vertAlign w:val="baseline"/>
        </w:rPr>
        <w:t>as</w:t>
      </w:r>
      <w:r>
        <w:rPr>
          <w:spacing w:val="13"/>
          <w:vertAlign w:val="baseline"/>
        </w:rPr>
        <w:t> </w:t>
      </w:r>
      <w:r>
        <w:rPr>
          <w:vertAlign w:val="baseline"/>
        </w:rPr>
        <w:t>imposed</w:t>
      </w:r>
      <w:r>
        <w:rPr>
          <w:spacing w:val="13"/>
          <w:vertAlign w:val="baseline"/>
        </w:rPr>
        <w:t> </w:t>
      </w:r>
      <w:r>
        <w:rPr>
          <w:vertAlign w:val="baseline"/>
        </w:rPr>
        <w:t>by</w:t>
      </w:r>
      <w:r>
        <w:rPr>
          <w:spacing w:val="13"/>
          <w:vertAlign w:val="baseline"/>
        </w:rPr>
        <w:t> </w:t>
      </w:r>
      <w:r>
        <w:rPr>
          <w:vertAlign w:val="baseline"/>
        </w:rPr>
        <w:t>that</w:t>
      </w:r>
      <w:r>
        <w:rPr>
          <w:spacing w:val="13"/>
          <w:vertAlign w:val="baseline"/>
        </w:rPr>
        <w:t> </w:t>
      </w:r>
      <w:r>
        <w:rPr>
          <w:spacing w:val="-4"/>
          <w:vertAlign w:val="baseline"/>
        </w:rPr>
        <w:t>Act;</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204" w:id="1206"/>
      <w:bookmarkEnd w:id="1206"/>
      <w:r>
        <w:rPr/>
      </w:r>
      <w:r>
        <w:rPr/>
        <w:t>or if the clause was invalid under other legislation </w:t>
      </w:r>
      <w:r>
        <w:rPr>
          <w:color w:val="005DA1"/>
          <w:u w:val="single" w:color="005DA1"/>
          <w:vertAlign w:val="superscript"/>
        </w:rPr>
        <w:t>694</w:t>
      </w:r>
      <w:r>
        <w:rPr>
          <w:vertAlign w:val="baseline"/>
        </w:rPr>
        <w:t>; or if C was guilty of a fraud on A and so </w:t>
      </w:r>
      <w:r>
        <w:rPr>
          <w:vertAlign w:val="baseline"/>
        </w:rPr>
        <w:t>could </w:t>
      </w:r>
      <w:bookmarkStart w:name="_bookmark1205" w:id="1207"/>
      <w:bookmarkEnd w:id="1207"/>
      <w:r>
        <w:rPr>
          <w:vertAlign w:val="baseline"/>
        </w:rPr>
        <w:t>not</w:t>
      </w:r>
      <w:r>
        <w:rPr>
          <w:vertAlign w:val="baseline"/>
        </w:rPr>
        <w:t> have relied on the term (even though B might have been able to do so) by reason of the common law rule that an exemption clause does not protect a party from liability for his own fraud. </w:t>
      </w:r>
      <w:r>
        <w:rPr>
          <w:color w:val="005DA1"/>
          <w:u w:val="single" w:color="005DA1"/>
          <w:vertAlign w:val="superscript"/>
        </w:rPr>
        <w:t>695</w:t>
      </w:r>
    </w:p>
    <w:p>
      <w:pPr>
        <w:pStyle w:val="BodyText"/>
      </w:pPr>
    </w:p>
    <w:p>
      <w:pPr>
        <w:pStyle w:val="BodyText"/>
        <w:spacing w:before="97"/>
      </w:pPr>
    </w:p>
    <w:p>
      <w:pPr>
        <w:spacing w:before="0"/>
        <w:ind w:left="165" w:right="0" w:firstLine="0"/>
        <w:jc w:val="left"/>
        <w:rPr>
          <w:rFonts w:ascii="Arial" w:hAnsi="Arial"/>
          <w:b/>
          <w:sz w:val="18"/>
        </w:rPr>
      </w:pPr>
      <w:r>
        <w:rPr>
          <w:rFonts w:ascii="Arial" w:hAnsi="Arial"/>
          <w:b/>
          <w:sz w:val="18"/>
        </w:rPr>
        <w:t>Exceptions to third party’s </w:t>
      </w:r>
      <w:r>
        <w:rPr>
          <w:rFonts w:ascii="Arial" w:hAnsi="Arial"/>
          <w:b/>
          <w:spacing w:val="-2"/>
          <w:sz w:val="18"/>
        </w:rPr>
        <w:t>entitlement</w:t>
      </w:r>
    </w:p>
    <w:p>
      <w:pPr>
        <w:pStyle w:val="BodyText"/>
        <w:spacing w:before="41"/>
        <w:rPr>
          <w:rFonts w:ascii="Arial"/>
          <w:b/>
          <w:sz w:val="18"/>
        </w:rPr>
      </w:pPr>
    </w:p>
    <w:p>
      <w:pPr>
        <w:pStyle w:val="Heading2"/>
        <w:spacing w:before="1"/>
      </w:pPr>
      <w:r>
        <w:rPr/>
        <w:t>18-</w:t>
      </w:r>
      <w:r>
        <w:rPr>
          <w:spacing w:val="-5"/>
        </w:rPr>
        <w:t>116</w:t>
      </w:r>
    </w:p>
    <w:p>
      <w:pPr>
        <w:pStyle w:val="BodyText"/>
        <w:spacing w:line="235" w:lineRule="auto" w:before="202"/>
        <w:ind w:left="165" w:right="167"/>
        <w:jc w:val="both"/>
      </w:pPr>
      <w:r>
        <w:rPr/>
        <w:t>A number of situations which </w:t>
      </w:r>
      <w:r>
        <w:rPr>
          <w:rFonts w:ascii="Arial" w:hAnsi="Arial"/>
          <w:i/>
        </w:rPr>
        <w:t>prima facie </w:t>
      </w:r>
      <w:r>
        <w:rPr/>
        <w:t>fall within s.1 of the 1999 Act are excepted from the operation of that section by s.6. These exceptions fall into two groups. In cases which fall within </w:t>
      </w:r>
      <w:r>
        <w:rPr/>
        <w:t>the first group, C has, or can acquire, rights under the contract between A and B by virtue of some other rule of law; and the purpose of excepting these cases from the operation of s.1 is to preserve, not</w:t>
      </w:r>
      <w:r>
        <w:rPr>
          <w:spacing w:val="80"/>
        </w:rPr>
        <w:t> </w:t>
      </w:r>
      <w:r>
        <w:rPr/>
        <w:t>only C’s rights, but also the conditions under which those rights arise under those other rules of law.</w:t>
      </w:r>
      <w:r>
        <w:rPr>
          <w:spacing w:val="40"/>
        </w:rPr>
        <w:t> </w:t>
      </w:r>
      <w:r>
        <w:rPr/>
        <w:t>In cases which fall within the second group, by contrast, C has, </w:t>
      </w:r>
      <w:r>
        <w:rPr>
          <w:rFonts w:ascii="Arial" w:hAnsi="Arial"/>
          <w:i/>
        </w:rPr>
        <w:t>prima facie</w:t>
      </w:r>
      <w:r>
        <w:rPr/>
        <w:t>, no rights under other</w:t>
      </w:r>
      <w:r>
        <w:rPr>
          <w:spacing w:val="40"/>
        </w:rPr>
        <w:t> </w:t>
      </w:r>
      <w:r>
        <w:rPr/>
        <w:t>rules of law; and the purpose of excepting these cases from the operation of s.1 is to preserve in</w:t>
      </w:r>
      <w:r>
        <w:rPr>
          <w:spacing w:val="80"/>
        </w:rPr>
        <w:t> </w:t>
      </w:r>
      <w:r>
        <w:rPr/>
        <w:t>them the general rule of common law by which C acquires no rights under the contract between A</w:t>
      </w:r>
      <w:r>
        <w:rPr>
          <w:spacing w:val="80"/>
        </w:rPr>
        <w:t> </w:t>
      </w:r>
      <w:r>
        <w:rPr/>
        <w:t>and B. Such cases, in other words, continue to be governed by the common law doctrine of privity, subject to any limitations on its scope and to any exceptions to it that may exist at common law.</w:t>
      </w:r>
    </w:p>
    <w:p>
      <w:pPr>
        <w:pStyle w:val="BodyText"/>
      </w:pPr>
    </w:p>
    <w:p>
      <w:pPr>
        <w:pStyle w:val="BodyText"/>
        <w:spacing w:before="35"/>
      </w:pPr>
    </w:p>
    <w:p>
      <w:pPr>
        <w:spacing w:before="0"/>
        <w:ind w:left="165" w:right="0" w:firstLine="0"/>
        <w:jc w:val="left"/>
        <w:rPr>
          <w:rFonts w:ascii="Arial"/>
          <w:b/>
          <w:sz w:val="18"/>
        </w:rPr>
      </w:pPr>
      <w:r>
        <w:rPr>
          <w:rFonts w:ascii="Arial"/>
          <w:b/>
          <w:sz w:val="18"/>
        </w:rPr>
        <w:t>The first group of </w:t>
      </w:r>
      <w:r>
        <w:rPr>
          <w:rFonts w:ascii="Arial"/>
          <w:b/>
          <w:spacing w:val="-2"/>
          <w:sz w:val="18"/>
        </w:rPr>
        <w:t>exceptions</w:t>
      </w:r>
    </w:p>
    <w:p>
      <w:pPr>
        <w:pStyle w:val="BodyText"/>
        <w:spacing w:before="41"/>
        <w:rPr>
          <w:rFonts w:ascii="Arial"/>
          <w:b/>
          <w:sz w:val="18"/>
        </w:rPr>
      </w:pPr>
    </w:p>
    <w:p>
      <w:pPr>
        <w:pStyle w:val="Heading2"/>
      </w:pPr>
      <w:r>
        <w:rPr/>
        <w:t>18-</w:t>
      </w:r>
      <w:r>
        <w:rPr>
          <w:spacing w:val="-5"/>
        </w:rPr>
        <w:t>117</w:t>
      </w:r>
    </w:p>
    <w:p>
      <w:pPr>
        <w:pStyle w:val="BodyText"/>
        <w:spacing w:line="235" w:lineRule="auto" w:before="203"/>
        <w:ind w:left="164" w:right="167"/>
        <w:jc w:val="both"/>
      </w:pPr>
      <w:bookmarkStart w:name="_bookmark1206" w:id="1208"/>
      <w:bookmarkEnd w:id="1208"/>
      <w:r>
        <w:rPr/>
      </w:r>
      <w:r>
        <w:rPr/>
        <w:t>The first of the above group of exceptions includes contracts on bills of exchange, promissory notes </w:t>
      </w:r>
      <w:bookmarkStart w:name="_bookmark1207" w:id="1209"/>
      <w:bookmarkEnd w:id="1209"/>
      <w:r>
        <w:rPr/>
        <w:t>and</w:t>
      </w:r>
      <w:r>
        <w:rPr/>
        <w:t> other negotiable instruments </w:t>
      </w:r>
      <w:r>
        <w:rPr>
          <w:color w:val="005DA1"/>
          <w:u w:val="single" w:color="005DA1"/>
          <w:vertAlign w:val="superscript"/>
        </w:rPr>
        <w:t>696</w:t>
      </w:r>
      <w:r>
        <w:rPr>
          <w:vertAlign w:val="baseline"/>
        </w:rPr>
        <w:t>: third parties can acquire rights under such contracts under the </w:t>
      </w:r>
      <w:bookmarkStart w:name="_bookmark1208" w:id="1210"/>
      <w:bookmarkEnd w:id="1210"/>
      <w:r>
        <w:rPr>
          <w:vertAlign w:val="baseline"/>
        </w:rPr>
        <w:t>rules</w:t>
      </w:r>
      <w:r>
        <w:rPr>
          <w:spacing w:val="-1"/>
          <w:vertAlign w:val="baseline"/>
        </w:rPr>
        <w:t> </w:t>
      </w:r>
      <w:r>
        <w:rPr>
          <w:vertAlign w:val="baseline"/>
        </w:rPr>
        <w:t>relating</w:t>
      </w:r>
      <w:r>
        <w:rPr>
          <w:spacing w:val="-1"/>
          <w:vertAlign w:val="baseline"/>
        </w:rPr>
        <w:t> </w:t>
      </w:r>
      <w:r>
        <w:rPr>
          <w:vertAlign w:val="baseline"/>
        </w:rPr>
        <w:t>to</w:t>
      </w:r>
      <w:r>
        <w:rPr>
          <w:spacing w:val="-1"/>
          <w:vertAlign w:val="baseline"/>
        </w:rPr>
        <w:t> </w:t>
      </w:r>
      <w:r>
        <w:rPr>
          <w:vertAlign w:val="baseline"/>
        </w:rPr>
        <w:t>negotiability,</w:t>
      </w:r>
      <w:r>
        <w:rPr>
          <w:spacing w:val="-1"/>
          <w:vertAlign w:val="baseline"/>
        </w:rPr>
        <w:t> </w:t>
      </w:r>
      <w:r>
        <w:rPr>
          <w:vertAlign w:val="baseline"/>
        </w:rPr>
        <w:t>discussed</w:t>
      </w:r>
      <w:r>
        <w:rPr>
          <w:spacing w:val="-1"/>
          <w:vertAlign w:val="baseline"/>
        </w:rPr>
        <w:t> </w:t>
      </w:r>
      <w:r>
        <w:rPr>
          <w:vertAlign w:val="baseline"/>
        </w:rPr>
        <w:t>elsewhere</w:t>
      </w:r>
      <w:r>
        <w:rPr>
          <w:spacing w:val="-1"/>
          <w:vertAlign w:val="baseline"/>
        </w:rPr>
        <w:t> </w:t>
      </w:r>
      <w:r>
        <w:rPr>
          <w:vertAlign w:val="baseline"/>
        </w:rPr>
        <w:t>in</w:t>
      </w:r>
      <w:r>
        <w:rPr>
          <w:spacing w:val="-1"/>
          <w:vertAlign w:val="baseline"/>
        </w:rPr>
        <w:t> </w:t>
      </w:r>
      <w:r>
        <w:rPr>
          <w:vertAlign w:val="baseline"/>
        </w:rPr>
        <w:t>this</w:t>
      </w:r>
      <w:r>
        <w:rPr>
          <w:spacing w:val="-1"/>
          <w:vertAlign w:val="baseline"/>
        </w:rPr>
        <w:t> </w:t>
      </w:r>
      <w:r>
        <w:rPr>
          <w:vertAlign w:val="baseline"/>
        </w:rPr>
        <w:t>book.</w:t>
      </w:r>
      <w:r>
        <w:rPr>
          <w:spacing w:val="-2"/>
          <w:vertAlign w:val="baseline"/>
        </w:rPr>
        <w:t> </w:t>
      </w:r>
      <w:r>
        <w:rPr>
          <w:color w:val="005DA1"/>
          <w:u w:val="single" w:color="005DA1"/>
          <w:vertAlign w:val="superscript"/>
        </w:rPr>
        <w:t>697</w:t>
      </w:r>
      <w:r>
        <w:rPr>
          <w:vertAlign w:val="baseline"/>
        </w:rPr>
        <w:t>;</w:t>
      </w:r>
      <w:r>
        <w:rPr>
          <w:spacing w:val="-1"/>
          <w:vertAlign w:val="baseline"/>
        </w:rPr>
        <w:t> </w:t>
      </w:r>
      <w:r>
        <w:rPr>
          <w:vertAlign w:val="baseline"/>
        </w:rPr>
        <w:t>and</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the</w:t>
      </w:r>
      <w:r>
        <w:rPr>
          <w:spacing w:val="-1"/>
          <w:vertAlign w:val="baseline"/>
        </w:rPr>
        <w:t> </w:t>
      </w:r>
      <w:r>
        <w:rPr>
          <w:vertAlign w:val="baseline"/>
        </w:rPr>
        <w:t>purpose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Act to extend those rights. </w:t>
      </w:r>
      <w:r>
        <w:rPr>
          <w:color w:val="005DA1"/>
          <w:u w:val="single" w:color="005DA1"/>
          <w:vertAlign w:val="superscript"/>
        </w:rPr>
        <w:t>698</w:t>
      </w:r>
      <w:r>
        <w:rPr>
          <w:color w:val="005DA1"/>
          <w:vertAlign w:val="baseline"/>
        </w:rPr>
        <w:t> </w:t>
      </w:r>
      <w:r>
        <w:rPr>
          <w:vertAlign w:val="baseline"/>
        </w:rPr>
        <w:t>It also includes contracts for the carriage of goods by sea which are </w:t>
      </w:r>
      <w:bookmarkStart w:name="_bookmark1209" w:id="1211"/>
      <w:bookmarkEnd w:id="1211"/>
      <w:r>
        <w:rPr>
          <w:vertAlign w:val="baseline"/>
        </w:rPr>
        <w:t>governed</w:t>
      </w:r>
      <w:r>
        <w:rPr>
          <w:vertAlign w:val="baseline"/>
        </w:rPr>
        <w:t> by the Carriage of Goods by Sea Act 1992, and corresponding electronic transactions to which that Act may be applied by Order. </w:t>
      </w:r>
      <w:r>
        <w:rPr>
          <w:color w:val="005DA1"/>
          <w:u w:val="single" w:color="005DA1"/>
          <w:vertAlign w:val="superscript"/>
        </w:rPr>
        <w:t>699</w:t>
      </w:r>
      <w:r>
        <w:rPr>
          <w:color w:val="005DA1"/>
          <w:vertAlign w:val="baseline"/>
        </w:rPr>
        <w:t> </w:t>
      </w:r>
      <w:r>
        <w:rPr>
          <w:vertAlign w:val="baseline"/>
        </w:rPr>
        <w:t>The carefully regulated scheme of the 1992 Act </w:t>
      </w:r>
      <w:r>
        <w:rPr>
          <w:color w:val="005DA1"/>
          <w:u w:val="single" w:color="005DA1"/>
          <w:vertAlign w:val="superscript"/>
        </w:rPr>
        <w:t>700</w:t>
      </w:r>
      <w:r>
        <w:rPr>
          <w:color w:val="005DA1"/>
          <w:vertAlign w:val="baseline"/>
        </w:rPr>
        <w:t> </w:t>
      </w:r>
      <w:r>
        <w:rPr>
          <w:vertAlign w:val="baseline"/>
        </w:rPr>
        <w:t>for the acquisition of rights under such contracts by third parties (such as transferees of bills of lading) would be seriously disrupted if such third parties could acquire rights under the 1999 Act in circumstances in which no such rights would be acquired under the 1992 Act. The same is (</w:t>
      </w:r>
      <w:r>
        <w:rPr>
          <w:rFonts w:ascii="Arial" w:hAnsi="Arial"/>
          <w:i/>
          <w:vertAlign w:val="baseline"/>
        </w:rPr>
        <w:t>mutatis mutandis</w:t>
      </w:r>
      <w:r>
        <w:rPr>
          <w:vertAlign w:val="baseline"/>
        </w:rPr>
        <w:t>) true </w:t>
      </w:r>
      <w:r>
        <w:rPr>
          <w:vertAlign w:val="baseline"/>
        </w:rPr>
        <w:t>of </w:t>
      </w:r>
      <w:bookmarkStart w:name="_bookmark1210" w:id="1212"/>
      <w:bookmarkEnd w:id="1212"/>
      <w:r>
        <w:rPr>
          <w:vertAlign w:val="baseline"/>
        </w:rPr>
        <w:t>contracts</w:t>
      </w:r>
      <w:r>
        <w:rPr>
          <w:vertAlign w:val="baseline"/>
        </w:rPr>
        <w:t> for the international carriage of goods by rail, road and air, which are governed by </w:t>
      </w:r>
      <w:bookmarkStart w:name="_bookmark1211" w:id="1213"/>
      <w:bookmarkEnd w:id="1213"/>
      <w:r>
        <w:rPr>
          <w:vertAlign w:val="baseline"/>
        </w:rPr>
        <w:t>international</w:t>
      </w:r>
      <w:r>
        <w:rPr>
          <w:vertAlign w:val="baseline"/>
        </w:rPr>
        <w:t> conventions having the force of law in the United Kingdom, </w:t>
      </w:r>
      <w:r>
        <w:rPr>
          <w:color w:val="005DA1"/>
          <w:u w:val="single" w:color="005DA1"/>
          <w:vertAlign w:val="superscript"/>
        </w:rPr>
        <w:t>701</w:t>
      </w:r>
      <w:r>
        <w:rPr>
          <w:color w:val="005DA1"/>
          <w:vertAlign w:val="baseline"/>
        </w:rPr>
        <w:t> </w:t>
      </w:r>
      <w:r>
        <w:rPr>
          <w:vertAlign w:val="baseline"/>
        </w:rPr>
        <w:t>so that these contracts</w:t>
      </w:r>
      <w:r>
        <w:rPr>
          <w:spacing w:val="40"/>
          <w:vertAlign w:val="baseline"/>
        </w:rPr>
        <w:t> </w:t>
      </w:r>
      <w:bookmarkStart w:name="_bookmark1212" w:id="1214"/>
      <w:bookmarkEnd w:id="1214"/>
      <w:r>
        <w:rPr>
          <w:vertAlign w:val="baseline"/>
        </w:rPr>
        <w:t>are</w:t>
      </w:r>
      <w:r>
        <w:rPr>
          <w:spacing w:val="-3"/>
          <w:vertAlign w:val="baseline"/>
        </w:rPr>
        <w:t> </w:t>
      </w:r>
      <w:r>
        <w:rPr>
          <w:vertAlign w:val="baseline"/>
        </w:rPr>
        <w:t>likewise</w:t>
      </w:r>
      <w:r>
        <w:rPr>
          <w:spacing w:val="-3"/>
          <w:vertAlign w:val="baseline"/>
        </w:rPr>
        <w:t> </w:t>
      </w:r>
      <w:r>
        <w:rPr>
          <w:vertAlign w:val="baseline"/>
        </w:rPr>
        <w:t>excepted</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operation</w:t>
      </w:r>
      <w:r>
        <w:rPr>
          <w:spacing w:val="-3"/>
          <w:vertAlign w:val="baseline"/>
        </w:rPr>
        <w:t> </w:t>
      </w:r>
      <w:r>
        <w:rPr>
          <w:vertAlign w:val="baseline"/>
        </w:rPr>
        <w:t>of</w:t>
      </w:r>
      <w:r>
        <w:rPr>
          <w:spacing w:val="-3"/>
          <w:vertAlign w:val="baseline"/>
        </w:rPr>
        <w:t> </w:t>
      </w:r>
      <w:r>
        <w:rPr>
          <w:vertAlign w:val="baseline"/>
        </w:rPr>
        <w:t>s.1</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1999</w:t>
      </w:r>
      <w:r>
        <w:rPr>
          <w:spacing w:val="-3"/>
          <w:vertAlign w:val="baseline"/>
        </w:rPr>
        <w:t> </w:t>
      </w:r>
      <w:r>
        <w:rPr>
          <w:vertAlign w:val="baseline"/>
        </w:rPr>
        <w:t>Act.</w:t>
      </w:r>
      <w:r>
        <w:rPr>
          <w:spacing w:val="-4"/>
          <w:vertAlign w:val="baseline"/>
        </w:rPr>
        <w:t> </w:t>
      </w:r>
      <w:r>
        <w:rPr>
          <w:color w:val="005DA1"/>
          <w:u w:val="single" w:color="005DA1"/>
          <w:vertAlign w:val="superscript"/>
        </w:rPr>
        <w:t>702</w:t>
      </w:r>
      <w:r>
        <w:rPr>
          <w:color w:val="005DA1"/>
          <w:spacing w:val="-3"/>
          <w:vertAlign w:val="baseline"/>
        </w:rPr>
        <w:t> </w:t>
      </w:r>
      <w:r>
        <w:rPr>
          <w:vertAlign w:val="baseline"/>
        </w:rPr>
        <w:t>The</w:t>
      </w:r>
      <w:r>
        <w:rPr>
          <w:spacing w:val="-3"/>
          <w:vertAlign w:val="baseline"/>
        </w:rPr>
        <w:t> </w:t>
      </w:r>
      <w:r>
        <w:rPr>
          <w:vertAlign w:val="baseline"/>
        </w:rPr>
        <w:t>present</w:t>
      </w:r>
      <w:r>
        <w:rPr>
          <w:spacing w:val="-3"/>
          <w:vertAlign w:val="baseline"/>
        </w:rPr>
        <w:t> </w:t>
      </w:r>
      <w:r>
        <w:rPr>
          <w:vertAlign w:val="baseline"/>
        </w:rPr>
        <w:t>exception</w:t>
      </w:r>
      <w:r>
        <w:rPr>
          <w:spacing w:val="-3"/>
          <w:vertAlign w:val="baseline"/>
        </w:rPr>
        <w:t> </w:t>
      </w:r>
      <w:r>
        <w:rPr>
          <w:vertAlign w:val="baseline"/>
        </w:rPr>
        <w:t>is,</w:t>
      </w:r>
      <w:r>
        <w:rPr>
          <w:spacing w:val="-3"/>
          <w:vertAlign w:val="baseline"/>
        </w:rPr>
        <w:t> </w:t>
      </w:r>
      <w:r>
        <w:rPr>
          <w:vertAlign w:val="baseline"/>
        </w:rPr>
        <w:t>however, in turn, subject to an exception </w:t>
      </w:r>
      <w:r>
        <w:rPr>
          <w:color w:val="005DA1"/>
          <w:u w:val="single" w:color="005DA1"/>
          <w:vertAlign w:val="superscript"/>
        </w:rPr>
        <w:t>703</w:t>
      </w:r>
      <w:r>
        <w:rPr>
          <w:vertAlign w:val="baseline"/>
        </w:rPr>
        <w:t>: C is not precluded from taking the benefit of an exemption or limitation clause in a contract for the carriage of goods governed by the 1992 Act or by the international conventions referred to above merely because such legislation applies to the contract. Before the 1999 Act, C could in many cases, take the benefit of an exemption or limitation clause in the contract of carriage (e.g. where the contract contained a Himalaya clause). The legal reasoning</w:t>
      </w:r>
      <w:r>
        <w:rPr>
          <w:spacing w:val="40"/>
          <w:vertAlign w:val="baseline"/>
        </w:rPr>
        <w:t> </w:t>
      </w:r>
      <w:bookmarkStart w:name="_bookmark1213" w:id="1215"/>
      <w:bookmarkEnd w:id="1215"/>
      <w:r>
        <w:rPr>
          <w:vertAlign w:val="baseline"/>
        </w:rPr>
        <w:t>on</w:t>
      </w:r>
      <w:r>
        <w:rPr>
          <w:vertAlign w:val="baseline"/>
        </w:rPr>
        <w:t> which this result was based was that a separate or collateral contract arose, by virtue of such a clause and the conduct of the parties, between A and C. </w:t>
      </w:r>
      <w:r>
        <w:rPr>
          <w:color w:val="005DA1"/>
          <w:u w:val="single" w:color="005DA1"/>
          <w:vertAlign w:val="superscript"/>
        </w:rPr>
        <w:t>704</w:t>
      </w:r>
      <w:r>
        <w:rPr>
          <w:color w:val="005DA1"/>
          <w:vertAlign w:val="baseline"/>
        </w:rPr>
        <w:t> </w:t>
      </w:r>
      <w:r>
        <w:rPr>
          <w:vertAlign w:val="baseline"/>
        </w:rPr>
        <w:t>Since C </w:t>
      </w:r>
      <w:r>
        <w:rPr>
          <w:rFonts w:ascii="Arial" w:hAnsi="Arial"/>
          <w:i/>
          <w:vertAlign w:val="baseline"/>
        </w:rPr>
        <w:t>is a party </w:t>
      </w:r>
      <w:r>
        <w:rPr>
          <w:vertAlign w:val="baseline"/>
        </w:rPr>
        <w:t>to this contract, his</w:t>
      </w:r>
      <w:r>
        <w:rPr>
          <w:spacing w:val="40"/>
          <w:vertAlign w:val="baseline"/>
        </w:rPr>
        <w:t> </w:t>
      </w:r>
      <w:bookmarkStart w:name="_bookmark1214" w:id="1216"/>
      <w:bookmarkEnd w:id="1216"/>
      <w:r>
        <w:rPr>
          <w:vertAlign w:val="baseline"/>
        </w:rPr>
        <w:t>right</w:t>
      </w:r>
      <w:r>
        <w:rPr>
          <w:vertAlign w:val="baseline"/>
        </w:rPr>
        <w:t> to “enforce” it does not depend (in the words of the present exception) on any “reliance on … </w:t>
      </w:r>
      <w:bookmarkStart w:name="_bookmark1215" w:id="1217"/>
      <w:bookmarkEnd w:id="1217"/>
      <w:r>
        <w:rPr>
          <w:vertAlign w:val="baseline"/>
        </w:rPr>
        <w:t>section”</w:t>
      </w:r>
      <w:r>
        <w:rPr>
          <w:vertAlign w:val="baseline"/>
        </w:rPr>
        <w:t> 1. </w:t>
      </w:r>
      <w:r>
        <w:rPr>
          <w:color w:val="005DA1"/>
          <w:u w:val="single" w:color="005DA1"/>
          <w:vertAlign w:val="superscript"/>
        </w:rPr>
        <w:t>705</w:t>
      </w:r>
      <w:r>
        <w:rPr>
          <w:color w:val="005DA1"/>
          <w:vertAlign w:val="baseline"/>
        </w:rPr>
        <w:t> </w:t>
      </w:r>
      <w:r>
        <w:rPr>
          <w:vertAlign w:val="baseline"/>
        </w:rPr>
        <w:t>The effectiveness of Himalaya clauses would therefore not be directly affected by the present exception </w:t>
      </w:r>
      <w:r>
        <w:rPr>
          <w:color w:val="005DA1"/>
          <w:u w:val="single" w:color="005DA1"/>
          <w:vertAlign w:val="superscript"/>
        </w:rPr>
        <w:t>706</w:t>
      </w:r>
      <w:r>
        <w:rPr>
          <w:color w:val="005DA1"/>
          <w:vertAlign w:val="baseline"/>
        </w:rPr>
        <w:t> </w:t>
      </w:r>
      <w:r>
        <w:rPr>
          <w:vertAlign w:val="baseline"/>
        </w:rPr>
        <w:t>to a </w:t>
      </w:r>
      <w:r>
        <w:rPr>
          <w:rFonts w:ascii="Arial" w:hAnsi="Arial"/>
          <w:i/>
          <w:vertAlign w:val="baseline"/>
        </w:rPr>
        <w:t>third party’s </w:t>
      </w:r>
      <w:r>
        <w:rPr>
          <w:vertAlign w:val="baseline"/>
        </w:rPr>
        <w:t>entitlement under s.1 to “enforce” an exemption or limitation clause. But one of the objects of the 1999 Act appears to have been to simplify the drafting of </w:t>
      </w:r>
      <w:bookmarkStart w:name="_bookmark1216" w:id="1218"/>
      <w:bookmarkEnd w:id="1218"/>
      <w:r>
        <w:rPr>
          <w:vertAlign w:val="baseline"/>
        </w:rPr>
        <w:t>Himalaya</w:t>
      </w:r>
      <w:r>
        <w:rPr>
          <w:vertAlign w:val="baseline"/>
        </w:rPr>
        <w:t> clauses and to remove obstacles to their efficacy which might be encountered in establishing the separate contract between A and C, </w:t>
      </w:r>
      <w:r>
        <w:rPr>
          <w:color w:val="005DA1"/>
          <w:u w:val="single" w:color="005DA1"/>
          <w:vertAlign w:val="superscript"/>
        </w:rPr>
        <w:t>707</w:t>
      </w:r>
      <w:r>
        <w:rPr>
          <w:color w:val="005DA1"/>
          <w:vertAlign w:val="baseline"/>
        </w:rPr>
        <w:t> </w:t>
      </w:r>
      <w:r>
        <w:rPr>
          <w:vertAlign w:val="baseline"/>
        </w:rPr>
        <w:t>and it is for this reason that the present exception to the operation of s.1 does not apply to exemption and limitation clauses in contracts of carriage which, for other purposes, fall within that exception.</w:t>
      </w:r>
    </w:p>
    <w:p>
      <w:pPr>
        <w:pStyle w:val="BodyText"/>
      </w:pPr>
    </w:p>
    <w:p>
      <w:pPr>
        <w:pStyle w:val="BodyText"/>
        <w:spacing w:before="28"/>
      </w:pPr>
    </w:p>
    <w:p>
      <w:pPr>
        <w:spacing w:before="0"/>
        <w:ind w:left="165" w:right="0" w:firstLine="0"/>
        <w:jc w:val="left"/>
        <w:rPr>
          <w:rFonts w:ascii="Arial"/>
          <w:b/>
          <w:sz w:val="18"/>
        </w:rPr>
      </w:pPr>
      <w:r>
        <w:rPr>
          <w:rFonts w:ascii="Arial"/>
          <w:b/>
          <w:sz w:val="18"/>
        </w:rPr>
        <w:t>The second group of </w:t>
      </w:r>
      <w:r>
        <w:rPr>
          <w:rFonts w:ascii="Arial"/>
          <w:b/>
          <w:spacing w:val="-2"/>
          <w:sz w:val="18"/>
        </w:rPr>
        <w:t>exceptions</w:t>
      </w:r>
    </w:p>
    <w:p>
      <w:pPr>
        <w:pStyle w:val="BodyText"/>
        <w:spacing w:before="41"/>
        <w:rPr>
          <w:rFonts w:ascii="Arial"/>
          <w:b/>
          <w:sz w:val="18"/>
        </w:rPr>
      </w:pPr>
    </w:p>
    <w:p>
      <w:pPr>
        <w:pStyle w:val="Heading2"/>
        <w:spacing w:before="1"/>
      </w:pPr>
      <w:r>
        <w:rPr/>
        <w:t>18-</w:t>
      </w:r>
      <w:r>
        <w:rPr>
          <w:spacing w:val="-5"/>
        </w:rPr>
        <w:t>118</w:t>
      </w:r>
    </w:p>
    <w:p>
      <w:pPr>
        <w:pStyle w:val="BodyText"/>
        <w:spacing w:before="92"/>
        <w:rPr>
          <w:rFonts w:ascii="Arial"/>
          <w:b/>
        </w:rPr>
      </w:pPr>
    </w:p>
    <w:p>
      <w:pPr>
        <w:pStyle w:val="BodyText"/>
        <w:spacing w:line="235" w:lineRule="auto"/>
        <w:ind w:left="165"/>
      </w:pPr>
      <w:r>
        <w:rPr>
          <w:position w:val="-2"/>
        </w:rPr>
        <w:drawing>
          <wp:inline distT="0" distB="0" distL="0" distR="0">
            <wp:extent cx="107988" cy="107988"/>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second group of exceptions described in paragraph 18-116 above includes the contract which binds</w:t>
      </w:r>
      <w:r>
        <w:rPr>
          <w:spacing w:val="4"/>
        </w:rPr>
        <w:t> </w:t>
      </w:r>
      <w:r>
        <w:rPr/>
        <w:t>the</w:t>
      </w:r>
      <w:r>
        <w:rPr>
          <w:spacing w:val="4"/>
        </w:rPr>
        <w:t> </w:t>
      </w:r>
      <w:r>
        <w:rPr/>
        <w:t>company</w:t>
      </w:r>
      <w:r>
        <w:rPr>
          <w:spacing w:val="4"/>
        </w:rPr>
        <w:t> </w:t>
      </w:r>
      <w:r>
        <w:rPr/>
        <w:t>and</w:t>
      </w:r>
      <w:r>
        <w:rPr>
          <w:spacing w:val="4"/>
        </w:rPr>
        <w:t> </w:t>
      </w:r>
      <w:r>
        <w:rPr/>
        <w:t>its</w:t>
      </w:r>
      <w:r>
        <w:rPr>
          <w:spacing w:val="4"/>
        </w:rPr>
        <w:t> </w:t>
      </w:r>
      <w:r>
        <w:rPr/>
        <w:t>members</w:t>
      </w:r>
      <w:r>
        <w:rPr>
          <w:spacing w:val="4"/>
        </w:rPr>
        <w:t> </w:t>
      </w:r>
      <w:r>
        <w:rPr/>
        <w:t>by</w:t>
      </w:r>
      <w:r>
        <w:rPr>
          <w:spacing w:val="4"/>
        </w:rPr>
        <w:t> </w:t>
      </w:r>
      <w:r>
        <w:rPr/>
        <w:t>the</w:t>
      </w:r>
      <w:r>
        <w:rPr>
          <w:spacing w:val="4"/>
        </w:rPr>
        <w:t> </w:t>
      </w:r>
      <w:r>
        <w:rPr/>
        <w:t>terms</w:t>
      </w:r>
      <w:r>
        <w:rPr>
          <w:spacing w:val="4"/>
        </w:rPr>
        <w:t> </w:t>
      </w:r>
      <w:r>
        <w:rPr/>
        <w:t>of</w:t>
      </w:r>
      <w:r>
        <w:rPr>
          <w:spacing w:val="4"/>
        </w:rPr>
        <w:t> </w:t>
      </w:r>
      <w:r>
        <w:rPr/>
        <w:t>the</w:t>
      </w:r>
      <w:r>
        <w:rPr>
          <w:spacing w:val="4"/>
        </w:rPr>
        <w:t> </w:t>
      </w:r>
      <w:r>
        <w:rPr/>
        <w:t>company’s</w:t>
      </w:r>
      <w:r>
        <w:rPr>
          <w:spacing w:val="4"/>
        </w:rPr>
        <w:t> </w:t>
      </w:r>
      <w:r>
        <w:rPr/>
        <w:t>constitution</w:t>
      </w:r>
      <w:r>
        <w:rPr>
          <w:spacing w:val="4"/>
        </w:rPr>
        <w:t> </w:t>
      </w:r>
      <w:r>
        <w:rPr/>
        <w:t>by</w:t>
      </w:r>
      <w:r>
        <w:rPr>
          <w:spacing w:val="4"/>
        </w:rPr>
        <w:t> </w:t>
      </w:r>
      <w:r>
        <w:rPr/>
        <w:t>virtue</w:t>
      </w:r>
      <w:r>
        <w:rPr>
          <w:spacing w:val="4"/>
        </w:rPr>
        <w:t> </w:t>
      </w:r>
      <w:r>
        <w:rPr/>
        <w:t>of</w:t>
      </w:r>
      <w:r>
        <w:rPr>
          <w:spacing w:val="4"/>
        </w:rPr>
        <w:t> </w:t>
      </w:r>
      <w:r>
        <w:rPr/>
        <w:t>s.33(1)</w:t>
      </w:r>
      <w:r>
        <w:rPr>
          <w:spacing w:val="4"/>
        </w:rPr>
        <w:t> </w:t>
      </w:r>
      <w:r>
        <w:rPr>
          <w:spacing w:val="-5"/>
        </w:rPr>
        <w:t>of</w:t>
      </w:r>
    </w:p>
    <w:p>
      <w:pPr>
        <w:pStyle w:val="BodyText"/>
        <w:spacing w:after="0" w:line="235" w:lineRule="auto"/>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bookmarkStart w:name="_bookmark1217" w:id="1219"/>
      <w:bookmarkEnd w:id="1219"/>
      <w:r>
        <w:rPr/>
      </w:r>
      <w:bookmarkStart w:name="_bookmark1218" w:id="1220"/>
      <w:bookmarkEnd w:id="1220"/>
      <w:r>
        <w:rPr/>
      </w:r>
      <w:r>
        <w:rPr/>
        <w:t>the Companies Act 2006. </w:t>
      </w:r>
      <w:r>
        <w:rPr>
          <w:color w:val="005DA1"/>
          <w:u w:val="single" w:color="005DA1"/>
          <w:vertAlign w:val="superscript"/>
        </w:rPr>
        <w:t>708</w:t>
      </w:r>
      <w:r>
        <w:rPr>
          <w:color w:val="005DA1"/>
          <w:vertAlign w:val="baseline"/>
        </w:rPr>
        <w:t> </w:t>
      </w:r>
      <w:r>
        <w:rPr>
          <w:vertAlign w:val="baseline"/>
        </w:rPr>
        <w:t>The purpose of this exception is presumably to preserve the established </w:t>
      </w:r>
      <w:bookmarkStart w:name="_bookmark1219" w:id="1221"/>
      <w:bookmarkEnd w:id="1221"/>
      <w:r>
        <w:rPr>
          <w:vertAlign w:val="baseline"/>
        </w:rPr>
        <w:t>limitations</w:t>
      </w:r>
      <w:r>
        <w:rPr>
          <w:vertAlign w:val="baseline"/>
        </w:rPr>
        <w:t> on the scope of this “statutory contract:” </w:t>
      </w:r>
      <w:r>
        <w:rPr>
          <w:color w:val="005DA1"/>
          <w:u w:val="single" w:color="005DA1"/>
          <w:vertAlign w:val="superscript"/>
        </w:rPr>
        <w:t>709</w:t>
      </w:r>
      <w:r>
        <w:rPr>
          <w:color w:val="005DA1"/>
          <w:vertAlign w:val="baseline"/>
        </w:rPr>
        <w:t> </w:t>
      </w:r>
      <w:r>
        <w:rPr>
          <w:vertAlign w:val="baseline"/>
        </w:rPr>
        <w:t>e.g. the rule that this contract confers no rights on a director of the company as such. </w:t>
      </w:r>
      <w:r>
        <w:rPr>
          <w:color w:val="005DA1"/>
          <w:u w:val="single" w:color="005DA1"/>
          <w:vertAlign w:val="superscript"/>
        </w:rPr>
        <w:t>710</w:t>
      </w:r>
      <w:r>
        <w:rPr>
          <w:color w:val="005DA1"/>
          <w:vertAlign w:val="baseline"/>
        </w:rPr>
        <w:t> </w:t>
      </w:r>
      <w:r>
        <w:rPr>
          <w:vertAlign w:val="baseline"/>
        </w:rPr>
        <w:t>The second group also includes contracts of </w:t>
      </w:r>
      <w:r>
        <w:rPr>
          <w:vertAlign w:val="baseline"/>
        </w:rPr>
        <w:t>employment and certain analogous contracts to the extent that such a contract will not give the employer’s </w:t>
      </w:r>
      <w:bookmarkStart w:name="_bookmark1220" w:id="1222"/>
      <w:bookmarkEnd w:id="1222"/>
      <w:r>
        <w:rPr>
          <w:vertAlign w:val="baseline"/>
        </w:rPr>
        <w:t>customer</w:t>
      </w:r>
      <w:r>
        <w:rPr>
          <w:spacing w:val="34"/>
          <w:vertAlign w:val="baseline"/>
        </w:rPr>
        <w:t> </w:t>
      </w:r>
      <w:r>
        <w:rPr>
          <w:vertAlign w:val="baseline"/>
        </w:rPr>
        <w:t>any</w:t>
      </w:r>
      <w:r>
        <w:rPr>
          <w:spacing w:val="34"/>
          <w:vertAlign w:val="baseline"/>
        </w:rPr>
        <w:t> </w:t>
      </w:r>
      <w:r>
        <w:rPr>
          <w:vertAlign w:val="baseline"/>
        </w:rPr>
        <w:t>right</w:t>
      </w:r>
      <w:r>
        <w:rPr>
          <w:spacing w:val="34"/>
          <w:vertAlign w:val="baseline"/>
        </w:rPr>
        <w:t> </w:t>
      </w:r>
      <w:r>
        <w:rPr>
          <w:vertAlign w:val="baseline"/>
        </w:rPr>
        <w:t>under</w:t>
      </w:r>
      <w:r>
        <w:rPr>
          <w:spacing w:val="34"/>
          <w:vertAlign w:val="baseline"/>
        </w:rPr>
        <w:t> </w:t>
      </w:r>
      <w:r>
        <w:rPr>
          <w:vertAlign w:val="baseline"/>
        </w:rPr>
        <w:t>s.1</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1999</w:t>
      </w:r>
      <w:r>
        <w:rPr>
          <w:spacing w:val="34"/>
          <w:vertAlign w:val="baseline"/>
        </w:rPr>
        <w:t> </w:t>
      </w:r>
      <w:r>
        <w:rPr>
          <w:vertAlign w:val="baseline"/>
        </w:rPr>
        <w:t>Act</w:t>
      </w:r>
      <w:r>
        <w:rPr>
          <w:spacing w:val="34"/>
          <w:vertAlign w:val="baseline"/>
        </w:rPr>
        <w:t> </w:t>
      </w:r>
      <w:r>
        <w:rPr>
          <w:vertAlign w:val="baseline"/>
        </w:rPr>
        <w:t>to</w:t>
      </w:r>
      <w:r>
        <w:rPr>
          <w:spacing w:val="34"/>
          <w:vertAlign w:val="baseline"/>
        </w:rPr>
        <w:t> </w:t>
      </w:r>
      <w:r>
        <w:rPr>
          <w:vertAlign w:val="baseline"/>
        </w:rPr>
        <w:t>enforce</w:t>
      </w:r>
      <w:r>
        <w:rPr>
          <w:spacing w:val="34"/>
          <w:vertAlign w:val="baseline"/>
        </w:rPr>
        <w:t> </w:t>
      </w:r>
      <w:r>
        <w:rPr>
          <w:vertAlign w:val="baseline"/>
        </w:rPr>
        <w:t>any</w:t>
      </w:r>
      <w:r>
        <w:rPr>
          <w:spacing w:val="34"/>
          <w:vertAlign w:val="baseline"/>
        </w:rPr>
        <w:t> </w:t>
      </w:r>
      <w:r>
        <w:rPr>
          <w:vertAlign w:val="baseline"/>
        </w:rPr>
        <w:t>term</w:t>
      </w:r>
      <w:r>
        <w:rPr>
          <w:spacing w:val="34"/>
          <w:vertAlign w:val="baseline"/>
        </w:rPr>
        <w:t> </w:t>
      </w:r>
      <w:r>
        <w:rPr>
          <w:vertAlign w:val="baseline"/>
        </w:rPr>
        <w:t>of</w:t>
      </w:r>
      <w:r>
        <w:rPr>
          <w:spacing w:val="34"/>
          <w:vertAlign w:val="baseline"/>
        </w:rPr>
        <w:t> </w:t>
      </w:r>
      <w:r>
        <w:rPr>
          <w:vertAlign w:val="baseline"/>
        </w:rPr>
        <w:t>such</w:t>
      </w:r>
      <w:r>
        <w:rPr>
          <w:spacing w:val="34"/>
          <w:vertAlign w:val="baseline"/>
        </w:rPr>
        <w:t> </w:t>
      </w:r>
      <w:r>
        <w:rPr>
          <w:vertAlign w:val="baseline"/>
        </w:rPr>
        <w:t>a</w:t>
      </w:r>
      <w:r>
        <w:rPr>
          <w:spacing w:val="34"/>
          <w:vertAlign w:val="baseline"/>
        </w:rPr>
        <w:t> </w:t>
      </w:r>
      <w:r>
        <w:rPr>
          <w:vertAlign w:val="baseline"/>
        </w:rPr>
        <w:t>contract</w:t>
      </w:r>
      <w:r>
        <w:rPr>
          <w:spacing w:val="34"/>
          <w:vertAlign w:val="baseline"/>
        </w:rPr>
        <w:t> </w:t>
      </w:r>
      <w:r>
        <w:rPr>
          <w:vertAlign w:val="baseline"/>
        </w:rPr>
        <w:t>against</w:t>
      </w:r>
      <w:r>
        <w:rPr>
          <w:spacing w:val="34"/>
          <w:vertAlign w:val="baseline"/>
        </w:rPr>
        <w:t> </w:t>
      </w:r>
      <w:r>
        <w:rPr>
          <w:spacing w:val="-5"/>
          <w:vertAlign w:val="baseline"/>
        </w:rPr>
        <w:t>the</w:t>
      </w:r>
    </w:p>
    <w:p>
      <w:pPr>
        <w:pStyle w:val="BodyText"/>
        <w:spacing w:before="114"/>
        <w:ind w:left="165"/>
        <w:jc w:val="both"/>
        <w:rPr>
          <w:position w:val="-2"/>
        </w:rPr>
      </w:pPr>
      <w:r>
        <w:rPr/>
        <w:t>employee. </w:t>
      </w:r>
      <w:r>
        <w:rPr>
          <w:color w:val="005DA1"/>
          <w:u w:val="single" w:color="005DA1"/>
          <w:vertAlign w:val="superscript"/>
        </w:rPr>
        <w:t>711</w:t>
      </w:r>
      <w:r>
        <w:rPr>
          <w:color w:val="005DA1"/>
          <w:spacing w:val="80"/>
          <w:vertAlign w:val="baseline"/>
        </w:rPr>
        <w:t> </w:t>
      </w:r>
      <w:r>
        <w:rPr>
          <w:color w:val="005DA1"/>
          <w:position w:val="-2"/>
          <w:vertAlign w:val="baseline"/>
        </w:rPr>
        <w:drawing>
          <wp:inline distT="0" distB="0" distL="0" distR="0">
            <wp:extent cx="107988" cy="107988"/>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hAnsi="Arial"/>
          <w:b/>
          <w:sz w:val="18"/>
        </w:rPr>
      </w:pPr>
      <w:r>
        <w:rPr>
          <w:rFonts w:ascii="Arial" w:hAnsi="Arial"/>
          <w:b/>
          <w:sz w:val="18"/>
        </w:rPr>
        <w:t>Third party’s other rights </w:t>
      </w:r>
      <w:r>
        <w:rPr>
          <w:rFonts w:ascii="Arial" w:hAnsi="Arial"/>
          <w:b/>
          <w:spacing w:val="-2"/>
          <w:sz w:val="18"/>
        </w:rPr>
        <w:t>unaffected</w:t>
      </w:r>
    </w:p>
    <w:p>
      <w:pPr>
        <w:pStyle w:val="BodyText"/>
        <w:spacing w:before="42"/>
        <w:rPr>
          <w:rFonts w:ascii="Arial"/>
          <w:b/>
          <w:sz w:val="18"/>
        </w:rPr>
      </w:pPr>
    </w:p>
    <w:p>
      <w:pPr>
        <w:pStyle w:val="Heading2"/>
      </w:pPr>
      <w:r>
        <w:rPr/>
        <w:t>18-</w:t>
      </w:r>
      <w:r>
        <w:rPr>
          <w:spacing w:val="-5"/>
        </w:rPr>
        <w:t>119</w:t>
      </w:r>
    </w:p>
    <w:p>
      <w:pPr>
        <w:pStyle w:val="BodyText"/>
        <w:spacing w:line="235" w:lineRule="auto" w:before="202"/>
        <w:ind w:left="164" w:right="167"/>
        <w:jc w:val="both"/>
      </w:pPr>
      <w:r>
        <w:rPr/>
        <w:t>Section 7(1) of the 1999 Act provides that “Section 1 does not affect any right or remedy of a </w:t>
      </w:r>
      <w:r>
        <w:rPr/>
        <w:t>third party that exists or is available apart from this Act.” It follows that C continues, after the coming into force of the Act, to be able to enforce rights and to rely on defences arising under a contract between A and B, if before then he could have done so under exceptions to the doctrine of privity established</w:t>
      </w:r>
      <w:r>
        <w:rPr>
          <w:spacing w:val="40"/>
        </w:rPr>
        <w:t> </w:t>
      </w:r>
      <w:r>
        <w:rPr/>
        <w:t>at common law, in equity or under other legislation, or if he could have done so because the case fell </w:t>
      </w:r>
      <w:bookmarkStart w:name="_bookmark1221" w:id="1223"/>
      <w:bookmarkEnd w:id="1223"/>
      <w:r>
        <w:rPr/>
        <w:t>outside</w:t>
      </w:r>
      <w:r>
        <w:rPr/>
        <w:t> the scope of the doctrine of privity of contract: these possibilities are discussed elsewhere in </w:t>
      </w:r>
      <w:bookmarkStart w:name="_bookmark1222" w:id="1224"/>
      <w:bookmarkEnd w:id="1224"/>
      <w:r>
        <w:rPr/>
        <w:t>this</w:t>
      </w:r>
      <w:r>
        <w:rPr/>
        <w:t> Chapter. </w:t>
      </w:r>
      <w:r>
        <w:rPr>
          <w:color w:val="005DA1"/>
          <w:u w:val="single" w:color="005DA1"/>
          <w:vertAlign w:val="superscript"/>
        </w:rPr>
        <w:t>712</w:t>
      </w:r>
      <w:r>
        <w:rPr>
          <w:color w:val="005DA1"/>
          <w:vertAlign w:val="baseline"/>
        </w:rPr>
        <w:t> </w:t>
      </w:r>
      <w:r>
        <w:rPr>
          <w:vertAlign w:val="baseline"/>
        </w:rPr>
        <w:t>C will, for example, continue to be able to enforce a promise made by A to B if there </w:t>
      </w:r>
      <w:bookmarkStart w:name="_bookmark1223" w:id="1225"/>
      <w:bookmarkEnd w:id="1225"/>
      <w:r>
        <w:rPr>
          <w:vertAlign w:val="baseline"/>
        </w:rPr>
        <w:t>is</w:t>
      </w:r>
      <w:r>
        <w:rPr>
          <w:spacing w:val="-1"/>
          <w:vertAlign w:val="baseline"/>
        </w:rPr>
        <w:t> </w:t>
      </w:r>
      <w:r>
        <w:rPr>
          <w:vertAlign w:val="baseline"/>
        </w:rPr>
        <w:t>a</w:t>
      </w:r>
      <w:r>
        <w:rPr>
          <w:spacing w:val="-1"/>
          <w:vertAlign w:val="baseline"/>
        </w:rPr>
        <w:t> </w:t>
      </w:r>
      <w:r>
        <w:rPr>
          <w:vertAlign w:val="baseline"/>
        </w:rPr>
        <w:t>trust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promise</w:t>
      </w:r>
      <w:r>
        <w:rPr>
          <w:spacing w:val="-1"/>
          <w:vertAlign w:val="baseline"/>
        </w:rPr>
        <w:t> </w:t>
      </w:r>
      <w:r>
        <w:rPr>
          <w:vertAlign w:val="baseline"/>
        </w:rPr>
        <w:t>in</w:t>
      </w:r>
      <w:r>
        <w:rPr>
          <w:spacing w:val="-1"/>
          <w:vertAlign w:val="baseline"/>
        </w:rPr>
        <w:t> </w:t>
      </w:r>
      <w:r>
        <w:rPr>
          <w:vertAlign w:val="baseline"/>
        </w:rPr>
        <w:t>his</w:t>
      </w:r>
      <w:r>
        <w:rPr>
          <w:spacing w:val="-1"/>
          <w:vertAlign w:val="baseline"/>
        </w:rPr>
        <w:t> </w:t>
      </w:r>
      <w:r>
        <w:rPr>
          <w:vertAlign w:val="baseline"/>
        </w:rPr>
        <w:t>favour</w:t>
      </w:r>
      <w:r>
        <w:rPr>
          <w:spacing w:val="-2"/>
          <w:vertAlign w:val="baseline"/>
        </w:rPr>
        <w:t> </w:t>
      </w:r>
      <w:r>
        <w:rPr>
          <w:color w:val="005DA1"/>
          <w:u w:val="single" w:color="005DA1"/>
          <w:vertAlign w:val="superscript"/>
        </w:rPr>
        <w:t>713</w:t>
      </w:r>
      <w:r>
        <w:rPr>
          <w:vertAlign w:val="baseline"/>
        </w:rPr>
        <w:t>;</w:t>
      </w:r>
      <w:r>
        <w:rPr>
          <w:spacing w:val="-1"/>
          <w:vertAlign w:val="baseline"/>
        </w:rPr>
        <w:t> </w:t>
      </w:r>
      <w:r>
        <w:rPr>
          <w:vertAlign w:val="baseline"/>
        </w:rPr>
        <w:t>he</w:t>
      </w:r>
      <w:r>
        <w:rPr>
          <w:spacing w:val="-1"/>
          <w:vertAlign w:val="baseline"/>
        </w:rPr>
        <w:t> </w:t>
      </w:r>
      <w:r>
        <w:rPr>
          <w:vertAlign w:val="baseline"/>
        </w:rPr>
        <w:t>will</w:t>
      </w:r>
      <w:r>
        <w:rPr>
          <w:spacing w:val="-1"/>
          <w:vertAlign w:val="baseline"/>
        </w:rPr>
        <w:t> </w:t>
      </w:r>
      <w:r>
        <w:rPr>
          <w:vertAlign w:val="baseline"/>
        </w:rPr>
        <w:t>also</w:t>
      </w:r>
      <w:r>
        <w:rPr>
          <w:spacing w:val="-1"/>
          <w:vertAlign w:val="baseline"/>
        </w:rPr>
        <w:t> </w:t>
      </w:r>
      <w:r>
        <w:rPr>
          <w:vertAlign w:val="baseline"/>
        </w:rPr>
        <w:t>continue</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able</w:t>
      </w:r>
      <w:r>
        <w:rPr>
          <w:spacing w:val="-1"/>
          <w:vertAlign w:val="baseline"/>
        </w:rPr>
        <w:t> </w:t>
      </w:r>
      <w:r>
        <w:rPr>
          <w:vertAlign w:val="baseline"/>
        </w:rPr>
        <w:t>to</w:t>
      </w:r>
      <w:r>
        <w:rPr>
          <w:spacing w:val="-1"/>
          <w:vertAlign w:val="baseline"/>
        </w:rPr>
        <w:t> </w:t>
      </w:r>
      <w:r>
        <w:rPr>
          <w:vertAlign w:val="baseline"/>
        </w:rPr>
        <w:t>enforce</w:t>
      </w:r>
      <w:r>
        <w:rPr>
          <w:spacing w:val="-1"/>
          <w:vertAlign w:val="baseline"/>
        </w:rPr>
        <w:t> </w:t>
      </w:r>
      <w:r>
        <w:rPr>
          <w:vertAlign w:val="baseline"/>
        </w:rPr>
        <w:t>collateral</w:t>
      </w:r>
      <w:r>
        <w:rPr>
          <w:spacing w:val="-1"/>
          <w:vertAlign w:val="baseline"/>
        </w:rPr>
        <w:t> </w:t>
      </w:r>
      <w:r>
        <w:rPr>
          <w:vertAlign w:val="baseline"/>
        </w:rPr>
        <w:t>contracts </w:t>
      </w:r>
      <w:bookmarkStart w:name="_bookmark1224" w:id="1226"/>
      <w:bookmarkEnd w:id="1226"/>
      <w:r>
        <w:rPr>
          <w:vertAlign w:val="baseline"/>
        </w:rPr>
        <w:t>between</w:t>
      </w:r>
      <w:r>
        <w:rPr>
          <w:vertAlign w:val="baseline"/>
        </w:rPr>
        <w:t> himself and A </w:t>
      </w:r>
      <w:r>
        <w:rPr>
          <w:color w:val="005DA1"/>
          <w:u w:val="single" w:color="005DA1"/>
          <w:vertAlign w:val="superscript"/>
        </w:rPr>
        <w:t>714</w:t>
      </w:r>
      <w:r>
        <w:rPr>
          <w:color w:val="005DA1"/>
          <w:vertAlign w:val="baseline"/>
        </w:rPr>
        <w:t> </w:t>
      </w:r>
      <w:r>
        <w:rPr>
          <w:vertAlign w:val="baseline"/>
        </w:rPr>
        <w:t>and, in particular to be able to rely on Himalaya clauses by virtue of which an</w:t>
      </w:r>
      <w:r>
        <w:rPr>
          <w:spacing w:val="-2"/>
          <w:vertAlign w:val="baseline"/>
        </w:rPr>
        <w:t> </w:t>
      </w:r>
      <w:r>
        <w:rPr>
          <w:vertAlign w:val="baseline"/>
        </w:rPr>
        <w:t>exemption</w:t>
      </w:r>
      <w:r>
        <w:rPr>
          <w:spacing w:val="-2"/>
          <w:vertAlign w:val="baseline"/>
        </w:rPr>
        <w:t> </w:t>
      </w:r>
      <w:r>
        <w:rPr>
          <w:vertAlign w:val="baseline"/>
        </w:rPr>
        <w:t>or</w:t>
      </w:r>
      <w:r>
        <w:rPr>
          <w:spacing w:val="-2"/>
          <w:vertAlign w:val="baseline"/>
        </w:rPr>
        <w:t> </w:t>
      </w:r>
      <w:r>
        <w:rPr>
          <w:vertAlign w:val="baseline"/>
        </w:rPr>
        <w:t>limitation</w:t>
      </w:r>
      <w:r>
        <w:rPr>
          <w:spacing w:val="-2"/>
          <w:vertAlign w:val="baseline"/>
        </w:rPr>
        <w:t> </w:t>
      </w:r>
      <w:r>
        <w:rPr>
          <w:vertAlign w:val="baseline"/>
        </w:rPr>
        <w:t>clause</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between</w:t>
      </w:r>
      <w:r>
        <w:rPr>
          <w:spacing w:val="-2"/>
          <w:vertAlign w:val="baseline"/>
        </w:rPr>
        <w:t> </w:t>
      </w:r>
      <w:r>
        <w:rPr>
          <w:vertAlign w:val="baseline"/>
        </w:rPr>
        <w:t>A</w:t>
      </w:r>
      <w:r>
        <w:rPr>
          <w:spacing w:val="-2"/>
          <w:vertAlign w:val="baseline"/>
        </w:rPr>
        <w:t> </w:t>
      </w:r>
      <w:r>
        <w:rPr>
          <w:vertAlign w:val="baseline"/>
        </w:rPr>
        <w:t>and</w:t>
      </w:r>
      <w:r>
        <w:rPr>
          <w:spacing w:val="-2"/>
          <w:vertAlign w:val="baseline"/>
        </w:rPr>
        <w:t> </w:t>
      </w:r>
      <w:r>
        <w:rPr>
          <w:vertAlign w:val="baseline"/>
        </w:rPr>
        <w:t>B</w:t>
      </w:r>
      <w:r>
        <w:rPr>
          <w:spacing w:val="-2"/>
          <w:vertAlign w:val="baseline"/>
        </w:rPr>
        <w:t> </w:t>
      </w:r>
      <w:r>
        <w:rPr>
          <w:vertAlign w:val="baseline"/>
        </w:rPr>
        <w:t>becomes</w:t>
      </w:r>
      <w:r>
        <w:rPr>
          <w:spacing w:val="-2"/>
          <w:vertAlign w:val="baseline"/>
        </w:rPr>
        <w:t> </w:t>
      </w:r>
      <w:r>
        <w:rPr>
          <w:vertAlign w:val="baseline"/>
        </w:rPr>
        <w:t>available</w:t>
      </w:r>
      <w:r>
        <w:rPr>
          <w:spacing w:val="-2"/>
          <w:vertAlign w:val="baseline"/>
        </w:rPr>
        <w:t> </w:t>
      </w:r>
      <w:r>
        <w:rPr>
          <w:vertAlign w:val="baseline"/>
        </w:rPr>
        <w:t>to</w:t>
      </w:r>
      <w:r>
        <w:rPr>
          <w:spacing w:val="-2"/>
          <w:vertAlign w:val="baseline"/>
        </w:rPr>
        <w:t> </w:t>
      </w:r>
      <w:r>
        <w:rPr>
          <w:vertAlign w:val="baseline"/>
        </w:rPr>
        <w:t>him.</w:t>
      </w:r>
      <w:r>
        <w:rPr>
          <w:spacing w:val="-3"/>
          <w:vertAlign w:val="baseline"/>
        </w:rPr>
        <w:t> </w:t>
      </w:r>
      <w:r>
        <w:rPr>
          <w:color w:val="005DA1"/>
          <w:u w:val="single" w:color="005DA1"/>
          <w:vertAlign w:val="superscript"/>
        </w:rPr>
        <w:t>715</w:t>
      </w:r>
      <w:r>
        <w:rPr>
          <w:color w:val="005DA1"/>
          <w:spacing w:val="-2"/>
          <w:vertAlign w:val="baseline"/>
        </w:rPr>
        <w:t> </w:t>
      </w:r>
      <w:r>
        <w:rPr>
          <w:vertAlign w:val="baseline"/>
        </w:rPr>
        <w:t>Indeed, </w:t>
      </w:r>
      <w:bookmarkStart w:name="_bookmark1225" w:id="1227"/>
      <w:bookmarkEnd w:id="1227"/>
      <w:r>
        <w:rPr>
          <w:vertAlign w:val="baseline"/>
        </w:rPr>
        <w:t>in</w:t>
      </w:r>
      <w:r>
        <w:rPr>
          <w:vertAlign w:val="baseline"/>
        </w:rPr>
        <w:t> some such cases the person seeking to enforce the term is not truly a “third party” within the 1999 Act.</w:t>
      </w:r>
      <w:r>
        <w:rPr>
          <w:spacing w:val="-1"/>
          <w:vertAlign w:val="baseline"/>
        </w:rPr>
        <w:t> </w:t>
      </w:r>
      <w:r>
        <w:rPr>
          <w:color w:val="005DA1"/>
          <w:u w:val="single" w:color="005DA1"/>
          <w:vertAlign w:val="superscript"/>
        </w:rPr>
        <w:t>716</w:t>
      </w:r>
      <w:r>
        <w:rPr>
          <w:color w:val="005DA1"/>
          <w:spacing w:val="-1"/>
          <w:vertAlign w:val="baseline"/>
        </w:rPr>
        <w:t> </w:t>
      </w:r>
      <w:r>
        <w:rPr>
          <w:vertAlign w:val="baseline"/>
        </w:rPr>
        <w:t>The</w:t>
      </w:r>
      <w:r>
        <w:rPr>
          <w:spacing w:val="-1"/>
          <w:vertAlign w:val="baseline"/>
        </w:rPr>
        <w:t> </w:t>
      </w:r>
      <w:r>
        <w:rPr>
          <w:vertAlign w:val="baseline"/>
        </w:rPr>
        <w:t>whole</w:t>
      </w:r>
      <w:r>
        <w:rPr>
          <w:spacing w:val="-1"/>
          <w:vertAlign w:val="baseline"/>
        </w:rPr>
        <w:t> </w:t>
      </w:r>
      <w:r>
        <w:rPr>
          <w:vertAlign w:val="baseline"/>
        </w:rPr>
        <w:t>point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collateral</w:t>
      </w:r>
      <w:r>
        <w:rPr>
          <w:spacing w:val="-1"/>
          <w:vertAlign w:val="baseline"/>
        </w:rPr>
        <w:t> </w:t>
      </w:r>
      <w:r>
        <w:rPr>
          <w:vertAlign w:val="baseline"/>
        </w:rPr>
        <w:t>contract</w:t>
      </w:r>
      <w:r>
        <w:rPr>
          <w:spacing w:val="-1"/>
          <w:vertAlign w:val="baseline"/>
        </w:rPr>
        <w:t> </w:t>
      </w:r>
      <w:r>
        <w:rPr>
          <w:vertAlign w:val="baseline"/>
        </w:rPr>
        <w:t>device</w:t>
      </w:r>
      <w:r>
        <w:rPr>
          <w:spacing w:val="-1"/>
          <w:vertAlign w:val="baseline"/>
        </w:rPr>
        <w:t> </w:t>
      </w:r>
      <w:r>
        <w:rPr>
          <w:vertAlign w:val="baseline"/>
        </w:rPr>
        <w:t>is</w:t>
      </w:r>
      <w:r>
        <w:rPr>
          <w:spacing w:val="-1"/>
          <w:vertAlign w:val="baseline"/>
        </w:rPr>
        <w:t> </w:t>
      </w:r>
      <w:r>
        <w:rPr>
          <w:vertAlign w:val="baseline"/>
        </w:rPr>
        <w:t>to</w:t>
      </w:r>
      <w:r>
        <w:rPr>
          <w:spacing w:val="-1"/>
          <w:vertAlign w:val="baseline"/>
        </w:rPr>
        <w:t> </w:t>
      </w:r>
      <w:r>
        <w:rPr>
          <w:vertAlign w:val="baseline"/>
        </w:rPr>
        <w:t>establish</w:t>
      </w:r>
      <w:r>
        <w:rPr>
          <w:spacing w:val="-1"/>
          <w:vertAlign w:val="baseline"/>
        </w:rPr>
        <w:t> </w:t>
      </w:r>
      <w:r>
        <w:rPr>
          <w:vertAlign w:val="baseline"/>
        </w:rPr>
        <w:t>a</w:t>
      </w:r>
      <w:r>
        <w:rPr>
          <w:spacing w:val="-1"/>
          <w:vertAlign w:val="baseline"/>
        </w:rPr>
        <w:t> </w:t>
      </w:r>
      <w:r>
        <w:rPr>
          <w:vertAlign w:val="baseline"/>
        </w:rPr>
        <w:t>direct</w:t>
      </w:r>
      <w:r>
        <w:rPr>
          <w:spacing w:val="-1"/>
          <w:vertAlign w:val="baseline"/>
        </w:rPr>
        <w:t> </w:t>
      </w:r>
      <w:r>
        <w:rPr>
          <w:vertAlign w:val="baseline"/>
        </w:rPr>
        <w:t>contractual</w:t>
      </w:r>
      <w:r>
        <w:rPr>
          <w:spacing w:val="-1"/>
          <w:vertAlign w:val="baseline"/>
        </w:rPr>
        <w:t> </w:t>
      </w:r>
      <w:r>
        <w:rPr>
          <w:vertAlign w:val="baseline"/>
        </w:rPr>
        <w:t>relationship between the parties that have here been called A and C; and the legal basis for the efficacy of </w:t>
      </w:r>
      <w:bookmarkStart w:name="_bookmark1226" w:id="1228"/>
      <w:bookmarkEnd w:id="1228"/>
      <w:r>
        <w:rPr>
          <w:vertAlign w:val="baseline"/>
        </w:rPr>
        <w:t>Himalaya</w:t>
      </w:r>
      <w:r>
        <w:rPr>
          <w:vertAlign w:val="baseline"/>
        </w:rPr>
        <w:t> clauses at common law is similarly that they make it possible for a contract of some kind to come into existence between A and C, </w:t>
      </w:r>
      <w:r>
        <w:rPr>
          <w:color w:val="005DA1"/>
          <w:u w:val="single" w:color="005DA1"/>
          <w:vertAlign w:val="superscript"/>
        </w:rPr>
        <w:t>717</w:t>
      </w:r>
      <w:r>
        <w:rPr>
          <w:color w:val="005DA1"/>
          <w:vertAlign w:val="baseline"/>
        </w:rPr>
        <w:t> </w:t>
      </w:r>
      <w:r>
        <w:rPr>
          <w:vertAlign w:val="baseline"/>
        </w:rPr>
        <w:t>though this is not the same as “the contract” (i.e. that between A and B) containing the term on which C seeks to rely. Subsection 7(1) also preserves any </w:t>
      </w:r>
      <w:bookmarkStart w:name="_bookmark1227" w:id="1229"/>
      <w:bookmarkEnd w:id="1229"/>
      <w:r>
        <w:rPr>
          <w:vertAlign w:val="baseline"/>
        </w:rPr>
        <w:t>rights</w:t>
      </w:r>
      <w:r>
        <w:rPr>
          <w:spacing w:val="-2"/>
          <w:vertAlign w:val="baseline"/>
        </w:rPr>
        <w:t> </w:t>
      </w:r>
      <w:r>
        <w:rPr>
          <w:vertAlign w:val="baseline"/>
        </w:rPr>
        <w:t>which</w:t>
      </w:r>
      <w:r>
        <w:rPr>
          <w:spacing w:val="-2"/>
          <w:vertAlign w:val="baseline"/>
        </w:rPr>
        <w:t> </w:t>
      </w:r>
      <w:r>
        <w:rPr>
          <w:vertAlign w:val="baseline"/>
        </w:rPr>
        <w:t>C</w:t>
      </w:r>
      <w:r>
        <w:rPr>
          <w:spacing w:val="-2"/>
          <w:vertAlign w:val="baseline"/>
        </w:rPr>
        <w:t> </w:t>
      </w:r>
      <w:r>
        <w:rPr>
          <w:vertAlign w:val="baseline"/>
        </w:rPr>
        <w:t>may</w:t>
      </w:r>
      <w:r>
        <w:rPr>
          <w:spacing w:val="-2"/>
          <w:vertAlign w:val="baseline"/>
        </w:rPr>
        <w:t> </w:t>
      </w:r>
      <w:r>
        <w:rPr>
          <w:vertAlign w:val="baseline"/>
        </w:rPr>
        <w:t>have</w:t>
      </w:r>
      <w:r>
        <w:rPr>
          <w:spacing w:val="-2"/>
          <w:vertAlign w:val="baseline"/>
        </w:rPr>
        <w:t> </w:t>
      </w:r>
      <w:r>
        <w:rPr>
          <w:vertAlign w:val="baseline"/>
        </w:rPr>
        <w:t>to</w:t>
      </w:r>
      <w:r>
        <w:rPr>
          <w:spacing w:val="-2"/>
          <w:vertAlign w:val="baseline"/>
        </w:rPr>
        <w:t> </w:t>
      </w:r>
      <w:r>
        <w:rPr>
          <w:vertAlign w:val="baseline"/>
        </w:rPr>
        <w:t>sue</w:t>
      </w:r>
      <w:r>
        <w:rPr>
          <w:spacing w:val="-2"/>
          <w:vertAlign w:val="baseline"/>
        </w:rPr>
        <w:t> </w:t>
      </w:r>
      <w:r>
        <w:rPr>
          <w:vertAlign w:val="baseline"/>
        </w:rPr>
        <w:t>A</w:t>
      </w:r>
      <w:r>
        <w:rPr>
          <w:spacing w:val="-2"/>
          <w:vertAlign w:val="baseline"/>
        </w:rPr>
        <w:t> </w:t>
      </w:r>
      <w:r>
        <w:rPr>
          <w:vertAlign w:val="baseline"/>
        </w:rPr>
        <w:t>in</w:t>
      </w:r>
      <w:r>
        <w:rPr>
          <w:spacing w:val="-2"/>
          <w:vertAlign w:val="baseline"/>
        </w:rPr>
        <w:t> </w:t>
      </w:r>
      <w:r>
        <w:rPr>
          <w:vertAlign w:val="baseline"/>
        </w:rPr>
        <w:t>tort</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loss</w:t>
      </w:r>
      <w:r>
        <w:rPr>
          <w:spacing w:val="-2"/>
          <w:vertAlign w:val="baseline"/>
        </w:rPr>
        <w:t> </w:t>
      </w:r>
      <w:r>
        <w:rPr>
          <w:vertAlign w:val="baseline"/>
        </w:rPr>
        <w:t>suffered</w:t>
      </w:r>
      <w:r>
        <w:rPr>
          <w:spacing w:val="-2"/>
          <w:vertAlign w:val="baseline"/>
        </w:rPr>
        <w:t> </w:t>
      </w:r>
      <w:r>
        <w:rPr>
          <w:vertAlign w:val="baseline"/>
        </w:rPr>
        <w:t>by</w:t>
      </w:r>
      <w:r>
        <w:rPr>
          <w:spacing w:val="-2"/>
          <w:vertAlign w:val="baseline"/>
        </w:rPr>
        <w:t> </w:t>
      </w:r>
      <w:r>
        <w:rPr>
          <w:vertAlign w:val="baseline"/>
        </w:rPr>
        <w:t>C</w:t>
      </w:r>
      <w:r>
        <w:rPr>
          <w:spacing w:val="-2"/>
          <w:vertAlign w:val="baseline"/>
        </w:rPr>
        <w:t> </w:t>
      </w:r>
      <w:r>
        <w:rPr>
          <w:vertAlign w:val="baseline"/>
        </w:rPr>
        <w:t>in</w:t>
      </w:r>
      <w:r>
        <w:rPr>
          <w:spacing w:val="-2"/>
          <w:vertAlign w:val="baseline"/>
        </w:rPr>
        <w:t> </w:t>
      </w:r>
      <w:r>
        <w:rPr>
          <w:vertAlign w:val="baseline"/>
        </w:rPr>
        <w:t>consequence</w:t>
      </w:r>
      <w:r>
        <w:rPr>
          <w:spacing w:val="-2"/>
          <w:vertAlign w:val="baseline"/>
        </w:rPr>
        <w:t> </w:t>
      </w:r>
      <w:r>
        <w:rPr>
          <w:vertAlign w:val="baseline"/>
        </w:rPr>
        <w:t>of</w:t>
      </w:r>
      <w:r>
        <w:rPr>
          <w:spacing w:val="-2"/>
          <w:vertAlign w:val="baseline"/>
        </w:rPr>
        <w:t> </w:t>
      </w:r>
      <w:r>
        <w:rPr>
          <w:vertAlign w:val="baseline"/>
        </w:rPr>
        <w:t>A’s</w:t>
      </w:r>
      <w:r>
        <w:rPr>
          <w:spacing w:val="-2"/>
          <w:vertAlign w:val="baseline"/>
        </w:rPr>
        <w:t> </w:t>
      </w:r>
      <w:r>
        <w:rPr>
          <w:vertAlign w:val="baseline"/>
        </w:rPr>
        <w:t>breach of</w:t>
      </w:r>
      <w:r>
        <w:rPr>
          <w:spacing w:val="-1"/>
          <w:vertAlign w:val="baseline"/>
        </w:rPr>
        <w:t> </w:t>
      </w:r>
      <w:r>
        <w:rPr>
          <w:vertAlign w:val="baseline"/>
        </w:rPr>
        <w:t>his</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B;</w:t>
      </w:r>
      <w:r>
        <w:rPr>
          <w:spacing w:val="-1"/>
          <w:vertAlign w:val="baseline"/>
        </w:rPr>
        <w:t> </w:t>
      </w:r>
      <w:r>
        <w:rPr>
          <w:vertAlign w:val="baseline"/>
        </w:rPr>
        <w:t>we</w:t>
      </w:r>
      <w:r>
        <w:rPr>
          <w:spacing w:val="-1"/>
          <w:vertAlign w:val="baseline"/>
        </w:rPr>
        <w:t> </w:t>
      </w:r>
      <w:r>
        <w:rPr>
          <w:vertAlign w:val="baseline"/>
        </w:rPr>
        <w:t>have</w:t>
      </w:r>
      <w:r>
        <w:rPr>
          <w:spacing w:val="-1"/>
          <w:vertAlign w:val="baseline"/>
        </w:rPr>
        <w:t> </w:t>
      </w:r>
      <w:r>
        <w:rPr>
          <w:vertAlign w:val="baseline"/>
        </w:rPr>
        <w:t>seen</w:t>
      </w:r>
      <w:r>
        <w:rPr>
          <w:spacing w:val="-1"/>
          <w:vertAlign w:val="baseline"/>
        </w:rPr>
        <w:t> </w:t>
      </w:r>
      <w:r>
        <w:rPr>
          <w:vertAlign w:val="baseline"/>
        </w:rPr>
        <w:t>that</w:t>
      </w:r>
      <w:r>
        <w:rPr>
          <w:spacing w:val="-1"/>
          <w:vertAlign w:val="baseline"/>
        </w:rPr>
        <w:t> </w:t>
      </w:r>
      <w:r>
        <w:rPr>
          <w:vertAlign w:val="baseline"/>
        </w:rPr>
        <w:t>in</w:t>
      </w:r>
      <w:r>
        <w:rPr>
          <w:spacing w:val="-1"/>
          <w:vertAlign w:val="baseline"/>
        </w:rPr>
        <w:t> </w:t>
      </w:r>
      <w:r>
        <w:rPr>
          <w:vertAlign w:val="baseline"/>
        </w:rPr>
        <w:t>such</w:t>
      </w:r>
      <w:r>
        <w:rPr>
          <w:spacing w:val="-1"/>
          <w:vertAlign w:val="baseline"/>
        </w:rPr>
        <w:t> </w:t>
      </w:r>
      <w:r>
        <w:rPr>
          <w:vertAlign w:val="baseline"/>
        </w:rPr>
        <w:t>cases</w:t>
      </w:r>
      <w:r>
        <w:rPr>
          <w:spacing w:val="-1"/>
          <w:vertAlign w:val="baseline"/>
        </w:rPr>
        <w:t> </w:t>
      </w:r>
      <w:r>
        <w:rPr>
          <w:vertAlign w:val="baseline"/>
        </w:rPr>
        <w:t>C</w:t>
      </w:r>
      <w:r>
        <w:rPr>
          <w:spacing w:val="-1"/>
          <w:vertAlign w:val="baseline"/>
        </w:rPr>
        <w:t> </w:t>
      </w:r>
      <w:r>
        <w:rPr>
          <w:vertAlign w:val="baseline"/>
        </w:rPr>
        <w:t>will</w:t>
      </w:r>
      <w:r>
        <w:rPr>
          <w:spacing w:val="-1"/>
          <w:vertAlign w:val="baseline"/>
        </w:rPr>
        <w:t> </w:t>
      </w:r>
      <w:r>
        <w:rPr>
          <w:vertAlign w:val="baseline"/>
        </w:rPr>
        <w:t>often</w:t>
      </w:r>
      <w:r>
        <w:rPr>
          <w:spacing w:val="-1"/>
          <w:vertAlign w:val="baseline"/>
        </w:rPr>
        <w:t> </w:t>
      </w:r>
      <w:r>
        <w:rPr>
          <w:vertAlign w:val="baseline"/>
        </w:rPr>
        <w:t>have</w:t>
      </w:r>
      <w:r>
        <w:rPr>
          <w:spacing w:val="-1"/>
          <w:vertAlign w:val="baseline"/>
        </w:rPr>
        <w:t> </w:t>
      </w:r>
      <w:r>
        <w:rPr>
          <w:vertAlign w:val="baseline"/>
        </w:rPr>
        <w:t>no</w:t>
      </w:r>
      <w:r>
        <w:rPr>
          <w:spacing w:val="-1"/>
          <w:vertAlign w:val="baseline"/>
        </w:rPr>
        <w:t> </w:t>
      </w:r>
      <w:r>
        <w:rPr>
          <w:vertAlign w:val="baseline"/>
        </w:rPr>
        <w:t>rights</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1999</w:t>
      </w:r>
      <w:r>
        <w:rPr>
          <w:spacing w:val="-1"/>
          <w:vertAlign w:val="baseline"/>
        </w:rPr>
        <w:t> </w:t>
      </w:r>
      <w:r>
        <w:rPr>
          <w:vertAlign w:val="baseline"/>
        </w:rPr>
        <w:t>Act. </w:t>
      </w:r>
      <w:r>
        <w:rPr>
          <w:color w:val="005DA1"/>
          <w:u w:val="single" w:color="005DA1"/>
          <w:vertAlign w:val="superscript"/>
        </w:rPr>
        <w:t>718</w:t>
      </w:r>
      <w:r>
        <w:rPr>
          <w:color w:val="005DA1"/>
          <w:vertAlign w:val="baseline"/>
        </w:rPr>
        <w:t> </w:t>
      </w:r>
      <w:r>
        <w:rPr>
          <w:vertAlign w:val="baseline"/>
        </w:rPr>
        <w:t>C could also rely on the subsection to enforce rights arising under legislation coming into force</w:t>
      </w:r>
      <w:r>
        <w:rPr>
          <w:spacing w:val="40"/>
          <w:vertAlign w:val="baseline"/>
        </w:rPr>
        <w:t> </w:t>
      </w:r>
      <w:bookmarkStart w:name="_bookmark1228" w:id="1230"/>
      <w:bookmarkEnd w:id="1230"/>
      <w:r>
        <w:rPr>
          <w:vertAlign w:val="baseline"/>
        </w:rPr>
        <w:t>after</w:t>
      </w:r>
      <w:r>
        <w:rPr>
          <w:vertAlign w:val="baseline"/>
        </w:rPr>
        <w:t> the 1999 Act or under new exceptions to the doctrine of privity of contract which might, after that Act, be developed by the courts. </w:t>
      </w:r>
      <w:r>
        <w:rPr>
          <w:color w:val="005DA1"/>
          <w:u w:val="single" w:color="005DA1"/>
          <w:vertAlign w:val="superscript"/>
        </w:rPr>
        <w:t>719</w:t>
      </w:r>
    </w:p>
    <w:p>
      <w:pPr>
        <w:pStyle w:val="BodyText"/>
        <w:spacing w:before="74"/>
      </w:pPr>
    </w:p>
    <w:p>
      <w:pPr>
        <w:pStyle w:val="Heading2"/>
      </w:pPr>
      <w:r>
        <w:rPr/>
        <w:t>18-</w:t>
      </w:r>
      <w:r>
        <w:rPr>
          <w:spacing w:val="-5"/>
        </w:rPr>
        <w:t>120</w:t>
      </w:r>
    </w:p>
    <w:p>
      <w:pPr>
        <w:pStyle w:val="BodyText"/>
        <w:spacing w:line="235" w:lineRule="auto" w:before="202"/>
        <w:ind w:left="164" w:right="167"/>
        <w:jc w:val="both"/>
      </w:pPr>
      <w:r>
        <w:rPr/>
        <w:t>Although s.7(1) in terms states only that “Section 1” does not affect other rights and </w:t>
      </w:r>
      <w:r>
        <w:rPr/>
        <w:t>remedies available to C, it follows from the structure of the 1999 Act that many of its other provisions will likewise not apply where C’s rights against A arise apart from the Act. Of particular significance are the points that the rules as to rescission and variation, contained in s.2, and the rules as to defences </w:t>
      </w:r>
      <w:bookmarkStart w:name="_bookmark1229" w:id="1231"/>
      <w:bookmarkEnd w:id="1231"/>
      <w:r>
        <w:rPr/>
        <w:t>and</w:t>
      </w:r>
      <w:r>
        <w:rPr/>
        <w:t> related matters, contained in s.3, will not so apply, since s.2 applies only “where a third party has </w:t>
      </w:r>
      <w:bookmarkStart w:name="_bookmark1230" w:id="1232"/>
      <w:bookmarkEnd w:id="1232"/>
      <w:r>
        <w:rPr/>
        <w:t>a</w:t>
      </w:r>
      <w:r>
        <w:rPr>
          <w:spacing w:val="-2"/>
        </w:rPr>
        <w:t> </w:t>
      </w:r>
      <w:r>
        <w:rPr/>
        <w:t>right</w:t>
      </w:r>
      <w:r>
        <w:rPr>
          <w:spacing w:val="-2"/>
        </w:rPr>
        <w:t> </w:t>
      </w:r>
      <w:r>
        <w:rPr/>
        <w:t>under</w:t>
      </w:r>
      <w:r>
        <w:rPr>
          <w:spacing w:val="-2"/>
        </w:rPr>
        <w:t> </w:t>
      </w:r>
      <w:r>
        <w:rPr/>
        <w:t>section</w:t>
      </w:r>
      <w:r>
        <w:rPr>
          <w:spacing w:val="-2"/>
        </w:rPr>
        <w:t> </w:t>
      </w:r>
      <w:r>
        <w:rPr/>
        <w:t>1</w:t>
      </w:r>
      <w:r>
        <w:rPr>
          <w:spacing w:val="-2"/>
        </w:rPr>
        <w:t> </w:t>
      </w:r>
      <w:r>
        <w:rPr/>
        <w:t>to</w:t>
      </w:r>
      <w:r>
        <w:rPr>
          <w:spacing w:val="-2"/>
        </w:rPr>
        <w:t> </w:t>
      </w:r>
      <w:r>
        <w:rPr/>
        <w:t>enforce</w:t>
      </w:r>
      <w:r>
        <w:rPr>
          <w:spacing w:val="-2"/>
        </w:rPr>
        <w:t> </w:t>
      </w:r>
      <w:r>
        <w:rPr/>
        <w:t>a</w:t>
      </w:r>
      <w:r>
        <w:rPr>
          <w:spacing w:val="-2"/>
        </w:rPr>
        <w:t> </w:t>
      </w:r>
      <w:r>
        <w:rPr/>
        <w:t>term</w:t>
      </w:r>
      <w:r>
        <w:rPr>
          <w:spacing w:val="-2"/>
        </w:rPr>
        <w:t> </w:t>
      </w:r>
      <w:r>
        <w:rPr/>
        <w:t>of</w:t>
      </w:r>
      <w:r>
        <w:rPr>
          <w:spacing w:val="-2"/>
        </w:rPr>
        <w:t> </w:t>
      </w:r>
      <w:r>
        <w:rPr/>
        <w:t>the</w:t>
      </w:r>
      <w:r>
        <w:rPr>
          <w:spacing w:val="-2"/>
        </w:rPr>
        <w:t> </w:t>
      </w:r>
      <w:r>
        <w:rPr/>
        <w:t>contract”</w:t>
      </w:r>
      <w:r>
        <w:rPr>
          <w:spacing w:val="-2"/>
        </w:rPr>
        <w:t> </w:t>
      </w:r>
      <w:r>
        <w:rPr>
          <w:color w:val="005DA1"/>
          <w:u w:val="single" w:color="005DA1"/>
          <w:vertAlign w:val="superscript"/>
        </w:rPr>
        <w:t>720</w:t>
      </w:r>
      <w:r>
        <w:rPr>
          <w:color w:val="005DA1"/>
          <w:spacing w:val="-2"/>
          <w:vertAlign w:val="baseline"/>
        </w:rPr>
        <w:t> </w:t>
      </w:r>
      <w:r>
        <w:rPr>
          <w:vertAlign w:val="baseline"/>
        </w:rPr>
        <w:t>and</w:t>
      </w:r>
      <w:r>
        <w:rPr>
          <w:spacing w:val="-2"/>
          <w:vertAlign w:val="baseline"/>
        </w:rPr>
        <w:t> </w:t>
      </w:r>
      <w:r>
        <w:rPr>
          <w:vertAlign w:val="baseline"/>
        </w:rPr>
        <w:t>s.3</w:t>
      </w:r>
      <w:r>
        <w:rPr>
          <w:spacing w:val="-2"/>
          <w:vertAlign w:val="baseline"/>
        </w:rPr>
        <w:t> </w:t>
      </w:r>
      <w:r>
        <w:rPr>
          <w:vertAlign w:val="baseline"/>
        </w:rPr>
        <w:t>applies</w:t>
      </w:r>
      <w:r>
        <w:rPr>
          <w:spacing w:val="-2"/>
          <w:vertAlign w:val="baseline"/>
        </w:rPr>
        <w:t> </w:t>
      </w:r>
      <w:r>
        <w:rPr>
          <w:vertAlign w:val="baseline"/>
        </w:rPr>
        <w:t>only</w:t>
      </w:r>
      <w:r>
        <w:rPr>
          <w:spacing w:val="-2"/>
          <w:vertAlign w:val="baseline"/>
        </w:rPr>
        <w:t> </w:t>
      </w:r>
      <w:r>
        <w:rPr>
          <w:vertAlign w:val="baseline"/>
        </w:rPr>
        <w:t>“where,</w:t>
      </w:r>
      <w:r>
        <w:rPr>
          <w:spacing w:val="-2"/>
          <w:vertAlign w:val="baseline"/>
        </w:rPr>
        <w:t> </w:t>
      </w:r>
      <w:r>
        <w:rPr>
          <w:vertAlign w:val="baseline"/>
        </w:rPr>
        <w:t>in</w:t>
      </w:r>
      <w:r>
        <w:rPr>
          <w:spacing w:val="-2"/>
          <w:vertAlign w:val="baseline"/>
        </w:rPr>
        <w:t> </w:t>
      </w:r>
      <w:r>
        <w:rPr>
          <w:vertAlign w:val="baseline"/>
        </w:rPr>
        <w:t>reliance</w:t>
      </w:r>
      <w:r>
        <w:rPr>
          <w:spacing w:val="-2"/>
          <w:vertAlign w:val="baseline"/>
        </w:rPr>
        <w:t> </w:t>
      </w:r>
      <w:r>
        <w:rPr>
          <w:vertAlign w:val="baseline"/>
        </w:rPr>
        <w:t>on section 1, proceedings for the enforcement of a term of a contract are brought by a third party.” </w:t>
      </w:r>
      <w:r>
        <w:rPr>
          <w:color w:val="005DA1"/>
          <w:u w:val="single" w:color="005DA1"/>
          <w:vertAlign w:val="superscript"/>
        </w:rPr>
        <w:t>721</w:t>
      </w:r>
    </w:p>
    <w:p>
      <w:pPr>
        <w:pStyle w:val="BodyText"/>
        <w:spacing w:before="79"/>
      </w:pPr>
    </w:p>
    <w:p>
      <w:pPr>
        <w:pStyle w:val="Heading2"/>
      </w:pPr>
      <w:r>
        <w:rPr/>
        <w:t>18-</w:t>
      </w:r>
      <w:r>
        <w:rPr>
          <w:spacing w:val="-5"/>
        </w:rPr>
        <w:t>121</w:t>
      </w:r>
    </w:p>
    <w:p>
      <w:pPr>
        <w:pStyle w:val="BodyText"/>
        <w:spacing w:line="235" w:lineRule="auto" w:before="203"/>
        <w:ind w:left="164" w:right="167"/>
        <w:jc w:val="both"/>
      </w:pPr>
      <w:r>
        <w:rPr/>
        <w:t>The structure resulting from the distinctions drawn in paragraphs 18-119 to 18-120 above is therefore a complex one. Four types of cases call for consideration. The first is that in which C has rights </w:t>
      </w:r>
      <w:r>
        <w:rPr/>
        <w:t>under the 1999 Act but none apart from it because the case falls within the scope of the doctrine of privity of contract but not within any of the judge-made or other legislative exceptions to it. Here C’s rights and remedies are clearly subject to the provisions of the Act. The second is the case in which C has no rights</w:t>
      </w:r>
      <w:r>
        <w:rPr>
          <w:spacing w:val="-1"/>
        </w:rPr>
        <w:t> </w:t>
      </w:r>
      <w:r>
        <w:rPr/>
        <w:t>under</w:t>
      </w:r>
      <w:r>
        <w:rPr>
          <w:spacing w:val="-1"/>
        </w:rPr>
        <w:t> </w:t>
      </w:r>
      <w:r>
        <w:rPr/>
        <w:t>the</w:t>
      </w:r>
      <w:r>
        <w:rPr>
          <w:spacing w:val="-1"/>
        </w:rPr>
        <w:t> </w:t>
      </w:r>
      <w:r>
        <w:rPr/>
        <w:t>Act</w:t>
      </w:r>
      <w:r>
        <w:rPr>
          <w:spacing w:val="-1"/>
        </w:rPr>
        <w:t> </w:t>
      </w:r>
      <w:r>
        <w:rPr/>
        <w:t>(either</w:t>
      </w:r>
      <w:r>
        <w:rPr>
          <w:spacing w:val="-1"/>
        </w:rPr>
        <w:t> </w:t>
      </w:r>
      <w:r>
        <w:rPr/>
        <w:t>because</w:t>
      </w:r>
      <w:r>
        <w:rPr>
          <w:spacing w:val="-1"/>
        </w:rPr>
        <w:t> </w:t>
      </w:r>
      <w:r>
        <w:rPr/>
        <w:t>the</w:t>
      </w:r>
      <w:r>
        <w:rPr>
          <w:spacing w:val="-1"/>
        </w:rPr>
        <w:t> </w:t>
      </w:r>
      <w:r>
        <w:rPr/>
        <w:t>requirements</w:t>
      </w:r>
      <w:r>
        <w:rPr>
          <w:spacing w:val="-1"/>
        </w:rPr>
        <w:t> </w:t>
      </w:r>
      <w:r>
        <w:rPr/>
        <w:t>of</w:t>
      </w:r>
      <w:r>
        <w:rPr>
          <w:spacing w:val="-1"/>
        </w:rPr>
        <w:t> </w:t>
      </w:r>
      <w:r>
        <w:rPr/>
        <w:t>its</w:t>
      </w:r>
      <w:r>
        <w:rPr>
          <w:spacing w:val="-1"/>
        </w:rPr>
        <w:t> </w:t>
      </w:r>
      <w:r>
        <w:rPr/>
        <w:t>s.1</w:t>
      </w:r>
      <w:r>
        <w:rPr>
          <w:spacing w:val="-1"/>
        </w:rPr>
        <w:t> </w:t>
      </w:r>
      <w:r>
        <w:rPr/>
        <w:t>are</w:t>
      </w:r>
      <w:r>
        <w:rPr>
          <w:spacing w:val="-1"/>
        </w:rPr>
        <w:t> </w:t>
      </w:r>
      <w:r>
        <w:rPr/>
        <w:t>not</w:t>
      </w:r>
      <w:r>
        <w:rPr>
          <w:spacing w:val="-1"/>
        </w:rPr>
        <w:t> </w:t>
      </w:r>
      <w:r>
        <w:rPr/>
        <w:t>satisfied</w:t>
      </w:r>
      <w:r>
        <w:rPr>
          <w:spacing w:val="-1"/>
        </w:rPr>
        <w:t> </w:t>
      </w:r>
      <w:r>
        <w:rPr/>
        <w:t>or</w:t>
      </w:r>
      <w:r>
        <w:rPr>
          <w:spacing w:val="-1"/>
        </w:rPr>
        <w:t> </w:t>
      </w:r>
      <w:r>
        <w:rPr/>
        <w:t>because</w:t>
      </w:r>
      <w:r>
        <w:rPr>
          <w:spacing w:val="-1"/>
        </w:rPr>
        <w:t> </w:t>
      </w:r>
      <w:r>
        <w:rPr/>
        <w:t>one</w:t>
      </w:r>
      <w:r>
        <w:rPr>
          <w:spacing w:val="-1"/>
        </w:rPr>
        <w:t> </w:t>
      </w:r>
      <w:r>
        <w:rPr/>
        <w:t>of</w:t>
      </w:r>
      <w:r>
        <w:rPr>
          <w:spacing w:val="-1"/>
        </w:rPr>
        <w:t> </w:t>
      </w:r>
      <w:r>
        <w:rPr/>
        <w:t>the exceptions listed in its s.6 applies) but in which he does have rights apart from the Act, because the case</w:t>
      </w:r>
      <w:r>
        <w:rPr>
          <w:spacing w:val="-1"/>
        </w:rPr>
        <w:t> </w:t>
      </w:r>
      <w:r>
        <w:rPr/>
        <w:t>falls</w:t>
      </w:r>
      <w:r>
        <w:rPr>
          <w:spacing w:val="-1"/>
        </w:rPr>
        <w:t> </w:t>
      </w:r>
      <w:r>
        <w:rPr/>
        <w:t>either</w:t>
      </w:r>
      <w:r>
        <w:rPr>
          <w:spacing w:val="-1"/>
        </w:rPr>
        <w:t> </w:t>
      </w:r>
      <w:r>
        <w:rPr/>
        <w:t>outside</w:t>
      </w:r>
      <w:r>
        <w:rPr>
          <w:spacing w:val="-1"/>
        </w:rPr>
        <w:t> </w:t>
      </w:r>
      <w:r>
        <w:rPr/>
        <w:t>the</w:t>
      </w:r>
      <w:r>
        <w:rPr>
          <w:spacing w:val="-1"/>
        </w:rPr>
        <w:t> </w:t>
      </w:r>
      <w:r>
        <w:rPr/>
        <w:t>scope</w:t>
      </w:r>
      <w:r>
        <w:rPr>
          <w:spacing w:val="-1"/>
        </w:rPr>
        <w:t> </w:t>
      </w:r>
      <w:r>
        <w:rPr/>
        <w:t>of</w:t>
      </w:r>
      <w:r>
        <w:rPr>
          <w:spacing w:val="-1"/>
        </w:rPr>
        <w:t> </w:t>
      </w:r>
      <w:r>
        <w:rPr/>
        <w:t>the</w:t>
      </w:r>
      <w:r>
        <w:rPr>
          <w:spacing w:val="-1"/>
        </w:rPr>
        <w:t> </w:t>
      </w:r>
      <w:r>
        <w:rPr/>
        <w:t>doctrine</w:t>
      </w:r>
      <w:r>
        <w:rPr>
          <w:spacing w:val="-1"/>
        </w:rPr>
        <w:t> </w:t>
      </w:r>
      <w:r>
        <w:rPr/>
        <w:t>of</w:t>
      </w:r>
      <w:r>
        <w:rPr>
          <w:spacing w:val="-1"/>
        </w:rPr>
        <w:t> </w:t>
      </w:r>
      <w:r>
        <w:rPr/>
        <w:t>privity</w:t>
      </w:r>
      <w:r>
        <w:rPr>
          <w:spacing w:val="-1"/>
        </w:rPr>
        <w:t> </w:t>
      </w:r>
      <w:r>
        <w:rPr/>
        <w:t>of</w:t>
      </w:r>
      <w:r>
        <w:rPr>
          <w:spacing w:val="-1"/>
        </w:rPr>
        <w:t> </w:t>
      </w:r>
      <w:r>
        <w:rPr/>
        <w:t>contract</w:t>
      </w:r>
      <w:r>
        <w:rPr>
          <w:spacing w:val="-1"/>
        </w:rPr>
        <w:t> </w:t>
      </w:r>
      <w:r>
        <w:rPr/>
        <w:t>or</w:t>
      </w:r>
      <w:r>
        <w:rPr>
          <w:spacing w:val="-1"/>
        </w:rPr>
        <w:t> </w:t>
      </w:r>
      <w:r>
        <w:rPr/>
        <w:t>within</w:t>
      </w:r>
      <w:r>
        <w:rPr>
          <w:spacing w:val="-1"/>
        </w:rPr>
        <w:t> </w:t>
      </w:r>
      <w:r>
        <w:rPr/>
        <w:t>one</w:t>
      </w:r>
      <w:r>
        <w:rPr>
          <w:spacing w:val="-1"/>
        </w:rPr>
        <w:t> </w:t>
      </w:r>
      <w:r>
        <w:rPr/>
        <w:t>of</w:t>
      </w:r>
      <w:r>
        <w:rPr>
          <w:spacing w:val="-1"/>
        </w:rPr>
        <w:t> </w:t>
      </w:r>
      <w:r>
        <w:rPr/>
        <w:t>the</w:t>
      </w:r>
      <w:r>
        <w:rPr>
          <w:spacing w:val="-1"/>
        </w:rPr>
        <w:t> </w:t>
      </w:r>
      <w:r>
        <w:rPr/>
        <w:t>judge-made </w:t>
      </w:r>
      <w:bookmarkStart w:name="_bookmark1231" w:id="1233"/>
      <w:bookmarkEnd w:id="1233"/>
      <w:r>
        <w:rPr/>
        <w:t>or</w:t>
      </w:r>
      <w:r>
        <w:rPr/>
        <w:t> other legislative exceptions to it. Here the rights and remedies to which C is entitled are clearly not </w:t>
      </w:r>
      <w:bookmarkStart w:name="_bookmark1232" w:id="1234"/>
      <w:bookmarkEnd w:id="1234"/>
      <w:r>
        <w:rPr/>
        <w:t>subject</w:t>
      </w:r>
      <w:r>
        <w:rPr/>
        <w:t> to the provisions of the Act. </w:t>
      </w:r>
      <w:r>
        <w:rPr>
          <w:color w:val="005DA1"/>
          <w:u w:val="single" w:color="005DA1"/>
          <w:vertAlign w:val="superscript"/>
        </w:rPr>
        <w:t>722</w:t>
      </w:r>
      <w:r>
        <w:rPr>
          <w:color w:val="005DA1"/>
          <w:vertAlign w:val="baseline"/>
        </w:rPr>
        <w:t> </w:t>
      </w:r>
      <w:r>
        <w:rPr>
          <w:vertAlign w:val="baseline"/>
        </w:rPr>
        <w:t>The third is the case in which C has rights both under the Act and apart from it </w:t>
      </w:r>
      <w:r>
        <w:rPr>
          <w:color w:val="005DA1"/>
          <w:u w:val="single" w:color="005DA1"/>
          <w:vertAlign w:val="superscript"/>
        </w:rPr>
        <w:t>723</w:t>
      </w:r>
      <w:r>
        <w:rPr>
          <w:color w:val="005DA1"/>
          <w:vertAlign w:val="baseline"/>
        </w:rPr>
        <w:t> </w:t>
      </w:r>
      <w:r>
        <w:rPr>
          <w:vertAlign w:val="baseline"/>
        </w:rPr>
        <w:t>(because the case falls outside the scope of the doctrine of privity of contract or within one of the judge-made or other legislative exceptions to it). It would seem that in such a case C can choose between making his claim under the Act (and so subject to its provisions) and apart from the</w:t>
      </w:r>
      <w:r>
        <w:rPr>
          <w:spacing w:val="5"/>
          <w:vertAlign w:val="baseline"/>
        </w:rPr>
        <w:t> </w:t>
      </w:r>
      <w:r>
        <w:rPr>
          <w:vertAlign w:val="baseline"/>
        </w:rPr>
        <w:t>Act</w:t>
      </w:r>
      <w:r>
        <w:rPr>
          <w:spacing w:val="5"/>
          <w:vertAlign w:val="baseline"/>
        </w:rPr>
        <w:t> </w:t>
      </w:r>
      <w:r>
        <w:rPr>
          <w:vertAlign w:val="baseline"/>
        </w:rPr>
        <w:t>(and</w:t>
      </w:r>
      <w:r>
        <w:rPr>
          <w:spacing w:val="5"/>
          <w:vertAlign w:val="baseline"/>
        </w:rPr>
        <w:t> </w:t>
      </w:r>
      <w:r>
        <w:rPr>
          <w:vertAlign w:val="baseline"/>
        </w:rPr>
        <w:t>so</w:t>
      </w:r>
      <w:r>
        <w:rPr>
          <w:spacing w:val="5"/>
          <w:vertAlign w:val="baseline"/>
        </w:rPr>
        <w:t> </w:t>
      </w:r>
      <w:r>
        <w:rPr>
          <w:vertAlign w:val="baseline"/>
        </w:rPr>
        <w:t>not</w:t>
      </w:r>
      <w:r>
        <w:rPr>
          <w:spacing w:val="5"/>
          <w:vertAlign w:val="baseline"/>
        </w:rPr>
        <w:t> </w:t>
      </w:r>
      <w:r>
        <w:rPr>
          <w:vertAlign w:val="baseline"/>
        </w:rPr>
        <w:t>subject</w:t>
      </w:r>
      <w:r>
        <w:rPr>
          <w:spacing w:val="5"/>
          <w:vertAlign w:val="baseline"/>
        </w:rPr>
        <w:t> </w:t>
      </w:r>
      <w:r>
        <w:rPr>
          <w:vertAlign w:val="baseline"/>
        </w:rPr>
        <w:t>to</w:t>
      </w:r>
      <w:r>
        <w:rPr>
          <w:spacing w:val="5"/>
          <w:vertAlign w:val="baseline"/>
        </w:rPr>
        <w:t> </w:t>
      </w:r>
      <w:r>
        <w:rPr>
          <w:vertAlign w:val="baseline"/>
        </w:rPr>
        <w:t>its</w:t>
      </w:r>
      <w:r>
        <w:rPr>
          <w:spacing w:val="5"/>
          <w:vertAlign w:val="baseline"/>
        </w:rPr>
        <w:t> </w:t>
      </w:r>
      <w:r>
        <w:rPr>
          <w:vertAlign w:val="baseline"/>
        </w:rPr>
        <w:t>provisions).</w:t>
      </w:r>
      <w:r>
        <w:rPr>
          <w:spacing w:val="5"/>
          <w:vertAlign w:val="baseline"/>
        </w:rPr>
        <w:t> </w:t>
      </w:r>
      <w:r>
        <w:rPr>
          <w:vertAlign w:val="baseline"/>
        </w:rPr>
        <w:t>If,</w:t>
      </w:r>
      <w:r>
        <w:rPr>
          <w:spacing w:val="5"/>
          <w:vertAlign w:val="baseline"/>
        </w:rPr>
        <w:t> </w:t>
      </w:r>
      <w:r>
        <w:rPr>
          <w:vertAlign w:val="baseline"/>
        </w:rPr>
        <w:t>for</w:t>
      </w:r>
      <w:r>
        <w:rPr>
          <w:spacing w:val="5"/>
          <w:vertAlign w:val="baseline"/>
        </w:rPr>
        <w:t> </w:t>
      </w:r>
      <w:r>
        <w:rPr>
          <w:vertAlign w:val="baseline"/>
        </w:rPr>
        <w:t>example,</w:t>
      </w:r>
      <w:r>
        <w:rPr>
          <w:spacing w:val="5"/>
          <w:vertAlign w:val="baseline"/>
        </w:rPr>
        <w:t> </w:t>
      </w:r>
      <w:r>
        <w:rPr>
          <w:vertAlign w:val="baseline"/>
        </w:rPr>
        <w:t>C</w:t>
      </w:r>
      <w:r>
        <w:rPr>
          <w:spacing w:val="5"/>
          <w:vertAlign w:val="baseline"/>
        </w:rPr>
        <w:t> </w:t>
      </w:r>
      <w:r>
        <w:rPr>
          <w:vertAlign w:val="baseline"/>
        </w:rPr>
        <w:t>has</w:t>
      </w:r>
      <w:r>
        <w:rPr>
          <w:spacing w:val="5"/>
          <w:vertAlign w:val="baseline"/>
        </w:rPr>
        <w:t> </w:t>
      </w:r>
      <w:r>
        <w:rPr>
          <w:vertAlign w:val="baseline"/>
        </w:rPr>
        <w:t>a</w:t>
      </w:r>
      <w:r>
        <w:rPr>
          <w:spacing w:val="5"/>
          <w:vertAlign w:val="baseline"/>
        </w:rPr>
        <w:t> </w:t>
      </w:r>
      <w:r>
        <w:rPr>
          <w:vertAlign w:val="baseline"/>
        </w:rPr>
        <w:t>cause</w:t>
      </w:r>
      <w:r>
        <w:rPr>
          <w:spacing w:val="5"/>
          <w:vertAlign w:val="baseline"/>
        </w:rPr>
        <w:t> </w:t>
      </w:r>
      <w:r>
        <w:rPr>
          <w:vertAlign w:val="baseline"/>
        </w:rPr>
        <w:t>of</w:t>
      </w:r>
      <w:r>
        <w:rPr>
          <w:spacing w:val="5"/>
          <w:vertAlign w:val="baseline"/>
        </w:rPr>
        <w:t> </w:t>
      </w:r>
      <w:r>
        <w:rPr>
          <w:vertAlign w:val="baseline"/>
        </w:rPr>
        <w:t>action</w:t>
      </w:r>
      <w:r>
        <w:rPr>
          <w:spacing w:val="5"/>
          <w:vertAlign w:val="baseline"/>
        </w:rPr>
        <w:t> </w:t>
      </w:r>
      <w:r>
        <w:rPr>
          <w:vertAlign w:val="baseline"/>
        </w:rPr>
        <w:t>against</w:t>
      </w:r>
      <w:r>
        <w:rPr>
          <w:spacing w:val="5"/>
          <w:vertAlign w:val="baseline"/>
        </w:rPr>
        <w:t> </w:t>
      </w:r>
      <w:r>
        <w:rPr>
          <w:vertAlign w:val="baseline"/>
        </w:rPr>
        <w:t>A</w:t>
      </w:r>
      <w:r>
        <w:rPr>
          <w:spacing w:val="5"/>
          <w:vertAlign w:val="baseline"/>
        </w:rPr>
        <w:t> </w:t>
      </w:r>
      <w:r>
        <w:rPr>
          <w:vertAlign w:val="baseline"/>
        </w:rPr>
        <w:t>in</w:t>
      </w:r>
      <w:r>
        <w:rPr>
          <w:spacing w:val="5"/>
          <w:vertAlign w:val="baseline"/>
        </w:rPr>
        <w:t> </w:t>
      </w:r>
      <w:r>
        <w:rPr>
          <w:spacing w:val="-4"/>
          <w:vertAlign w:val="baseline"/>
        </w:rPr>
        <w:t>tort</w:t>
      </w:r>
    </w:p>
    <w:p>
      <w:pPr>
        <w:pStyle w:val="BodyText"/>
        <w:spacing w:after="0" w:line="235" w:lineRule="auto"/>
        <w:jc w:val="both"/>
        <w:sectPr>
          <w:pgSz w:w="11900" w:h="16840"/>
          <w:pgMar w:header="971" w:footer="0" w:top="1160" w:bottom="280" w:left="1275" w:right="1275"/>
        </w:sectPr>
      </w:pPr>
    </w:p>
    <w:p>
      <w:pPr>
        <w:pStyle w:val="BodyText"/>
        <w:spacing w:before="24"/>
      </w:pPr>
    </w:p>
    <w:p>
      <w:pPr>
        <w:pStyle w:val="BodyText"/>
        <w:spacing w:line="235" w:lineRule="auto" w:before="1"/>
        <w:ind w:left="165" w:right="167"/>
        <w:jc w:val="both"/>
      </w:pPr>
      <w:r>
        <w:rPr/>
        <w:t>at common law, it may be to C’s advantage to pursue that claim (rather than one which may also </w:t>
      </w:r>
      <w:r>
        <w:rPr/>
        <w:t>be, </w:t>
      </w:r>
      <w:r>
        <w:rPr>
          <w:rFonts w:ascii="Arial" w:hAnsi="Arial"/>
          <w:i/>
        </w:rPr>
        <w:t>prima facie</w:t>
      </w:r>
      <w:r>
        <w:rPr/>
        <w:t>, available to him under s.1) since in making such a common law claim he would not, in </w:t>
      </w:r>
      <w:bookmarkStart w:name="_bookmark1233" w:id="1235"/>
      <w:bookmarkEnd w:id="1235"/>
      <w:r>
        <w:rPr/>
        <w:t>general,</w:t>
      </w:r>
      <w:r>
        <w:rPr/>
        <w:t> be bound by an exemption clause in the contract between A and B, while he would be so bound if he made a claim under the Act. </w:t>
      </w:r>
      <w:r>
        <w:rPr>
          <w:color w:val="005DA1"/>
          <w:u w:val="single" w:color="005DA1"/>
          <w:vertAlign w:val="superscript"/>
        </w:rPr>
        <w:t>724</w:t>
      </w:r>
      <w:r>
        <w:rPr>
          <w:color w:val="005DA1"/>
          <w:vertAlign w:val="baseline"/>
        </w:rPr>
        <w:t> </w:t>
      </w:r>
      <w:r>
        <w:rPr>
          <w:vertAlign w:val="baseline"/>
        </w:rPr>
        <w:t>The fourth is the case in which C has no rights under the Act and none under the existing rules of common law or equity, or under other legislative exceptions </w:t>
      </w:r>
      <w:bookmarkStart w:name="_bookmark1234" w:id="1236"/>
      <w:bookmarkEnd w:id="1236"/>
      <w:r>
        <w:rPr>
          <w:vertAlign w:val="baseline"/>
        </w:rPr>
        <w:t>to</w:t>
      </w:r>
      <w:r>
        <w:rPr>
          <w:vertAlign w:val="baseline"/>
        </w:rPr>
        <w:t> the doctrine of privity of contract. Here, C’s only hope is to induce the court to create a new exception</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doctrine</w:t>
      </w:r>
      <w:r>
        <w:rPr>
          <w:spacing w:val="-2"/>
          <w:vertAlign w:val="baseline"/>
        </w:rPr>
        <w:t> </w:t>
      </w:r>
      <w:r>
        <w:rPr>
          <w:vertAlign w:val="baseline"/>
        </w:rPr>
        <w:t>of</w:t>
      </w:r>
      <w:r>
        <w:rPr>
          <w:spacing w:val="-2"/>
          <w:vertAlign w:val="baseline"/>
        </w:rPr>
        <w:t> </w:t>
      </w:r>
      <w:r>
        <w:rPr>
          <w:vertAlign w:val="baseline"/>
        </w:rPr>
        <w:t>privity</w:t>
      </w:r>
      <w:r>
        <w:rPr>
          <w:spacing w:val="-3"/>
          <w:vertAlign w:val="baseline"/>
        </w:rPr>
        <w:t> </w:t>
      </w:r>
      <w:r>
        <w:rPr>
          <w:color w:val="005DA1"/>
          <w:u w:val="single" w:color="005DA1"/>
          <w:vertAlign w:val="superscript"/>
        </w:rPr>
        <w:t>725</w:t>
      </w:r>
      <w:r>
        <w:rPr>
          <w:color w:val="005DA1"/>
          <w:spacing w:val="-2"/>
          <w:vertAlign w:val="baseline"/>
        </w:rPr>
        <w:t> </w:t>
      </w:r>
      <w:r>
        <w:rPr>
          <w:vertAlign w:val="baseline"/>
        </w:rPr>
        <w:t>or</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Supreme</w:t>
      </w:r>
      <w:r>
        <w:rPr>
          <w:spacing w:val="-2"/>
          <w:vertAlign w:val="baseline"/>
        </w:rPr>
        <w:t> </w:t>
      </w:r>
      <w:r>
        <w:rPr>
          <w:vertAlign w:val="baseline"/>
        </w:rPr>
        <w:t>Court)</w:t>
      </w:r>
      <w:r>
        <w:rPr>
          <w:spacing w:val="-2"/>
          <w:vertAlign w:val="baseline"/>
        </w:rPr>
        <w:t> </w:t>
      </w:r>
      <w:r>
        <w:rPr>
          <w:vertAlign w:val="baseline"/>
        </w:rPr>
        <w:t>to</w:t>
      </w:r>
      <w:r>
        <w:rPr>
          <w:spacing w:val="-2"/>
          <w:vertAlign w:val="baseline"/>
        </w:rPr>
        <w:t> </w:t>
      </w:r>
      <w:r>
        <w:rPr>
          <w:vertAlign w:val="baseline"/>
        </w:rPr>
        <w:t>reject</w:t>
      </w:r>
      <w:r>
        <w:rPr>
          <w:spacing w:val="-2"/>
          <w:vertAlign w:val="baseline"/>
        </w:rPr>
        <w:t> </w:t>
      </w:r>
      <w:r>
        <w:rPr>
          <w:vertAlign w:val="baseline"/>
        </w:rPr>
        <w:t>that</w:t>
      </w:r>
      <w:r>
        <w:rPr>
          <w:spacing w:val="-2"/>
          <w:vertAlign w:val="baseline"/>
        </w:rPr>
        <w:t> </w:t>
      </w:r>
      <w:r>
        <w:rPr>
          <w:vertAlign w:val="baseline"/>
        </w:rPr>
        <w:t>doctrine</w:t>
      </w:r>
      <w:r>
        <w:rPr>
          <w:spacing w:val="-2"/>
          <w:vertAlign w:val="baseline"/>
        </w:rPr>
        <w:t> </w:t>
      </w:r>
      <w:r>
        <w:rPr>
          <w:vertAlign w:val="baseline"/>
        </w:rPr>
        <w:t>altogether.</w:t>
      </w:r>
      <w:r>
        <w:rPr>
          <w:spacing w:val="-2"/>
          <w:vertAlign w:val="baseline"/>
        </w:rPr>
        <w:t> </w:t>
      </w:r>
      <w:r>
        <w:rPr>
          <w:vertAlign w:val="baseline"/>
        </w:rPr>
        <w:t>If</w:t>
      </w:r>
      <w:r>
        <w:rPr>
          <w:spacing w:val="-2"/>
          <w:vertAlign w:val="baseline"/>
        </w:rPr>
        <w:t> </w:t>
      </w:r>
      <w:r>
        <w:rPr>
          <w:vertAlign w:val="baseline"/>
        </w:rPr>
        <w:t>C’s claim were upheld on one of these grounds, it would plainly not be subject to the provisions of the 1999 Act.</w:t>
      </w:r>
    </w:p>
    <w:p>
      <w:pPr>
        <w:pStyle w:val="BodyText"/>
      </w:pPr>
    </w:p>
    <w:p>
      <w:pPr>
        <w:pStyle w:val="BodyText"/>
        <w:spacing w:before="35"/>
      </w:pPr>
    </w:p>
    <w:p>
      <w:pPr>
        <w:spacing w:before="0"/>
        <w:ind w:left="165" w:right="0" w:firstLine="0"/>
        <w:jc w:val="both"/>
        <w:rPr>
          <w:rFonts w:ascii="Arial" w:hAnsi="Arial"/>
          <w:b/>
          <w:sz w:val="18"/>
        </w:rPr>
      </w:pPr>
      <w:r>
        <w:rPr>
          <w:rFonts w:ascii="Arial" w:hAnsi="Arial"/>
          <w:b/>
          <w:sz w:val="18"/>
        </w:rPr>
        <w:t>Nature of the third party’s rights under the 1999 </w:t>
      </w:r>
      <w:r>
        <w:rPr>
          <w:rFonts w:ascii="Arial" w:hAnsi="Arial"/>
          <w:b/>
          <w:spacing w:val="-5"/>
          <w:sz w:val="18"/>
        </w:rPr>
        <w:t>Act</w:t>
      </w:r>
    </w:p>
    <w:p>
      <w:pPr>
        <w:pStyle w:val="BodyText"/>
        <w:spacing w:before="41"/>
        <w:rPr>
          <w:rFonts w:ascii="Arial"/>
          <w:b/>
          <w:sz w:val="18"/>
        </w:rPr>
      </w:pPr>
    </w:p>
    <w:p>
      <w:pPr>
        <w:pStyle w:val="Heading2"/>
      </w:pPr>
      <w:r>
        <w:rPr/>
        <w:t>18-</w:t>
      </w:r>
      <w:r>
        <w:rPr>
          <w:spacing w:val="-5"/>
        </w:rPr>
        <w:t>122</w:t>
      </w:r>
    </w:p>
    <w:p>
      <w:pPr>
        <w:pStyle w:val="BodyText"/>
        <w:spacing w:line="235" w:lineRule="auto" w:before="203"/>
        <w:ind w:left="164" w:right="167"/>
        <w:jc w:val="both"/>
      </w:pPr>
      <w:bookmarkStart w:name="_bookmark1235" w:id="1237"/>
      <w:bookmarkEnd w:id="1237"/>
      <w:r>
        <w:rPr/>
      </w:r>
      <w:bookmarkStart w:name="_bookmark1236" w:id="1238"/>
      <w:bookmarkEnd w:id="1238"/>
      <w:r>
        <w:rPr/>
      </w:r>
      <w:r>
        <w:rPr/>
        <w:t>Although the 1999 Act for certain specified purposes </w:t>
      </w:r>
      <w:r>
        <w:rPr>
          <w:color w:val="005DA1"/>
          <w:u w:val="single" w:color="005DA1"/>
          <w:vertAlign w:val="superscript"/>
        </w:rPr>
        <w:t>726</w:t>
      </w:r>
      <w:r>
        <w:rPr>
          <w:color w:val="005DA1"/>
          <w:vertAlign w:val="baseline"/>
        </w:rPr>
        <w:t> </w:t>
      </w:r>
      <w:r>
        <w:rPr>
          <w:vertAlign w:val="baseline"/>
        </w:rPr>
        <w:t>makes use of the fiction of treating C as if he were a party to the contract, it in general treats C’s rights and defences as being sui generis. </w:t>
      </w:r>
      <w:r>
        <w:rPr>
          <w:color w:val="005DA1"/>
          <w:u w:val="single" w:color="005DA1"/>
          <w:vertAlign w:val="superscript"/>
        </w:rPr>
        <w:t>727</w:t>
      </w:r>
      <w:r>
        <w:rPr>
          <w:color w:val="005DA1"/>
          <w:vertAlign w:val="baseline"/>
        </w:rPr>
        <w:t> </w:t>
      </w:r>
      <w:r>
        <w:rPr>
          <w:vertAlign w:val="baseline"/>
        </w:rPr>
        <w:t>It does not, in other words, except for those specified purposes, treat C as if he were deemed to be, </w:t>
      </w:r>
      <w:r>
        <w:rPr>
          <w:vertAlign w:val="baseline"/>
        </w:rPr>
        <w:t>or </w:t>
      </w:r>
      <w:bookmarkStart w:name="_bookmark1237" w:id="1239"/>
      <w:bookmarkEnd w:id="1239"/>
      <w:r>
        <w:rPr>
          <w:vertAlign w:val="baseline"/>
        </w:rPr>
        <w:t>to</w:t>
      </w:r>
      <w:r>
        <w:rPr>
          <w:vertAlign w:val="baseline"/>
        </w:rPr>
        <w:t> have become, a party to the contract. In particular, the Act provides that C is not to be treated as a party to the contract between A and B for the purposes of other legislation. </w:t>
      </w:r>
      <w:r>
        <w:rPr>
          <w:color w:val="005DA1"/>
          <w:u w:val="single" w:color="005DA1"/>
          <w:vertAlign w:val="superscript"/>
        </w:rPr>
        <w:t>728</w:t>
      </w:r>
      <w:r>
        <w:rPr>
          <w:color w:val="005DA1"/>
          <w:vertAlign w:val="baseline"/>
        </w:rPr>
        <w:t> </w:t>
      </w:r>
      <w:r>
        <w:rPr>
          <w:vertAlign w:val="baseline"/>
        </w:rPr>
        <w:t>For example, the references to a party or to the parties to a contract in the Law Reform (Frustrated Contracts) Act 1943 and in the Misrepresentation Act 1967 do not, under the 1999 Act include references to C. The same is true of the Unfair Contract Terms Act 1977. The point can be illustrated by supposing that a</w:t>
      </w:r>
      <w:r>
        <w:rPr>
          <w:spacing w:val="40"/>
          <w:vertAlign w:val="baseline"/>
        </w:rPr>
        <w:t> </w:t>
      </w:r>
      <w:r>
        <w:rPr>
          <w:vertAlign w:val="baseline"/>
        </w:rPr>
        <w:t>contract was made between A and B on A’s standard terms of business, that a term of this contract conferred a benefit on C, that this term was enforceable by C by virtue of s.1 of the Act, and that the </w:t>
      </w:r>
      <w:bookmarkStart w:name="_bookmark1238" w:id="1240"/>
      <w:bookmarkEnd w:id="1240"/>
      <w:r>
        <w:rPr>
          <w:vertAlign w:val="baseline"/>
        </w:rPr>
        <w:t>contract</w:t>
      </w:r>
      <w:r>
        <w:rPr>
          <w:vertAlign w:val="baseline"/>
        </w:rPr>
        <w:t> contained a term excluding or restricting A’s liability for defects in the performance rendered to C. The requirement of reasonableness under s.3 of the 1977 Act </w:t>
      </w:r>
      <w:r>
        <w:rPr>
          <w:color w:val="005DA1"/>
          <w:u w:val="single" w:color="005DA1"/>
          <w:vertAlign w:val="superscript"/>
        </w:rPr>
        <w:t>729</w:t>
      </w:r>
      <w:r>
        <w:rPr>
          <w:color w:val="005DA1"/>
          <w:vertAlign w:val="baseline"/>
        </w:rPr>
        <w:t> </w:t>
      </w:r>
      <w:r>
        <w:rPr>
          <w:vertAlign w:val="baseline"/>
        </w:rPr>
        <w:t>would not apply in favour of C </w:t>
      </w:r>
      <w:bookmarkStart w:name="_bookmark1239" w:id="1241"/>
      <w:bookmarkEnd w:id="1241"/>
      <w:r>
        <w:rPr>
          <w:vertAlign w:val="baseline"/>
        </w:rPr>
        <w:t>since</w:t>
      </w:r>
      <w:r>
        <w:rPr>
          <w:vertAlign w:val="baseline"/>
        </w:rPr>
        <w:t> he was not one of the parties to the contract between A and B or a party who had dealt on A’s standard terms: the requirement would apply only in favour of B. </w:t>
      </w:r>
      <w:r>
        <w:rPr>
          <w:color w:val="005DA1"/>
          <w:u w:val="single" w:color="005DA1"/>
          <w:vertAlign w:val="superscript"/>
        </w:rPr>
        <w:t>730</w:t>
      </w:r>
      <w:r>
        <w:rPr>
          <w:color w:val="005DA1"/>
          <w:vertAlign w:val="baseline"/>
        </w:rPr>
        <w:t> </w:t>
      </w:r>
      <w:r>
        <w:rPr>
          <w:vertAlign w:val="baseline"/>
        </w:rPr>
        <w:t>The justification given by the Law </w:t>
      </w:r>
      <w:bookmarkStart w:name="_bookmark1240" w:id="1242"/>
      <w:bookmarkEnd w:id="1242"/>
      <w:r>
        <w:rPr>
          <w:vertAlign w:val="baseline"/>
        </w:rPr>
        <w:t>Commission</w:t>
      </w:r>
      <w:r>
        <w:rPr>
          <w:vertAlign w:val="baseline"/>
        </w:rPr>
        <w:t> for this position is that to apply the 1977 Act in a three-party case would raise complex policy issues going beyond those involved in reforming the doctrine of privity. </w:t>
      </w:r>
      <w:r>
        <w:rPr>
          <w:color w:val="005DA1"/>
          <w:u w:val="single" w:color="005DA1"/>
          <w:vertAlign w:val="superscript"/>
        </w:rPr>
        <w:t>731</w:t>
      </w:r>
    </w:p>
    <w:p>
      <w:pPr>
        <w:pStyle w:val="BodyText"/>
      </w:pPr>
    </w:p>
    <w:p>
      <w:pPr>
        <w:pStyle w:val="BodyText"/>
        <w:spacing w:before="32"/>
      </w:pPr>
    </w:p>
    <w:p>
      <w:pPr>
        <w:spacing w:before="0"/>
        <w:ind w:left="165" w:right="0" w:firstLine="0"/>
        <w:jc w:val="left"/>
        <w:rPr>
          <w:rFonts w:ascii="Arial"/>
          <w:b/>
          <w:sz w:val="18"/>
        </w:rPr>
      </w:pPr>
      <w:bookmarkStart w:name="_bookmark1241" w:id="1243"/>
      <w:bookmarkEnd w:id="1243"/>
      <w:r>
        <w:rPr/>
      </w:r>
      <w:r>
        <w:rPr>
          <w:rFonts w:ascii="Arial"/>
          <w:b/>
          <w:sz w:val="18"/>
        </w:rPr>
        <w:t>Effect on Unfair Contract Terms Act 1977, section 2</w:t>
      </w:r>
      <w:r>
        <w:rPr>
          <w:rFonts w:ascii="Arial"/>
          <w:b/>
          <w:spacing w:val="-1"/>
          <w:sz w:val="18"/>
        </w:rPr>
        <w:t> </w:t>
      </w:r>
      <w:r>
        <w:rPr>
          <w:rFonts w:ascii="Arial"/>
          <w:b/>
          <w:color w:val="005DA1"/>
          <w:spacing w:val="-5"/>
          <w:sz w:val="18"/>
          <w:u w:val="single" w:color="005DA1"/>
          <w:vertAlign w:val="superscript"/>
        </w:rPr>
        <w:t>732</w:t>
      </w:r>
    </w:p>
    <w:p>
      <w:pPr>
        <w:pStyle w:val="BodyText"/>
        <w:spacing w:before="42"/>
        <w:rPr>
          <w:rFonts w:ascii="Arial"/>
          <w:b/>
          <w:sz w:val="18"/>
        </w:rPr>
      </w:pPr>
    </w:p>
    <w:p>
      <w:pPr>
        <w:pStyle w:val="Heading2"/>
      </w:pPr>
      <w:r>
        <w:rPr/>
        <w:t>18-</w:t>
      </w:r>
      <w:r>
        <w:rPr>
          <w:spacing w:val="-5"/>
        </w:rPr>
        <w:t>123</w:t>
      </w:r>
    </w:p>
    <w:p>
      <w:pPr>
        <w:pStyle w:val="BodyText"/>
        <w:spacing w:line="235" w:lineRule="auto" w:before="202"/>
        <w:ind w:left="165" w:right="167"/>
        <w:jc w:val="both"/>
      </w:pPr>
      <w:bookmarkStart w:name="_bookmark1242" w:id="1244"/>
      <w:bookmarkEnd w:id="1244"/>
      <w:r>
        <w:rPr/>
      </w:r>
      <w:r>
        <w:rPr/>
        <w:t>The relationship between the 1999 Act and the Unfair Contract Terms Act 1977 gives rise to </w:t>
      </w:r>
      <w:r>
        <w:rPr/>
        <w:t>the </w:t>
      </w:r>
      <w:bookmarkStart w:name="_bookmark1243" w:id="1245"/>
      <w:bookmarkEnd w:id="1245"/>
      <w:r>
        <w:rPr/>
        <w:t>further</w:t>
      </w:r>
      <w:r>
        <w:rPr/>
        <w:t> difficulty that under s.2(1) of the 1977 Act </w:t>
      </w:r>
      <w:r>
        <w:rPr>
          <w:color w:val="005DA1"/>
          <w:u w:val="single" w:color="005DA1"/>
          <w:vertAlign w:val="superscript"/>
        </w:rPr>
        <w:t>733</w:t>
      </w:r>
      <w:r>
        <w:rPr>
          <w:color w:val="005DA1"/>
          <w:vertAlign w:val="baseline"/>
        </w:rPr>
        <w:t> </w:t>
      </w:r>
      <w:r>
        <w:rPr>
          <w:vertAlign w:val="baseline"/>
        </w:rPr>
        <w:t>contract terms are void if they purport to exclude or restrict liability for death or personal injury resulting from negligence and that under s.2(2) </w:t>
      </w:r>
      <w:r>
        <w:rPr>
          <w:color w:val="005DA1"/>
          <w:u w:val="single" w:color="005DA1"/>
          <w:vertAlign w:val="superscript"/>
        </w:rPr>
        <w:t>734</w:t>
      </w:r>
      <w:r>
        <w:rPr>
          <w:color w:val="005DA1"/>
          <w:vertAlign w:val="baseline"/>
        </w:rPr>
        <w:t> </w:t>
      </w:r>
      <w:r>
        <w:rPr>
          <w:vertAlign w:val="baseline"/>
        </w:rPr>
        <w:t>contract terms are subject to the requirement of reasonableness if they purport to exclude or restrict </w:t>
      </w:r>
      <w:bookmarkStart w:name="_bookmark1244" w:id="1246"/>
      <w:bookmarkEnd w:id="1246"/>
      <w:r>
        <w:rPr>
          <w:vertAlign w:val="baseline"/>
        </w:rPr>
        <w:t>liability</w:t>
      </w:r>
      <w:r>
        <w:rPr>
          <w:vertAlign w:val="baseline"/>
        </w:rPr>
        <w:t> for negligence in respect of other loss. Negligence can here include breach of a contractual duty of care, </w:t>
      </w:r>
      <w:r>
        <w:rPr>
          <w:color w:val="005DA1"/>
          <w:u w:val="single" w:color="005DA1"/>
          <w:vertAlign w:val="superscript"/>
        </w:rPr>
        <w:t>735</w:t>
      </w:r>
      <w:r>
        <w:rPr>
          <w:color w:val="005DA1"/>
          <w:vertAlign w:val="baseline"/>
        </w:rPr>
        <w:t> </w:t>
      </w:r>
      <w:r>
        <w:rPr>
          <w:vertAlign w:val="baseline"/>
        </w:rPr>
        <w:t>so that a claim by C affected by s.2 of the 1977 Act could be brought either under the </w:t>
      </w:r>
      <w:bookmarkStart w:name="_bookmark1245" w:id="1247"/>
      <w:bookmarkEnd w:id="1247"/>
      <w:r>
        <w:rPr>
          <w:vertAlign w:val="baseline"/>
        </w:rPr>
        <w:t>1999</w:t>
      </w:r>
      <w:r>
        <w:rPr>
          <w:vertAlign w:val="baseline"/>
        </w:rPr>
        <w:t> Act or in tort, apart from the latter Act. Where it is brought under the 1999 Act, a compromise solution </w:t>
      </w:r>
      <w:r>
        <w:rPr>
          <w:color w:val="005DA1"/>
          <w:u w:val="single" w:color="005DA1"/>
          <w:vertAlign w:val="superscript"/>
        </w:rPr>
        <w:t>736</w:t>
      </w:r>
      <w:r>
        <w:rPr>
          <w:color w:val="005DA1"/>
          <w:vertAlign w:val="baseline"/>
        </w:rPr>
        <w:t> </w:t>
      </w:r>
      <w:r>
        <w:rPr>
          <w:vertAlign w:val="baseline"/>
        </w:rPr>
        <w:t>is adopted for cases of the kind here under discussion, i.e. for those in which C sues A for breach of a duty of care arising out of the contract between A and B, and A seeks to rely on a term of that contract excluding or restricting his liability for negligence. Where C in consequence of the</w:t>
      </w:r>
      <w:r>
        <w:rPr>
          <w:spacing w:val="80"/>
          <w:vertAlign w:val="baseline"/>
        </w:rPr>
        <w:t> </w:t>
      </w:r>
      <w:r>
        <w:rPr>
          <w:vertAlign w:val="baseline"/>
        </w:rPr>
        <w:t>breach suffers death or personal injury, the strong policy considerations against contract terms excluding or restricting A’s liability for such harm prevail, so that nothing in the 1999 Act will affect C’s right under s.2(1) of the 1977 Act to impugn the validity of a term excluding or restricting A’s liability</w:t>
      </w:r>
      <w:r>
        <w:rPr>
          <w:spacing w:val="40"/>
          <w:vertAlign w:val="baseline"/>
        </w:rPr>
        <w:t> </w:t>
      </w:r>
      <w:r>
        <w:rPr>
          <w:vertAlign w:val="baseline"/>
        </w:rPr>
        <w:t>for such harm. But where C suffers other loss, the case is regarded as more closely analogous to the situation (described in para.18-122 above) that can arise under s.3 of the 1977 Act. Section 7(2) of</w:t>
      </w:r>
      <w:r>
        <w:rPr>
          <w:spacing w:val="40"/>
          <w:vertAlign w:val="baseline"/>
        </w:rPr>
        <w:t> </w:t>
      </w:r>
      <w:r>
        <w:rPr>
          <w:vertAlign w:val="baseline"/>
        </w:rPr>
        <w:t>the 1999 Act therefore provides that s.2(2) of the 1977 Act is not to apply where A’s alleged negligence consists of the breach of an obligation arising from a term of a contract (between A and B) and the claim by C is brought under s.1 of the 1999 Act. In an action so brought by C, therefore, a term in that contract excluding or restricting A’s liability for loss other than death or personal injury is not subject to the requirement of reasonableness under the 1977 Act.</w:t>
      </w:r>
    </w:p>
    <w:p>
      <w:pPr>
        <w:pStyle w:val="BodyText"/>
      </w:pPr>
    </w:p>
    <w:p>
      <w:pPr>
        <w:pStyle w:val="BodyText"/>
        <w:spacing w:before="31"/>
      </w:pPr>
    </w:p>
    <w:p>
      <w:pPr>
        <w:spacing w:before="0"/>
        <w:ind w:left="165" w:right="0" w:firstLine="0"/>
        <w:jc w:val="left"/>
        <w:rPr>
          <w:rFonts w:ascii="Arial" w:hAnsi="Arial"/>
          <w:b/>
          <w:sz w:val="18"/>
        </w:rPr>
      </w:pPr>
      <w:r>
        <w:rPr>
          <w:rFonts w:ascii="Arial" w:hAnsi="Arial"/>
          <w:b/>
          <w:sz w:val="18"/>
        </w:rPr>
        <w:t>Promisee’s </w:t>
      </w:r>
      <w:r>
        <w:rPr>
          <w:rFonts w:ascii="Arial" w:hAnsi="Arial"/>
          <w:b/>
          <w:spacing w:val="-2"/>
          <w:sz w:val="18"/>
        </w:rPr>
        <w:t>rights</w:t>
      </w:r>
    </w:p>
    <w:p>
      <w:pPr>
        <w:spacing w:after="0"/>
        <w:jc w:val="left"/>
        <w:rPr>
          <w:rFonts w:ascii="Arial" w:hAns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18-</w:t>
      </w:r>
      <w:r>
        <w:rPr>
          <w:spacing w:val="-5"/>
        </w:rPr>
        <w:t>124</w:t>
      </w:r>
    </w:p>
    <w:p>
      <w:pPr>
        <w:pStyle w:val="BodyText"/>
        <w:spacing w:line="235" w:lineRule="auto" w:before="203"/>
        <w:ind w:left="165" w:right="167"/>
        <w:jc w:val="both"/>
      </w:pPr>
      <w:bookmarkStart w:name="_bookmark1246" w:id="1248"/>
      <w:bookmarkEnd w:id="1248"/>
      <w:r>
        <w:rPr/>
      </w:r>
      <w:r>
        <w:rPr/>
        <w:t>At common law, the doctrine of privity of contract does not preclude the promisee from enforcing </w:t>
      </w:r>
      <w:r>
        <w:rPr/>
        <w:t>the contract </w:t>
      </w:r>
      <w:r>
        <w:rPr>
          <w:color w:val="005DA1"/>
          <w:u w:val="single" w:color="005DA1"/>
          <w:vertAlign w:val="superscript"/>
        </w:rPr>
        <w:t>737</w:t>
      </w:r>
      <w:r>
        <w:rPr>
          <w:color w:val="005DA1"/>
          <w:vertAlign w:val="baseline"/>
        </w:rPr>
        <w:t> </w:t>
      </w:r>
      <w:r>
        <w:rPr>
          <w:vertAlign w:val="baseline"/>
        </w:rPr>
        <w:t>and this position is preserved by s.4 of the 1999 Act, by which “Section 1 does not affect any</w:t>
      </w:r>
      <w:r>
        <w:rPr>
          <w:spacing w:val="-1"/>
          <w:vertAlign w:val="baseline"/>
        </w:rPr>
        <w:t> </w:t>
      </w:r>
      <w:r>
        <w:rPr>
          <w:vertAlign w:val="baseline"/>
        </w:rPr>
        <w:t>right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promisee</w:t>
      </w:r>
      <w:r>
        <w:rPr>
          <w:spacing w:val="-1"/>
          <w:vertAlign w:val="baseline"/>
        </w:rPr>
        <w:t> </w:t>
      </w:r>
      <w:r>
        <w:rPr>
          <w:vertAlign w:val="baseline"/>
        </w:rPr>
        <w:t>to</w:t>
      </w:r>
      <w:r>
        <w:rPr>
          <w:spacing w:val="-1"/>
          <w:vertAlign w:val="baseline"/>
        </w:rPr>
        <w:t> </w:t>
      </w:r>
      <w:r>
        <w:rPr>
          <w:vertAlign w:val="baseline"/>
        </w:rPr>
        <w:t>enforce</w:t>
      </w:r>
      <w:r>
        <w:rPr>
          <w:spacing w:val="-1"/>
          <w:vertAlign w:val="baseline"/>
        </w:rPr>
        <w:t> </w:t>
      </w:r>
      <w:r>
        <w:rPr>
          <w:vertAlign w:val="baseline"/>
        </w:rPr>
        <w:t>any</w:t>
      </w:r>
      <w:r>
        <w:rPr>
          <w:spacing w:val="-1"/>
          <w:vertAlign w:val="baseline"/>
        </w:rPr>
        <w:t> </w:t>
      </w:r>
      <w:r>
        <w:rPr>
          <w:vertAlign w:val="baseline"/>
        </w:rPr>
        <w:t>term</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between</w:t>
      </w:r>
      <w:r>
        <w:rPr>
          <w:spacing w:val="-1"/>
          <w:vertAlign w:val="baseline"/>
        </w:rPr>
        <w:t> </w:t>
      </w:r>
      <w:r>
        <w:rPr>
          <w:vertAlign w:val="baseline"/>
        </w:rPr>
        <w:t>A</w:t>
      </w:r>
      <w:r>
        <w:rPr>
          <w:spacing w:val="-1"/>
          <w:vertAlign w:val="baseline"/>
        </w:rPr>
        <w:t> </w:t>
      </w:r>
      <w:r>
        <w:rPr>
          <w:vertAlign w:val="baseline"/>
        </w:rPr>
        <w:t>and</w:t>
      </w:r>
      <w:r>
        <w:rPr>
          <w:spacing w:val="-1"/>
          <w:vertAlign w:val="baseline"/>
        </w:rPr>
        <w:t> </w:t>
      </w:r>
      <w:r>
        <w:rPr>
          <w:vertAlign w:val="baseline"/>
        </w:rPr>
        <w:t>B</w:t>
      </w:r>
      <w:r>
        <w:rPr>
          <w:spacing w:val="-1"/>
          <w:vertAlign w:val="baseline"/>
        </w:rPr>
        <w:t> </w:t>
      </w:r>
      <w:r>
        <w:rPr>
          <w:vertAlign w:val="baseline"/>
        </w:rPr>
        <w:t>can</w:t>
      </w:r>
      <w:r>
        <w:rPr>
          <w:spacing w:val="-1"/>
          <w:vertAlign w:val="baseline"/>
        </w:rPr>
        <w:t> </w:t>
      </w:r>
      <w:r>
        <w:rPr>
          <w:vertAlign w:val="baseline"/>
        </w:rPr>
        <w:t>thus be</w:t>
      </w:r>
      <w:r>
        <w:rPr>
          <w:spacing w:val="10"/>
          <w:vertAlign w:val="baseline"/>
        </w:rPr>
        <w:t> </w:t>
      </w:r>
      <w:r>
        <w:rPr>
          <w:vertAlign w:val="baseline"/>
        </w:rPr>
        <w:t>enforced</w:t>
      </w:r>
      <w:r>
        <w:rPr>
          <w:spacing w:val="12"/>
          <w:vertAlign w:val="baseline"/>
        </w:rPr>
        <w:t> </w:t>
      </w:r>
      <w:r>
        <w:rPr>
          <w:vertAlign w:val="baseline"/>
        </w:rPr>
        <w:t>by</w:t>
      </w:r>
      <w:r>
        <w:rPr>
          <w:spacing w:val="12"/>
          <w:vertAlign w:val="baseline"/>
        </w:rPr>
        <w:t> </w:t>
      </w:r>
      <w:r>
        <w:rPr>
          <w:vertAlign w:val="baseline"/>
        </w:rPr>
        <w:t>B</w:t>
      </w:r>
      <w:r>
        <w:rPr>
          <w:spacing w:val="12"/>
          <w:vertAlign w:val="baseline"/>
        </w:rPr>
        <w:t> </w:t>
      </w:r>
      <w:r>
        <w:rPr>
          <w:vertAlign w:val="baseline"/>
        </w:rPr>
        <w:t>even</w:t>
      </w:r>
      <w:r>
        <w:rPr>
          <w:spacing w:val="12"/>
          <w:vertAlign w:val="baseline"/>
        </w:rPr>
        <w:t> </w:t>
      </w:r>
      <w:r>
        <w:rPr>
          <w:vertAlign w:val="baseline"/>
        </w:rPr>
        <w:t>where</w:t>
      </w:r>
      <w:r>
        <w:rPr>
          <w:spacing w:val="12"/>
          <w:vertAlign w:val="baseline"/>
        </w:rPr>
        <w:t> </w:t>
      </w:r>
      <w:r>
        <w:rPr>
          <w:vertAlign w:val="baseline"/>
        </w:rPr>
        <w:t>the</w:t>
      </w:r>
      <w:r>
        <w:rPr>
          <w:spacing w:val="12"/>
          <w:vertAlign w:val="baseline"/>
        </w:rPr>
        <w:t> </w:t>
      </w:r>
      <w:r>
        <w:rPr>
          <w:vertAlign w:val="baseline"/>
        </w:rPr>
        <w:t>1999</w:t>
      </w:r>
      <w:r>
        <w:rPr>
          <w:spacing w:val="12"/>
          <w:vertAlign w:val="baseline"/>
        </w:rPr>
        <w:t> </w:t>
      </w:r>
      <w:r>
        <w:rPr>
          <w:vertAlign w:val="baseline"/>
        </w:rPr>
        <w:t>Act</w:t>
      </w:r>
      <w:r>
        <w:rPr>
          <w:spacing w:val="12"/>
          <w:vertAlign w:val="baseline"/>
        </w:rPr>
        <w:t> </w:t>
      </w:r>
      <w:r>
        <w:rPr>
          <w:vertAlign w:val="baseline"/>
        </w:rPr>
        <w:t>also</w:t>
      </w:r>
      <w:r>
        <w:rPr>
          <w:spacing w:val="12"/>
          <w:vertAlign w:val="baseline"/>
        </w:rPr>
        <w:t> </w:t>
      </w:r>
      <w:r>
        <w:rPr>
          <w:vertAlign w:val="baseline"/>
        </w:rPr>
        <w:t>gives</w:t>
      </w:r>
      <w:r>
        <w:rPr>
          <w:spacing w:val="12"/>
          <w:vertAlign w:val="baseline"/>
        </w:rPr>
        <w:t> </w:t>
      </w:r>
      <w:r>
        <w:rPr>
          <w:vertAlign w:val="baseline"/>
        </w:rPr>
        <w:t>C</w:t>
      </w:r>
      <w:r>
        <w:rPr>
          <w:spacing w:val="12"/>
          <w:vertAlign w:val="baseline"/>
        </w:rPr>
        <w:t> </w:t>
      </w:r>
      <w:r>
        <w:rPr>
          <w:vertAlign w:val="baseline"/>
        </w:rPr>
        <w:t>the</w:t>
      </w:r>
      <w:r>
        <w:rPr>
          <w:spacing w:val="12"/>
          <w:vertAlign w:val="baseline"/>
        </w:rPr>
        <w:t> </w:t>
      </w:r>
      <w:r>
        <w:rPr>
          <w:vertAlign w:val="baseline"/>
        </w:rPr>
        <w:t>right</w:t>
      </w:r>
      <w:r>
        <w:rPr>
          <w:spacing w:val="12"/>
          <w:vertAlign w:val="baseline"/>
        </w:rPr>
        <w:t> </w:t>
      </w:r>
      <w:r>
        <w:rPr>
          <w:vertAlign w:val="baseline"/>
        </w:rPr>
        <w:t>to</w:t>
      </w:r>
      <w:r>
        <w:rPr>
          <w:spacing w:val="12"/>
          <w:vertAlign w:val="baseline"/>
        </w:rPr>
        <w:t> </w:t>
      </w:r>
      <w:r>
        <w:rPr>
          <w:vertAlign w:val="baseline"/>
        </w:rPr>
        <w:t>enforce</w:t>
      </w:r>
      <w:r>
        <w:rPr>
          <w:spacing w:val="12"/>
          <w:vertAlign w:val="baseline"/>
        </w:rPr>
        <w:t> </w:t>
      </w:r>
      <w:r>
        <w:rPr>
          <w:vertAlign w:val="baseline"/>
        </w:rPr>
        <w:t>one</w:t>
      </w:r>
      <w:r>
        <w:rPr>
          <w:spacing w:val="12"/>
          <w:vertAlign w:val="baseline"/>
        </w:rPr>
        <w:t> </w:t>
      </w:r>
      <w:r>
        <w:rPr>
          <w:vertAlign w:val="baseline"/>
        </w:rPr>
        <w:t>of</w:t>
      </w:r>
      <w:r>
        <w:rPr>
          <w:spacing w:val="12"/>
          <w:vertAlign w:val="baseline"/>
        </w:rPr>
        <w:t> </w:t>
      </w:r>
      <w:r>
        <w:rPr>
          <w:vertAlign w:val="baseline"/>
        </w:rPr>
        <w:t>its</w:t>
      </w:r>
      <w:r>
        <w:rPr>
          <w:spacing w:val="12"/>
          <w:vertAlign w:val="baseline"/>
        </w:rPr>
        <w:t> </w:t>
      </w:r>
      <w:r>
        <w:rPr>
          <w:vertAlign w:val="baseline"/>
        </w:rPr>
        <w:t>terms</w:t>
      </w:r>
      <w:r>
        <w:rPr>
          <w:spacing w:val="12"/>
          <w:vertAlign w:val="baseline"/>
        </w:rPr>
        <w:t> </w:t>
      </w:r>
      <w:r>
        <w:rPr>
          <w:spacing w:val="-2"/>
          <w:vertAlign w:val="baseline"/>
        </w:rPr>
        <w:t>against</w:t>
      </w:r>
    </w:p>
    <w:p>
      <w:pPr>
        <w:pStyle w:val="BodyText"/>
        <w:spacing w:line="235" w:lineRule="auto"/>
        <w:ind w:left="164" w:right="167"/>
        <w:jc w:val="both"/>
      </w:pPr>
      <w:r>
        <w:rPr/>
        <w:t>A. On A’s failure to perform that term in favour of C, B can therefore make any claims for the agreed </w:t>
      </w:r>
      <w:bookmarkStart w:name="_bookmark1247" w:id="1249"/>
      <w:bookmarkEnd w:id="1249"/>
      <w:r>
        <w:rPr/>
        <w:t>sum,</w:t>
      </w:r>
      <w:r>
        <w:rPr/>
        <w:t> for other specific relief or for damages that would have been available to him at common law apart from the 1999 Act. There is also nothing in the 1999 Act that affects B’s right to restitution </w:t>
      </w:r>
      <w:r>
        <w:rPr>
          <w:color w:val="005DA1"/>
          <w:u w:val="single" w:color="005DA1"/>
          <w:vertAlign w:val="superscript"/>
        </w:rPr>
        <w:t>738</w:t>
      </w:r>
      <w:r>
        <w:rPr>
          <w:color w:val="005DA1"/>
          <w:vertAlign w:val="baseline"/>
        </w:rPr>
        <w:t> </w:t>
      </w:r>
      <w:r>
        <w:rPr>
          <w:vertAlign w:val="baseline"/>
        </w:rPr>
        <w:t>against A in the event of the latter’s non-performance of the term in favour of C, even though B’s right to restitution would not normally be a “right of [B] to enforce a term of the contract” within s.4. It would have this character only where the contract provided for the return by A of the consideration </w:t>
      </w:r>
      <w:r>
        <w:rPr>
          <w:vertAlign w:val="baseline"/>
        </w:rPr>
        <w:t>provided by B to A in the event of A’s failure to perform in favour of C. The 1999 Act also contains nothing </w:t>
      </w:r>
      <w:r>
        <w:rPr>
          <w:vertAlign w:val="baseline"/>
        </w:rPr>
        <w:t>to </w:t>
      </w:r>
      <w:bookmarkStart w:name="_bookmark1248" w:id="1250"/>
      <w:bookmarkEnd w:id="1250"/>
      <w:r>
        <w:rPr>
          <w:vertAlign w:val="baseline"/>
        </w:rPr>
        <w:t>affect</w:t>
      </w:r>
      <w:r>
        <w:rPr>
          <w:vertAlign w:val="baseline"/>
        </w:rPr>
        <w:t> the common law rules which govern the relative rights of B and C where A has performed, or is willing to perform, in favour of C. </w:t>
      </w:r>
      <w:r>
        <w:rPr>
          <w:color w:val="005DA1"/>
          <w:u w:val="single" w:color="005DA1"/>
          <w:vertAlign w:val="superscript"/>
        </w:rPr>
        <w:t>739</w:t>
      </w:r>
    </w:p>
    <w:p>
      <w:pPr>
        <w:pStyle w:val="BodyText"/>
      </w:pPr>
    </w:p>
    <w:p>
      <w:pPr>
        <w:pStyle w:val="BodyText"/>
        <w:spacing w:before="33"/>
      </w:pPr>
    </w:p>
    <w:p>
      <w:pPr>
        <w:spacing w:before="0"/>
        <w:ind w:left="165" w:right="0" w:firstLine="0"/>
        <w:jc w:val="both"/>
        <w:rPr>
          <w:rFonts w:ascii="Arial"/>
          <w:b/>
          <w:sz w:val="18"/>
        </w:rPr>
      </w:pPr>
      <w:r>
        <w:rPr>
          <w:rFonts w:ascii="Arial"/>
          <w:b/>
          <w:sz w:val="18"/>
        </w:rPr>
        <w:t>Provision against double </w:t>
      </w:r>
      <w:r>
        <w:rPr>
          <w:rFonts w:ascii="Arial"/>
          <w:b/>
          <w:spacing w:val="-2"/>
          <w:sz w:val="18"/>
        </w:rPr>
        <w:t>liability</w:t>
      </w:r>
    </w:p>
    <w:p>
      <w:pPr>
        <w:pStyle w:val="BodyText"/>
        <w:spacing w:before="42"/>
        <w:rPr>
          <w:rFonts w:ascii="Arial"/>
          <w:b/>
          <w:sz w:val="18"/>
        </w:rPr>
      </w:pPr>
    </w:p>
    <w:p>
      <w:pPr>
        <w:pStyle w:val="Heading2"/>
      </w:pPr>
      <w:r>
        <w:rPr/>
        <w:t>18-</w:t>
      </w:r>
      <w:r>
        <w:rPr>
          <w:spacing w:val="-5"/>
        </w:rPr>
        <w:t>125</w:t>
      </w:r>
    </w:p>
    <w:p>
      <w:pPr>
        <w:pStyle w:val="BodyText"/>
        <w:spacing w:line="235" w:lineRule="auto" w:before="202"/>
        <w:ind w:left="165" w:right="167"/>
        <w:jc w:val="both"/>
      </w:pPr>
      <w:bookmarkStart w:name="_bookmark1249" w:id="1251"/>
      <w:bookmarkEnd w:id="1251"/>
      <w:r>
        <w:rPr/>
      </w:r>
      <w:r>
        <w:rPr/>
        <w:t>At common law, A’s failure to perform in favour of C may, in circumstances discussed earlier in </w:t>
      </w:r>
      <w:r>
        <w:rPr/>
        <w:t>this Chapter, </w:t>
      </w:r>
      <w:r>
        <w:rPr>
          <w:color w:val="005DA1"/>
          <w:u w:val="single" w:color="005DA1"/>
          <w:vertAlign w:val="superscript"/>
        </w:rPr>
        <w:t>740</w:t>
      </w:r>
      <w:r>
        <w:rPr>
          <w:color w:val="005DA1"/>
          <w:vertAlign w:val="baseline"/>
        </w:rPr>
        <w:t> </w:t>
      </w:r>
      <w:r>
        <w:rPr>
          <w:vertAlign w:val="baseline"/>
        </w:rPr>
        <w:t>give B a right to recover damages in respect of C’s loss or in respect of expenses</w:t>
      </w:r>
      <w:r>
        <w:rPr>
          <w:spacing w:val="40"/>
          <w:vertAlign w:val="baseline"/>
        </w:rPr>
        <w:t> </w:t>
      </w:r>
      <w:r>
        <w:rPr>
          <w:vertAlign w:val="baseline"/>
        </w:rPr>
        <w:t>incurred by B in making good A’s default: e.g. in completing A’s unfinished, or in repairing A’s defective, work. If, after B had recovered such damages, C were to make a claim against A under s.1 of the 1999 Act, there would be a risk of A’s being made liable twice over for the same loss. Section 5 of the Act therefore directs the court in such circumstances “to reduce any award to [C] to such extent as it thinks appropriate to take account of the sum recovered by” B. Such a reduction would not </w:t>
      </w:r>
      <w:bookmarkStart w:name="_bookmark1250" w:id="1252"/>
      <w:bookmarkEnd w:id="1252"/>
      <w:r>
        <w:rPr>
          <w:vertAlign w:val="baseline"/>
        </w:rPr>
        <w:t>prejudice</w:t>
      </w:r>
      <w:r>
        <w:rPr>
          <w:vertAlign w:val="baseline"/>
        </w:rPr>
        <w:t> C since, where damages had been recovered by B in respect of C’s loss, these would have to be held by B for C </w:t>
      </w:r>
      <w:r>
        <w:rPr>
          <w:color w:val="005DA1"/>
          <w:u w:val="single" w:color="005DA1"/>
          <w:vertAlign w:val="superscript"/>
        </w:rPr>
        <w:t>741</w:t>
      </w:r>
      <w:r>
        <w:rPr>
          <w:vertAlign w:val="baseline"/>
        </w:rPr>
        <w:t>; and where B had incurred expense in curing A’s breach, C’s loss would be reduced in fact by his receipt of the intended benefit, though by a route other than that envisaged by the contract between A and B. Section 5 of the 1999 Act applies only where B has recovered “a sum” (i.e. of money) in respect of C’s loss or B’s expense in making good A’s default. Thus it will normally apply where B has recovered damages, though the possibilities of its also applying where B has recovered the agreed sum or where he has made a successful claim for restitution do not appear to be excluded. It will not, however, apply where B has obtained an order for the specific performance of an obligation by A to render some performance to C other than the payment of money, or where B</w:t>
      </w:r>
      <w:r>
        <w:rPr>
          <w:spacing w:val="40"/>
          <w:vertAlign w:val="baseline"/>
        </w:rPr>
        <w:t> </w:t>
      </w:r>
      <w:r>
        <w:rPr>
          <w:vertAlign w:val="baseline"/>
        </w:rPr>
        <w:t>has obtained an injunction to enforce a negative promise made by A for the benefit of C. In such cases,</w:t>
      </w:r>
      <w:r>
        <w:rPr>
          <w:spacing w:val="6"/>
          <w:vertAlign w:val="baseline"/>
        </w:rPr>
        <w:t> </w:t>
      </w:r>
      <w:r>
        <w:rPr>
          <w:vertAlign w:val="baseline"/>
        </w:rPr>
        <w:t>C</w:t>
      </w:r>
      <w:r>
        <w:rPr>
          <w:spacing w:val="6"/>
          <w:vertAlign w:val="baseline"/>
        </w:rPr>
        <w:t> </w:t>
      </w:r>
      <w:r>
        <w:rPr>
          <w:vertAlign w:val="baseline"/>
        </w:rPr>
        <w:t>will</w:t>
      </w:r>
      <w:r>
        <w:rPr>
          <w:spacing w:val="6"/>
          <w:vertAlign w:val="baseline"/>
        </w:rPr>
        <w:t> </w:t>
      </w:r>
      <w:r>
        <w:rPr>
          <w:vertAlign w:val="baseline"/>
        </w:rPr>
        <w:t>obtain</w:t>
      </w:r>
      <w:r>
        <w:rPr>
          <w:spacing w:val="6"/>
          <w:vertAlign w:val="baseline"/>
        </w:rPr>
        <w:t> </w:t>
      </w:r>
      <w:r>
        <w:rPr>
          <w:vertAlign w:val="baseline"/>
        </w:rPr>
        <w:t>the</w:t>
      </w:r>
      <w:r>
        <w:rPr>
          <w:spacing w:val="6"/>
          <w:vertAlign w:val="baseline"/>
        </w:rPr>
        <w:t> </w:t>
      </w:r>
      <w:r>
        <w:rPr>
          <w:vertAlign w:val="baseline"/>
        </w:rPr>
        <w:t>performance</w:t>
      </w:r>
      <w:r>
        <w:rPr>
          <w:spacing w:val="6"/>
          <w:vertAlign w:val="baseline"/>
        </w:rPr>
        <w:t> </w:t>
      </w:r>
      <w:r>
        <w:rPr>
          <w:vertAlign w:val="baseline"/>
        </w:rPr>
        <w:t>due</w:t>
      </w:r>
      <w:r>
        <w:rPr>
          <w:spacing w:val="6"/>
          <w:vertAlign w:val="baseline"/>
        </w:rPr>
        <w:t> </w:t>
      </w:r>
      <w:r>
        <w:rPr>
          <w:vertAlign w:val="baseline"/>
        </w:rPr>
        <w:t>to</w:t>
      </w:r>
      <w:r>
        <w:rPr>
          <w:spacing w:val="6"/>
          <w:vertAlign w:val="baseline"/>
        </w:rPr>
        <w:t> </w:t>
      </w:r>
      <w:r>
        <w:rPr>
          <w:vertAlign w:val="baseline"/>
        </w:rPr>
        <w:t>him</w:t>
      </w:r>
      <w:r>
        <w:rPr>
          <w:spacing w:val="6"/>
          <w:vertAlign w:val="baseline"/>
        </w:rPr>
        <w:t> </w:t>
      </w:r>
      <w:r>
        <w:rPr>
          <w:vertAlign w:val="baseline"/>
        </w:rPr>
        <w:t>under</w:t>
      </w:r>
      <w:r>
        <w:rPr>
          <w:spacing w:val="6"/>
          <w:vertAlign w:val="baseline"/>
        </w:rPr>
        <w:t> </w:t>
      </w:r>
      <w:r>
        <w:rPr>
          <w:vertAlign w:val="baseline"/>
        </w:rPr>
        <w:t>the</w:t>
      </w:r>
      <w:r>
        <w:rPr>
          <w:spacing w:val="6"/>
          <w:vertAlign w:val="baseline"/>
        </w:rPr>
        <w:t> </w:t>
      </w:r>
      <w:r>
        <w:rPr>
          <w:vertAlign w:val="baseline"/>
        </w:rPr>
        <w:t>term</w:t>
      </w:r>
      <w:r>
        <w:rPr>
          <w:spacing w:val="6"/>
          <w:vertAlign w:val="baseline"/>
        </w:rPr>
        <w:t> </w:t>
      </w:r>
      <w:r>
        <w:rPr>
          <w:vertAlign w:val="baseline"/>
        </w:rPr>
        <w:t>made</w:t>
      </w:r>
      <w:r>
        <w:rPr>
          <w:spacing w:val="6"/>
          <w:vertAlign w:val="baseline"/>
        </w:rPr>
        <w:t> </w:t>
      </w:r>
      <w:r>
        <w:rPr>
          <w:vertAlign w:val="baseline"/>
        </w:rPr>
        <w:t>enforceable</w:t>
      </w:r>
      <w:r>
        <w:rPr>
          <w:spacing w:val="6"/>
          <w:vertAlign w:val="baseline"/>
        </w:rPr>
        <w:t> </w:t>
      </w:r>
      <w:r>
        <w:rPr>
          <w:vertAlign w:val="baseline"/>
        </w:rPr>
        <w:t>by</w:t>
      </w:r>
      <w:r>
        <w:rPr>
          <w:spacing w:val="6"/>
          <w:vertAlign w:val="baseline"/>
        </w:rPr>
        <w:t> </w:t>
      </w:r>
      <w:r>
        <w:rPr>
          <w:vertAlign w:val="baseline"/>
        </w:rPr>
        <w:t>him</w:t>
      </w:r>
      <w:r>
        <w:rPr>
          <w:spacing w:val="6"/>
          <w:vertAlign w:val="baseline"/>
        </w:rPr>
        <w:t> </w:t>
      </w:r>
      <w:r>
        <w:rPr>
          <w:vertAlign w:val="baseline"/>
        </w:rPr>
        <w:t>by</w:t>
      </w:r>
      <w:r>
        <w:rPr>
          <w:spacing w:val="6"/>
          <w:vertAlign w:val="baseline"/>
        </w:rPr>
        <w:t> </w:t>
      </w:r>
      <w:r>
        <w:rPr>
          <w:vertAlign w:val="baseline"/>
        </w:rPr>
        <w:t>virtue</w:t>
      </w:r>
      <w:r>
        <w:rPr>
          <w:spacing w:val="6"/>
          <w:vertAlign w:val="baseline"/>
        </w:rPr>
        <w:t> </w:t>
      </w:r>
      <w:r>
        <w:rPr>
          <w:spacing w:val="-5"/>
          <w:vertAlign w:val="baseline"/>
        </w:rPr>
        <w:t>of</w:t>
      </w:r>
    </w:p>
    <w:p>
      <w:pPr>
        <w:pStyle w:val="BodyText"/>
        <w:spacing w:line="235" w:lineRule="auto"/>
        <w:ind w:left="165" w:right="167"/>
        <w:jc w:val="both"/>
      </w:pPr>
      <w:r>
        <w:rPr/>
        <w:t>s.1 and so will not have any right to damages for its non-performance. But C might, in addition to </w:t>
      </w:r>
      <w:r>
        <w:rPr/>
        <w:t>the receipt of the performance, claim damages from A, e.g. in respect of delay in rendering the performance.</w:t>
      </w:r>
      <w:r>
        <w:rPr>
          <w:spacing w:val="-1"/>
        </w:rPr>
        <w:t> </w:t>
      </w:r>
      <w:r>
        <w:rPr/>
        <w:t>Such</w:t>
      </w:r>
      <w:r>
        <w:rPr>
          <w:spacing w:val="-1"/>
        </w:rPr>
        <w:t> </w:t>
      </w:r>
      <w:r>
        <w:rPr/>
        <w:t>a</w:t>
      </w:r>
      <w:r>
        <w:rPr>
          <w:spacing w:val="-1"/>
        </w:rPr>
        <w:t> </w:t>
      </w:r>
      <w:r>
        <w:rPr/>
        <w:t>claim</w:t>
      </w:r>
      <w:r>
        <w:rPr>
          <w:spacing w:val="-1"/>
        </w:rPr>
        <w:t> </w:t>
      </w:r>
      <w:r>
        <w:rPr/>
        <w:t>is</w:t>
      </w:r>
      <w:r>
        <w:rPr>
          <w:spacing w:val="-1"/>
        </w:rPr>
        <w:t> </w:t>
      </w:r>
      <w:r>
        <w:rPr/>
        <w:t>not,</w:t>
      </w:r>
      <w:r>
        <w:rPr>
          <w:spacing w:val="-1"/>
        </w:rPr>
        <w:t> </w:t>
      </w:r>
      <w:r>
        <w:rPr/>
        <w:t>and</w:t>
      </w:r>
      <w:r>
        <w:rPr>
          <w:spacing w:val="-1"/>
        </w:rPr>
        <w:t> </w:t>
      </w:r>
      <w:r>
        <w:rPr/>
        <w:t>should</w:t>
      </w:r>
      <w:r>
        <w:rPr>
          <w:spacing w:val="-1"/>
        </w:rPr>
        <w:t> </w:t>
      </w:r>
      <w:r>
        <w:rPr/>
        <w:t>not</w:t>
      </w:r>
      <w:r>
        <w:rPr>
          <w:spacing w:val="-1"/>
        </w:rPr>
        <w:t> </w:t>
      </w:r>
      <w:r>
        <w:rPr/>
        <w:t>be,</w:t>
      </w:r>
      <w:r>
        <w:rPr>
          <w:spacing w:val="-1"/>
        </w:rPr>
        <w:t> </w:t>
      </w:r>
      <w:r>
        <w:rPr/>
        <w:t>affected</w:t>
      </w:r>
      <w:r>
        <w:rPr>
          <w:spacing w:val="-1"/>
        </w:rPr>
        <w:t> </w:t>
      </w:r>
      <w:r>
        <w:rPr/>
        <w:t>by</w:t>
      </w:r>
      <w:r>
        <w:rPr>
          <w:spacing w:val="-1"/>
        </w:rPr>
        <w:t> </w:t>
      </w:r>
      <w:r>
        <w:rPr/>
        <w:t>s.5</w:t>
      </w:r>
      <w:r>
        <w:rPr>
          <w:spacing w:val="-1"/>
        </w:rPr>
        <w:t> </w:t>
      </w:r>
      <w:r>
        <w:rPr/>
        <w:t>of</w:t>
      </w:r>
      <w:r>
        <w:rPr>
          <w:spacing w:val="-1"/>
        </w:rPr>
        <w:t> </w:t>
      </w:r>
      <w:r>
        <w:rPr/>
        <w:t>the</w:t>
      </w:r>
      <w:r>
        <w:rPr>
          <w:spacing w:val="-1"/>
        </w:rPr>
        <w:t> </w:t>
      </w:r>
      <w:r>
        <w:rPr/>
        <w:t>1999</w:t>
      </w:r>
      <w:r>
        <w:rPr>
          <w:spacing w:val="-1"/>
        </w:rPr>
        <w:t> </w:t>
      </w:r>
      <w:r>
        <w:rPr/>
        <w:t>Act</w:t>
      </w:r>
      <w:r>
        <w:rPr>
          <w:spacing w:val="-1"/>
        </w:rPr>
        <w:t> </w:t>
      </w:r>
      <w:r>
        <w:rPr/>
        <w:t>since</w:t>
      </w:r>
      <w:r>
        <w:rPr>
          <w:spacing w:val="-1"/>
        </w:rPr>
        <w:t> </w:t>
      </w:r>
      <w:r>
        <w:rPr/>
        <w:t>its</w:t>
      </w:r>
      <w:r>
        <w:rPr>
          <w:spacing w:val="-1"/>
        </w:rPr>
        <w:t> </w:t>
      </w:r>
      <w:r>
        <w:rPr/>
        <w:t>success would not make A liable twice over for the same loss.</w:t>
      </w:r>
    </w:p>
    <w:p>
      <w:pPr>
        <w:pStyle w:val="BodyText"/>
      </w:pPr>
    </w:p>
    <w:p>
      <w:pPr>
        <w:pStyle w:val="BodyText"/>
        <w:spacing w:before="32"/>
      </w:pPr>
      <w:r>
        <w:rPr/>
        <mc:AlternateContent>
          <mc:Choice Requires="wps">
            <w:drawing>
              <wp:anchor distT="0" distB="0" distL="0" distR="0" allowOverlap="1" layoutInCell="1" locked="0" behindDoc="1" simplePos="0" relativeHeight="487636480">
                <wp:simplePos x="0" y="0"/>
                <wp:positionH relativeFrom="page">
                  <wp:posOffset>914400</wp:posOffset>
                </wp:positionH>
                <wp:positionV relativeFrom="paragraph">
                  <wp:posOffset>181703</wp:posOffset>
                </wp:positionV>
                <wp:extent cx="5724525" cy="127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07386pt;width:450.75pt;height:.1pt;mso-position-horizontal-relative:page;mso-position-vertical-relative:paragraph;z-index:-15680000;mso-wrap-distance-left:0;mso-wrap-distance-right:0" id="docshape34" coordorigin="1440,286" coordsize="9015,0" path="m1440,286l10454,286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81152">
                <wp:simplePos x="0" y="0"/>
                <wp:positionH relativeFrom="page">
                  <wp:posOffset>914400</wp:posOffset>
                </wp:positionH>
                <wp:positionV relativeFrom="paragraph">
                  <wp:posOffset>97116</wp:posOffset>
                </wp:positionV>
                <wp:extent cx="4953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35328"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5"/>
      </w:pPr>
    </w:p>
    <w:p>
      <w:pPr>
        <w:pStyle w:val="BodyText"/>
        <w:tabs>
          <w:tab w:pos="705" w:val="left" w:leader="none"/>
        </w:tabs>
        <w:ind w:left="165"/>
      </w:pPr>
      <w:bookmarkStart w:name="_bookmark1251" w:id="1253"/>
      <w:bookmarkEnd w:id="1253"/>
      <w:r>
        <w:rPr/>
      </w:r>
      <w:hyperlink w:history="true" w:anchor="_bookmark1092">
        <w:r>
          <w:rPr>
            <w:color w:val="005DA1"/>
            <w:spacing w:val="-4"/>
            <w:position w:val="5"/>
            <w:sz w:val="14"/>
            <w:u w:val="single" w:color="005DA1"/>
          </w:rPr>
          <w:t>572</w:t>
        </w:r>
      </w:hyperlink>
      <w:r>
        <w:rPr>
          <w:spacing w:val="-4"/>
          <w:position w:val="5"/>
          <w:sz w:val="14"/>
        </w:rPr>
        <w:t>.</w:t>
      </w:r>
      <w:r>
        <w:rPr>
          <w:position w:val="5"/>
          <w:sz w:val="14"/>
        </w:rPr>
        <w:tab/>
      </w:r>
      <w:r>
        <w:rPr/>
        <w:t>See above, para.18-001; Stevens (2004) 120 L.Q.R. </w:t>
      </w:r>
      <w:r>
        <w:rPr>
          <w:spacing w:val="-4"/>
        </w:rPr>
        <w:t>292.</w:t>
      </w:r>
    </w:p>
    <w:p>
      <w:pPr>
        <w:pStyle w:val="BodyText"/>
        <w:spacing w:before="9"/>
      </w:pPr>
    </w:p>
    <w:p>
      <w:pPr>
        <w:pStyle w:val="BodyText"/>
        <w:spacing w:line="235" w:lineRule="auto"/>
        <w:ind w:left="705" w:right="167" w:hanging="541"/>
        <w:jc w:val="both"/>
      </w:pPr>
      <w:bookmarkStart w:name="_bookmark1252" w:id="1254"/>
      <w:bookmarkEnd w:id="1254"/>
      <w:r>
        <w:rPr/>
      </w:r>
      <w:hyperlink w:history="true" w:anchor="_bookmark1093">
        <w:r>
          <w:rPr>
            <w:color w:val="005DA1"/>
            <w:position w:val="5"/>
            <w:sz w:val="14"/>
            <w:u w:val="single" w:color="005DA1"/>
          </w:rPr>
          <w:t>573</w:t>
        </w:r>
      </w:hyperlink>
      <w:r>
        <w:rPr>
          <w:position w:val="5"/>
          <w:sz w:val="14"/>
        </w:rPr>
        <w:t>.</w:t>
      </w:r>
      <w:r>
        <w:rPr>
          <w:spacing w:val="40"/>
          <w:position w:val="5"/>
          <w:sz w:val="14"/>
        </w:rPr>
        <w:t>  </w:t>
      </w:r>
      <w:r>
        <w:rPr/>
        <w:t>Law Commission Report on Privity of Contract: Contracts for the Benefit of Third Parties, </w:t>
      </w:r>
      <w:r>
        <w:rPr/>
        <w:t>Law Com. No.242, (1996), hereafter “Report”; (ed.) Merkin &amp; Faber, Privity: the Impact of the Contracts (Rights of Third Parties) Act 1999.</w:t>
      </w:r>
    </w:p>
    <w:p>
      <w:pPr>
        <w:pStyle w:val="BodyText"/>
        <w:spacing w:before="5"/>
      </w:pPr>
    </w:p>
    <w:p>
      <w:pPr>
        <w:pStyle w:val="BodyText"/>
        <w:tabs>
          <w:tab w:pos="705" w:val="left" w:leader="none"/>
        </w:tabs>
        <w:ind w:left="165"/>
      </w:pPr>
      <w:bookmarkStart w:name="_bookmark1253" w:id="1255"/>
      <w:bookmarkEnd w:id="1255"/>
      <w:r>
        <w:rPr/>
      </w:r>
      <w:hyperlink w:history="true" w:anchor="_bookmark1094">
        <w:r>
          <w:rPr>
            <w:color w:val="005DA1"/>
            <w:spacing w:val="-4"/>
            <w:position w:val="5"/>
            <w:sz w:val="14"/>
            <w:u w:val="single" w:color="005DA1"/>
          </w:rPr>
          <w:t>574</w:t>
        </w:r>
      </w:hyperlink>
      <w:r>
        <w:rPr>
          <w:spacing w:val="-4"/>
          <w:position w:val="5"/>
          <w:sz w:val="14"/>
        </w:rPr>
        <w:t>.</w:t>
      </w:r>
      <w:r>
        <w:rPr>
          <w:position w:val="5"/>
          <w:sz w:val="14"/>
        </w:rPr>
        <w:tab/>
      </w:r>
      <w:r>
        <w:rPr/>
        <w:t>cf. the definitions of “promisor” and “promisee” in s.1(7) of the 1999 </w:t>
      </w:r>
      <w:r>
        <w:rPr>
          <w:spacing w:val="-4"/>
        </w:rPr>
        <w:t>Act.</w:t>
      </w:r>
    </w:p>
    <w:p>
      <w:pPr>
        <w:pStyle w:val="BodyText"/>
        <w:spacing w:after="0"/>
        <w:sectPr>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095">
        <w:r>
          <w:rPr>
            <w:color w:val="005DA1"/>
            <w:spacing w:val="-4"/>
            <w:position w:val="5"/>
            <w:sz w:val="14"/>
            <w:u w:val="single" w:color="005DA1"/>
          </w:rPr>
          <w:t>575</w:t>
        </w:r>
      </w:hyperlink>
      <w:r>
        <w:rPr>
          <w:spacing w:val="-4"/>
          <w:position w:val="5"/>
          <w:sz w:val="14"/>
        </w:rPr>
        <w:t>.</w:t>
      </w:r>
      <w:r>
        <w:rPr>
          <w:position w:val="5"/>
          <w:sz w:val="14"/>
        </w:rPr>
        <w:tab/>
      </w:r>
      <w:r>
        <w:rPr>
          <w:sz w:val="20"/>
        </w:rPr>
        <w:t>Report, </w:t>
      </w:r>
      <w:r>
        <w:rPr>
          <w:spacing w:val="-2"/>
          <w:sz w:val="20"/>
        </w:rPr>
        <w:t>para.7.5.</w:t>
      </w:r>
    </w:p>
    <w:p>
      <w:pPr>
        <w:pStyle w:val="BodyText"/>
        <w:spacing w:before="5"/>
      </w:pPr>
    </w:p>
    <w:p>
      <w:pPr>
        <w:tabs>
          <w:tab w:pos="705" w:val="left" w:leader="none"/>
        </w:tabs>
        <w:spacing w:before="0"/>
        <w:ind w:left="165" w:right="0" w:firstLine="0"/>
        <w:jc w:val="left"/>
        <w:rPr>
          <w:sz w:val="20"/>
        </w:rPr>
      </w:pPr>
      <w:bookmarkStart w:name="_bookmark1254" w:id="1256"/>
      <w:bookmarkEnd w:id="1256"/>
      <w:r>
        <w:rPr/>
      </w:r>
      <w:hyperlink w:history="true" w:anchor="_bookmark1096">
        <w:r>
          <w:rPr>
            <w:color w:val="005DA1"/>
            <w:spacing w:val="-4"/>
            <w:position w:val="5"/>
            <w:sz w:val="14"/>
            <w:u w:val="single" w:color="005DA1"/>
          </w:rPr>
          <w:t>576</w:t>
        </w:r>
      </w:hyperlink>
      <w:r>
        <w:rPr>
          <w:spacing w:val="-4"/>
          <w:position w:val="5"/>
          <w:sz w:val="14"/>
        </w:rPr>
        <w:t>.</w:t>
      </w:r>
      <w:r>
        <w:rPr>
          <w:position w:val="5"/>
          <w:sz w:val="14"/>
        </w:rPr>
        <w:tab/>
      </w:r>
      <w:r>
        <w:rPr>
          <w:sz w:val="20"/>
        </w:rPr>
        <w:t>Above, para.18-</w:t>
      </w:r>
      <w:r>
        <w:rPr>
          <w:spacing w:val="-4"/>
          <w:sz w:val="20"/>
        </w:rPr>
        <w:t>080.</w:t>
      </w:r>
    </w:p>
    <w:p>
      <w:pPr>
        <w:pStyle w:val="BodyText"/>
        <w:spacing w:before="5"/>
      </w:pPr>
    </w:p>
    <w:p>
      <w:pPr>
        <w:tabs>
          <w:tab w:pos="705" w:val="left" w:leader="none"/>
        </w:tabs>
        <w:spacing w:before="0"/>
        <w:ind w:left="165" w:right="0" w:firstLine="0"/>
        <w:jc w:val="left"/>
        <w:rPr>
          <w:sz w:val="20"/>
        </w:rPr>
      </w:pPr>
      <w:bookmarkStart w:name="_bookmark1255" w:id="1257"/>
      <w:bookmarkEnd w:id="1257"/>
      <w:r>
        <w:rPr/>
      </w:r>
      <w:hyperlink w:history="true" w:anchor="_bookmark1096">
        <w:r>
          <w:rPr>
            <w:color w:val="005DA1"/>
            <w:spacing w:val="-4"/>
            <w:position w:val="5"/>
            <w:sz w:val="14"/>
            <w:u w:val="single" w:color="005DA1"/>
          </w:rPr>
          <w:t>577</w:t>
        </w:r>
      </w:hyperlink>
      <w:r>
        <w:rPr>
          <w:spacing w:val="-4"/>
          <w:position w:val="5"/>
          <w:sz w:val="14"/>
        </w:rPr>
        <w:t>.</w:t>
      </w:r>
      <w:r>
        <w:rPr>
          <w:position w:val="5"/>
          <w:sz w:val="14"/>
        </w:rPr>
        <w:tab/>
      </w:r>
      <w:r>
        <w:rPr>
          <w:sz w:val="20"/>
        </w:rPr>
        <w:t>See</w:t>
      </w:r>
      <w:r>
        <w:rPr>
          <w:spacing w:val="-2"/>
          <w:sz w:val="20"/>
        </w:rPr>
        <w:t> </w:t>
      </w:r>
      <w:r>
        <w:rPr>
          <w:rFonts w:ascii="Arial"/>
          <w:i/>
          <w:sz w:val="20"/>
        </w:rPr>
        <w:t>McEvoy v Belfast Banking Co [1935] A.C. 24</w:t>
      </w:r>
      <w:r>
        <w:rPr>
          <w:sz w:val="20"/>
        </w:rPr>
        <w:t>, above, para.4-</w:t>
      </w:r>
      <w:r>
        <w:rPr>
          <w:spacing w:val="-4"/>
          <w:sz w:val="20"/>
        </w:rPr>
        <w:t>045.</w:t>
      </w:r>
    </w:p>
    <w:p>
      <w:pPr>
        <w:pStyle w:val="BodyText"/>
        <w:spacing w:before="9"/>
      </w:pPr>
    </w:p>
    <w:p>
      <w:pPr>
        <w:spacing w:line="235" w:lineRule="auto" w:before="0"/>
        <w:ind w:left="705" w:right="167" w:hanging="541"/>
        <w:jc w:val="both"/>
        <w:rPr>
          <w:sz w:val="20"/>
        </w:rPr>
      </w:pPr>
      <w:bookmarkStart w:name="_bookmark1256" w:id="1258"/>
      <w:bookmarkEnd w:id="1258"/>
      <w:r>
        <w:rPr/>
      </w:r>
      <w:hyperlink w:history="true" w:anchor="_bookmark1097">
        <w:r>
          <w:rPr>
            <w:color w:val="005DA1"/>
            <w:position w:val="5"/>
            <w:sz w:val="14"/>
            <w:u w:val="single" w:color="005DA1"/>
          </w:rPr>
          <w:t>578</w:t>
        </w:r>
      </w:hyperlink>
      <w:r>
        <w:rPr>
          <w:position w:val="5"/>
          <w:sz w:val="14"/>
        </w:rPr>
        <w:t>.</w:t>
      </w:r>
      <w:r>
        <w:rPr>
          <w:spacing w:val="80"/>
          <w:w w:val="150"/>
          <w:position w:val="5"/>
          <w:sz w:val="14"/>
        </w:rPr>
        <w:t> </w:t>
      </w:r>
      <w:r>
        <w:rPr>
          <w:sz w:val="20"/>
        </w:rPr>
        <w:t>This appears to follow from the words “in his own right” in s.1(1); cf. Report, para.14.3;</w:t>
      </w:r>
      <w:r>
        <w:rPr>
          <w:spacing w:val="80"/>
          <w:sz w:val="20"/>
        </w:rPr>
        <w:t> </w:t>
      </w:r>
      <w:r>
        <w:rPr>
          <w:rFonts w:ascii="Arial" w:hAnsi="Arial"/>
          <w:i/>
          <w:sz w:val="20"/>
        </w:rPr>
        <w:t>Mulchrone v Swiss Life (UK) Ltd plc [2005] EWHC 1808, [2006] Lloyd’s Rep. I.R. 339 </w:t>
      </w:r>
      <w:r>
        <w:rPr>
          <w:sz w:val="20"/>
        </w:rPr>
        <w:t>at [14] (“exclusively in her [C’s] own name”).</w:t>
      </w:r>
    </w:p>
    <w:p>
      <w:pPr>
        <w:pStyle w:val="BodyText"/>
        <w:spacing w:before="5"/>
      </w:pPr>
    </w:p>
    <w:p>
      <w:pPr>
        <w:pStyle w:val="BodyText"/>
        <w:tabs>
          <w:tab w:pos="705" w:val="left" w:leader="none"/>
        </w:tabs>
        <w:ind w:left="165"/>
      </w:pPr>
      <w:bookmarkStart w:name="_bookmark1257" w:id="1259"/>
      <w:bookmarkEnd w:id="1259"/>
      <w:r>
        <w:rPr/>
      </w:r>
      <w:hyperlink w:history="true" w:anchor="_bookmark1098">
        <w:r>
          <w:rPr>
            <w:color w:val="005DA1"/>
            <w:spacing w:val="-4"/>
            <w:position w:val="5"/>
            <w:sz w:val="14"/>
            <w:u w:val="single" w:color="005DA1"/>
          </w:rPr>
          <w:t>579</w:t>
        </w:r>
      </w:hyperlink>
      <w:r>
        <w:rPr>
          <w:spacing w:val="-4"/>
          <w:position w:val="5"/>
          <w:sz w:val="14"/>
        </w:rPr>
        <w:t>.</w:t>
      </w:r>
      <w:r>
        <w:rPr>
          <w:position w:val="5"/>
          <w:sz w:val="14"/>
        </w:rPr>
        <w:tab/>
      </w:r>
      <w:r>
        <w:rPr/>
        <w:t>Under s.3 of the 1999 Act: see below, para.18-</w:t>
      </w:r>
      <w:r>
        <w:rPr>
          <w:spacing w:val="-4"/>
        </w:rPr>
        <w:t>112.</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8304">
            <wp:simplePos x="0" y="0"/>
            <wp:positionH relativeFrom="page">
              <wp:posOffset>1257846</wp:posOffset>
            </wp:positionH>
            <wp:positionV relativeFrom="paragraph">
              <wp:posOffset>160184</wp:posOffset>
            </wp:positionV>
            <wp:extent cx="107988" cy="107988"/>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58" w:id="1260"/>
      <w:bookmarkEnd w:id="1260"/>
      <w:r>
        <w:rPr/>
      </w:r>
      <w:hyperlink w:history="true" w:anchor="_bookmark1099">
        <w:r>
          <w:rPr>
            <w:color w:val="005DA1"/>
            <w:spacing w:val="-4"/>
            <w:sz w:val="14"/>
            <w:u w:val="single" w:color="005DA1"/>
          </w:rPr>
          <w:t>580</w:t>
        </w:r>
      </w:hyperlink>
      <w:r>
        <w:rPr>
          <w:spacing w:val="-4"/>
          <w:sz w:val="14"/>
        </w:rPr>
        <w:t>.</w:t>
      </w:r>
    </w:p>
    <w:p>
      <w:pPr>
        <w:spacing w:line="235" w:lineRule="auto" w:before="212"/>
        <w:ind w:left="165" w:right="167" w:firstLine="170"/>
        <w:jc w:val="both"/>
        <w:rPr>
          <w:sz w:val="20"/>
        </w:rPr>
      </w:pPr>
      <w:r>
        <w:rPr/>
        <w:br w:type="column"/>
      </w:r>
      <w:r>
        <w:rPr>
          <w:sz w:val="20"/>
        </w:rPr>
        <w:t>CPR, r.19.2(2)(a); but this provision does not apply where there is </w:t>
      </w:r>
      <w:r>
        <w:rPr>
          <w:rFonts w:ascii="Arial" w:hAnsi="Arial"/>
          <w:i/>
          <w:sz w:val="20"/>
        </w:rPr>
        <w:t>no </w:t>
      </w:r>
      <w:r>
        <w:rPr>
          <w:sz w:val="20"/>
        </w:rPr>
        <w:t>“dispute” between the relevant parties : see </w:t>
      </w:r>
      <w:r>
        <w:rPr>
          <w:rFonts w:ascii="Arial" w:hAnsi="Arial"/>
          <w:i/>
          <w:sz w:val="20"/>
        </w:rPr>
        <w:t>Milton Keynes BC v Viridor (Community Recycling MK) Ltd [2016] EWHC 2764 (TCC), [2017] B.L.R. 47</w:t>
      </w:r>
      <w:r>
        <w:rPr>
          <w:sz w:val="20"/>
        </w:rPr>
        <w:t>.</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
      </w:pPr>
    </w:p>
    <w:p>
      <w:pPr>
        <w:pStyle w:val="BodyText"/>
        <w:tabs>
          <w:tab w:pos="705" w:val="left" w:leader="none"/>
        </w:tabs>
        <w:spacing w:line="235" w:lineRule="auto" w:before="1"/>
        <w:ind w:left="705" w:right="167" w:hanging="541"/>
      </w:pPr>
      <w:bookmarkStart w:name="_bookmark1259" w:id="1261"/>
      <w:bookmarkEnd w:id="1261"/>
      <w:r>
        <w:rPr/>
      </w:r>
      <w:hyperlink w:history="true" w:anchor="_bookmark1100">
        <w:r>
          <w:rPr>
            <w:color w:val="005DA1"/>
            <w:spacing w:val="-4"/>
            <w:position w:val="5"/>
            <w:sz w:val="14"/>
            <w:u w:val="single" w:color="005DA1"/>
          </w:rPr>
          <w:t>581</w:t>
        </w:r>
      </w:hyperlink>
      <w:r>
        <w:rPr>
          <w:spacing w:val="-4"/>
          <w:position w:val="5"/>
          <w:sz w:val="14"/>
        </w:rPr>
        <w:t>.</w:t>
      </w:r>
      <w:r>
        <w:rPr>
          <w:position w:val="5"/>
          <w:sz w:val="14"/>
        </w:rPr>
        <w:tab/>
      </w:r>
      <w:r>
        <w:rPr/>
        <w:t>See</w:t>
      </w:r>
      <w:r>
        <w:rPr>
          <w:spacing w:val="40"/>
        </w:rPr>
        <w:t> </w:t>
      </w:r>
      <w:r>
        <w:rPr/>
        <w:t>ss.2</w:t>
      </w:r>
      <w:r>
        <w:rPr>
          <w:spacing w:val="40"/>
        </w:rPr>
        <w:t> </w:t>
      </w:r>
      <w:r>
        <w:rPr/>
        <w:t>and</w:t>
      </w:r>
      <w:r>
        <w:rPr>
          <w:spacing w:val="40"/>
        </w:rPr>
        <w:t> </w:t>
      </w:r>
      <w:r>
        <w:rPr/>
        <w:t>3</w:t>
      </w:r>
      <w:r>
        <w:rPr>
          <w:spacing w:val="40"/>
        </w:rPr>
        <w:t> </w:t>
      </w:r>
      <w:r>
        <w:rPr/>
        <w:t>(below,</w:t>
      </w:r>
      <w:r>
        <w:rPr>
          <w:spacing w:val="40"/>
        </w:rPr>
        <w:t> </w:t>
      </w:r>
      <w:r>
        <w:rPr/>
        <w:t>paras</w:t>
      </w:r>
      <w:r>
        <w:rPr>
          <w:spacing w:val="40"/>
        </w:rPr>
        <w:t> </w:t>
      </w:r>
      <w:r>
        <w:rPr/>
        <w:t>18-103</w:t>
      </w:r>
      <w:r>
        <w:rPr>
          <w:spacing w:val="40"/>
        </w:rPr>
        <w:t> </w:t>
      </w:r>
      <w:r>
        <w:rPr/>
        <w:t>to</w:t>
      </w:r>
      <w:r>
        <w:rPr>
          <w:spacing w:val="40"/>
        </w:rPr>
        <w:t> </w:t>
      </w:r>
      <w:r>
        <w:rPr/>
        <w:t>18-111</w:t>
      </w:r>
      <w:r>
        <w:rPr>
          <w:spacing w:val="40"/>
        </w:rPr>
        <w:t> </w:t>
      </w:r>
      <w:r>
        <w:rPr/>
        <w:t>to</w:t>
      </w:r>
      <w:r>
        <w:rPr>
          <w:spacing w:val="40"/>
        </w:rPr>
        <w:t> </w:t>
      </w:r>
      <w:r>
        <w:rPr/>
        <w:t>18-113)</w:t>
      </w:r>
      <w:r>
        <w:rPr>
          <w:spacing w:val="40"/>
        </w:rPr>
        <w:t> </w:t>
      </w:r>
      <w:r>
        <w:rPr/>
        <w:t>and</w:t>
      </w:r>
      <w:r>
        <w:rPr>
          <w:spacing w:val="40"/>
        </w:rPr>
        <w:t> </w:t>
      </w:r>
      <w:r>
        <w:rPr/>
        <w:t>s.7(1)</w:t>
      </w:r>
      <w:r>
        <w:rPr>
          <w:spacing w:val="40"/>
        </w:rPr>
        <w:t> </w:t>
      </w:r>
      <w:r>
        <w:rPr/>
        <w:t>of</w:t>
      </w:r>
      <w:r>
        <w:rPr>
          <w:spacing w:val="40"/>
        </w:rPr>
        <w:t> </w:t>
      </w:r>
      <w:r>
        <w:rPr/>
        <w:t>the</w:t>
      </w:r>
      <w:r>
        <w:rPr>
          <w:spacing w:val="40"/>
        </w:rPr>
        <w:t> </w:t>
      </w:r>
      <w:r>
        <w:rPr/>
        <w:t>Act</w:t>
      </w:r>
      <w:r>
        <w:rPr>
          <w:spacing w:val="40"/>
        </w:rPr>
        <w:t> </w:t>
      </w:r>
      <w:r>
        <w:rPr/>
        <w:t>below, </w:t>
      </w:r>
      <w:r>
        <w:rPr>
          <w:spacing w:val="-2"/>
        </w:rPr>
        <w:t>para.18-119).</w:t>
      </w:r>
    </w:p>
    <w:p>
      <w:pPr>
        <w:pStyle w:val="BodyText"/>
        <w:spacing w:before="9"/>
      </w:pPr>
    </w:p>
    <w:p>
      <w:pPr>
        <w:pStyle w:val="BodyText"/>
        <w:tabs>
          <w:tab w:pos="705" w:val="left" w:leader="none"/>
        </w:tabs>
        <w:spacing w:line="235" w:lineRule="auto"/>
        <w:ind w:left="705" w:right="168" w:hanging="541"/>
      </w:pPr>
      <w:bookmarkStart w:name="_bookmark1260" w:id="1262"/>
      <w:bookmarkEnd w:id="1262"/>
      <w:r>
        <w:rPr/>
      </w:r>
      <w:hyperlink w:history="true" w:anchor="_bookmark1101">
        <w:r>
          <w:rPr>
            <w:color w:val="005DA1"/>
            <w:spacing w:val="-4"/>
            <w:position w:val="5"/>
            <w:sz w:val="14"/>
            <w:u w:val="single" w:color="005DA1"/>
          </w:rPr>
          <w:t>582</w:t>
        </w:r>
      </w:hyperlink>
      <w:r>
        <w:rPr>
          <w:spacing w:val="-4"/>
          <w:position w:val="5"/>
          <w:sz w:val="14"/>
        </w:rPr>
        <w:t>.</w:t>
      </w:r>
      <w:r>
        <w:rPr>
          <w:position w:val="5"/>
          <w:sz w:val="14"/>
        </w:rPr>
        <w:tab/>
      </w:r>
      <w:r>
        <w:rPr/>
        <w:t>Above, para.15-052. For the effect of the 1999 Act on such clauses, see also Carver on Bills </w:t>
      </w:r>
      <w:r>
        <w:rPr/>
        <w:t>of Lading, 3rd ed. (2011), paras 7-075 to 7-080.</w:t>
      </w:r>
    </w:p>
    <w:p>
      <w:pPr>
        <w:pStyle w:val="BodyText"/>
        <w:spacing w:before="9"/>
      </w:pPr>
    </w:p>
    <w:p>
      <w:pPr>
        <w:pStyle w:val="BodyText"/>
        <w:spacing w:line="235" w:lineRule="auto"/>
        <w:ind w:left="705" w:right="167" w:hanging="541"/>
        <w:jc w:val="both"/>
      </w:pPr>
      <w:bookmarkStart w:name="_bookmark1261" w:id="1263"/>
      <w:bookmarkEnd w:id="1263"/>
      <w:r>
        <w:rPr/>
      </w:r>
      <w:hyperlink w:history="true" w:anchor="_bookmark1102">
        <w:r>
          <w:rPr>
            <w:color w:val="005DA1"/>
            <w:position w:val="5"/>
            <w:sz w:val="14"/>
            <w:u w:val="single" w:color="005DA1"/>
          </w:rPr>
          <w:t>583</w:t>
        </w:r>
      </w:hyperlink>
      <w:r>
        <w:rPr>
          <w:position w:val="5"/>
          <w:sz w:val="14"/>
        </w:rPr>
        <w:t>.</w:t>
      </w:r>
      <w:r>
        <w:rPr>
          <w:spacing w:val="80"/>
          <w:position w:val="5"/>
          <w:sz w:val="14"/>
        </w:rPr>
        <w:t>  </w:t>
      </w:r>
      <w:r>
        <w:rPr/>
        <w:t>This</w:t>
      </w:r>
      <w:r>
        <w:rPr>
          <w:spacing w:val="-1"/>
        </w:rPr>
        <w:t> </w:t>
      </w:r>
      <w:r>
        <w:rPr/>
        <w:t>phrase</w:t>
      </w:r>
      <w:r>
        <w:rPr>
          <w:spacing w:val="-1"/>
        </w:rPr>
        <w:t> </w:t>
      </w:r>
      <w:r>
        <w:rPr/>
        <w:t>would</w:t>
      </w:r>
      <w:r>
        <w:rPr>
          <w:spacing w:val="-1"/>
        </w:rPr>
        <w:t> </w:t>
      </w:r>
      <w:r>
        <w:rPr/>
        <w:t>not</w:t>
      </w:r>
      <w:r>
        <w:rPr>
          <w:spacing w:val="-1"/>
        </w:rPr>
        <w:t> </w:t>
      </w:r>
      <w:r>
        <w:rPr/>
        <w:t>include</w:t>
      </w:r>
      <w:r>
        <w:rPr>
          <w:spacing w:val="-1"/>
        </w:rPr>
        <w:t> </w:t>
      </w:r>
      <w:r>
        <w:rPr/>
        <w:t>other</w:t>
      </w:r>
      <w:r>
        <w:rPr>
          <w:spacing w:val="-1"/>
        </w:rPr>
        <w:t> </w:t>
      </w:r>
      <w:r>
        <w:rPr/>
        <w:t>terms</w:t>
      </w:r>
      <w:r>
        <w:rPr>
          <w:spacing w:val="-1"/>
        </w:rPr>
        <w:t> </w:t>
      </w:r>
      <w:r>
        <w:rPr/>
        <w:t>in</w:t>
      </w:r>
      <w:r>
        <w:rPr>
          <w:spacing w:val="-1"/>
        </w:rPr>
        <w:t> </w:t>
      </w:r>
      <w:r>
        <w:rPr/>
        <w:t>the</w:t>
      </w:r>
      <w:r>
        <w:rPr>
          <w:spacing w:val="-1"/>
        </w:rPr>
        <w:t> </w:t>
      </w:r>
      <w:r>
        <w:rPr/>
        <w:t>contract</w:t>
      </w:r>
      <w:r>
        <w:rPr>
          <w:spacing w:val="-1"/>
        </w:rPr>
        <w:t> </w:t>
      </w:r>
      <w:r>
        <w:rPr/>
        <w:t>on</w:t>
      </w:r>
      <w:r>
        <w:rPr>
          <w:spacing w:val="-1"/>
        </w:rPr>
        <w:t> </w:t>
      </w:r>
      <w:r>
        <w:rPr/>
        <w:t>which</w:t>
      </w:r>
      <w:r>
        <w:rPr>
          <w:spacing w:val="-1"/>
        </w:rPr>
        <w:t> </w:t>
      </w:r>
      <w:r>
        <w:rPr/>
        <w:t>C</w:t>
      </w:r>
      <w:r>
        <w:rPr>
          <w:spacing w:val="-1"/>
        </w:rPr>
        <w:t> </w:t>
      </w:r>
      <w:r>
        <w:rPr/>
        <w:t>might</w:t>
      </w:r>
      <w:r>
        <w:rPr>
          <w:spacing w:val="-1"/>
        </w:rPr>
        <w:t> </w:t>
      </w:r>
      <w:r>
        <w:rPr/>
        <w:t>wish</w:t>
      </w:r>
      <w:r>
        <w:rPr>
          <w:spacing w:val="-1"/>
        </w:rPr>
        <w:t> </w:t>
      </w:r>
      <w:r>
        <w:rPr/>
        <w:t>to</w:t>
      </w:r>
      <w:r>
        <w:rPr>
          <w:spacing w:val="-1"/>
        </w:rPr>
        <w:t> </w:t>
      </w:r>
      <w:r>
        <w:rPr/>
        <w:t>rely:</w:t>
      </w:r>
      <w:r>
        <w:rPr>
          <w:spacing w:val="-1"/>
        </w:rPr>
        <w:t> </w:t>
      </w:r>
      <w:r>
        <w:rPr/>
        <w:t>e.g.</w:t>
      </w:r>
      <w:r>
        <w:rPr>
          <w:spacing w:val="-1"/>
        </w:rPr>
        <w:t> </w:t>
      </w:r>
      <w:r>
        <w:rPr/>
        <w:t>not choice of forum clauses: see Report, para.14.9; cf., at common law, </w:t>
      </w:r>
      <w:r>
        <w:rPr>
          <w:rFonts w:ascii="Arial"/>
          <w:i/>
        </w:rPr>
        <w:t>The Mahkutai [1996] </w:t>
      </w:r>
      <w:r>
        <w:rPr>
          <w:rFonts w:ascii="Arial"/>
          <w:i/>
        </w:rPr>
        <w:t>A.C. 650</w:t>
      </w:r>
      <w:r>
        <w:rPr/>
        <w:t>,</w:t>
      </w:r>
      <w:r>
        <w:rPr>
          <w:spacing w:val="-1"/>
        </w:rPr>
        <w:t> </w:t>
      </w:r>
      <w:r>
        <w:rPr/>
        <w:t>where</w:t>
      </w:r>
      <w:r>
        <w:rPr>
          <w:spacing w:val="-1"/>
        </w:rPr>
        <w:t> </w:t>
      </w:r>
      <w:r>
        <w:rPr/>
        <w:t>such</w:t>
      </w:r>
      <w:r>
        <w:rPr>
          <w:spacing w:val="-1"/>
        </w:rPr>
        <w:t> </w:t>
      </w:r>
      <w:r>
        <w:rPr/>
        <w:t>a</w:t>
      </w:r>
      <w:r>
        <w:rPr>
          <w:spacing w:val="-1"/>
        </w:rPr>
        <w:t> </w:t>
      </w:r>
      <w:r>
        <w:rPr/>
        <w:t>clause</w:t>
      </w:r>
      <w:r>
        <w:rPr>
          <w:spacing w:val="-1"/>
        </w:rPr>
        <w:t> </w:t>
      </w:r>
      <w:r>
        <w:rPr/>
        <w:t>was</w:t>
      </w:r>
      <w:r>
        <w:rPr>
          <w:spacing w:val="-1"/>
        </w:rPr>
        <w:t> </w:t>
      </w:r>
      <w:r>
        <w:rPr/>
        <w:t>held</w:t>
      </w:r>
      <w:r>
        <w:rPr>
          <w:spacing w:val="-1"/>
        </w:rPr>
        <w:t> </w:t>
      </w:r>
      <w:r>
        <w:rPr/>
        <w:t>as</w:t>
      </w:r>
      <w:r>
        <w:rPr>
          <w:spacing w:val="-1"/>
        </w:rPr>
        <w:t> </w:t>
      </w:r>
      <w:r>
        <w:rPr/>
        <w:t>a</w:t>
      </w:r>
      <w:r>
        <w:rPr>
          <w:spacing w:val="-1"/>
        </w:rPr>
        <w:t> </w:t>
      </w:r>
      <w:r>
        <w:rPr/>
        <w:t>matter</w:t>
      </w:r>
      <w:r>
        <w:rPr>
          <w:spacing w:val="-1"/>
        </w:rPr>
        <w:t> </w:t>
      </w:r>
      <w:r>
        <w:rPr/>
        <w:t>of</w:t>
      </w:r>
      <w:r>
        <w:rPr>
          <w:spacing w:val="-1"/>
        </w:rPr>
        <w:t> </w:t>
      </w:r>
      <w:r>
        <w:rPr/>
        <w:t>construction</w:t>
      </w:r>
      <w:r>
        <w:rPr>
          <w:spacing w:val="-1"/>
        </w:rPr>
        <w:t> </w:t>
      </w:r>
      <w:r>
        <w:rPr/>
        <w:t>not</w:t>
      </w:r>
      <w:r>
        <w:rPr>
          <w:spacing w:val="-1"/>
        </w:rPr>
        <w:t> </w:t>
      </w:r>
      <w:r>
        <w:rPr/>
        <w:t>to</w:t>
      </w:r>
      <w:r>
        <w:rPr>
          <w:spacing w:val="-1"/>
        </w:rPr>
        <w:t> </w:t>
      </w:r>
      <w:r>
        <w:rPr/>
        <w:t>have</w:t>
      </w:r>
      <w:r>
        <w:rPr>
          <w:spacing w:val="-1"/>
        </w:rPr>
        <w:t> </w:t>
      </w:r>
      <w:r>
        <w:rPr/>
        <w:t>been</w:t>
      </w:r>
      <w:r>
        <w:rPr>
          <w:spacing w:val="-1"/>
        </w:rPr>
        <w:t> </w:t>
      </w:r>
      <w:r>
        <w:rPr/>
        <w:t>covered</w:t>
      </w:r>
      <w:r>
        <w:rPr>
          <w:spacing w:val="-1"/>
        </w:rPr>
        <w:t> </w:t>
      </w:r>
      <w:r>
        <w:rPr/>
        <w:t>by</w:t>
      </w:r>
      <w:r>
        <w:rPr>
          <w:spacing w:val="-1"/>
        </w:rPr>
        <w:t> </w:t>
      </w:r>
      <w:r>
        <w:rPr/>
        <w:t>the Himalaya</w:t>
      </w:r>
      <w:r>
        <w:rPr>
          <w:spacing w:val="-2"/>
        </w:rPr>
        <w:t> </w:t>
      </w:r>
      <w:r>
        <w:rPr/>
        <w:t>clause</w:t>
      </w:r>
      <w:r>
        <w:rPr>
          <w:spacing w:val="-2"/>
        </w:rPr>
        <w:t> </w:t>
      </w:r>
      <w:r>
        <w:rPr/>
        <w:t>in</w:t>
      </w:r>
      <w:r>
        <w:rPr>
          <w:spacing w:val="-2"/>
        </w:rPr>
        <w:t> </w:t>
      </w:r>
      <w:r>
        <w:rPr/>
        <w:t>that</w:t>
      </w:r>
      <w:r>
        <w:rPr>
          <w:spacing w:val="-2"/>
        </w:rPr>
        <w:t> </w:t>
      </w:r>
      <w:r>
        <w:rPr/>
        <w:t>case.</w:t>
      </w:r>
      <w:r>
        <w:rPr>
          <w:spacing w:val="-2"/>
        </w:rPr>
        <w:t> </w:t>
      </w:r>
      <w:r>
        <w:rPr/>
        <w:t>If,</w:t>
      </w:r>
      <w:r>
        <w:rPr>
          <w:spacing w:val="-2"/>
        </w:rPr>
        <w:t> </w:t>
      </w:r>
      <w:r>
        <w:rPr/>
        <w:t>in</w:t>
      </w:r>
      <w:r>
        <w:rPr>
          <w:spacing w:val="-2"/>
        </w:rPr>
        <w:t> </w:t>
      </w:r>
      <w:r>
        <w:rPr/>
        <w:t>a</w:t>
      </w:r>
      <w:r>
        <w:rPr>
          <w:spacing w:val="-2"/>
        </w:rPr>
        <w:t> </w:t>
      </w:r>
      <w:r>
        <w:rPr/>
        <w:t>future</w:t>
      </w:r>
      <w:r>
        <w:rPr>
          <w:spacing w:val="-2"/>
        </w:rPr>
        <w:t> </w:t>
      </w:r>
      <w:r>
        <w:rPr/>
        <w:t>case,</w:t>
      </w:r>
      <w:r>
        <w:rPr>
          <w:spacing w:val="-2"/>
        </w:rPr>
        <w:t> </w:t>
      </w:r>
      <w:r>
        <w:rPr/>
        <w:t>a</w:t>
      </w:r>
      <w:r>
        <w:rPr>
          <w:spacing w:val="-2"/>
        </w:rPr>
        <w:t> </w:t>
      </w:r>
      <w:r>
        <w:rPr/>
        <w:t>Himalaya</w:t>
      </w:r>
      <w:r>
        <w:rPr>
          <w:spacing w:val="-2"/>
        </w:rPr>
        <w:t> </w:t>
      </w:r>
      <w:r>
        <w:rPr/>
        <w:t>clause</w:t>
      </w:r>
      <w:r>
        <w:rPr>
          <w:spacing w:val="-2"/>
        </w:rPr>
        <w:t> </w:t>
      </w:r>
      <w:r>
        <w:rPr/>
        <w:t>were</w:t>
      </w:r>
      <w:r>
        <w:rPr>
          <w:spacing w:val="-2"/>
        </w:rPr>
        <w:t> </w:t>
      </w:r>
      <w:r>
        <w:rPr/>
        <w:t>so</w:t>
      </w:r>
      <w:r>
        <w:rPr>
          <w:spacing w:val="-2"/>
        </w:rPr>
        <w:t> </w:t>
      </w:r>
      <w:r>
        <w:rPr/>
        <w:t>drafted</w:t>
      </w:r>
      <w:r>
        <w:rPr>
          <w:spacing w:val="-2"/>
        </w:rPr>
        <w:t> </w:t>
      </w:r>
      <w:r>
        <w:rPr/>
        <w:t>as</w:t>
      </w:r>
      <w:r>
        <w:rPr>
          <w:spacing w:val="-2"/>
        </w:rPr>
        <w:t> </w:t>
      </w:r>
      <w:r>
        <w:rPr/>
        <w:t>to</w:t>
      </w:r>
      <w:r>
        <w:rPr>
          <w:spacing w:val="-2"/>
        </w:rPr>
        <w:t> </w:t>
      </w:r>
      <w:r>
        <w:rPr/>
        <w:t>cover the choice of forum clause, the case would not fall within s.1(6) of the 1999 Act.</w:t>
      </w:r>
    </w:p>
    <w:p>
      <w:pPr>
        <w:pStyle w:val="BodyText"/>
        <w:spacing w:before="4"/>
      </w:pPr>
    </w:p>
    <w:p>
      <w:pPr>
        <w:tabs>
          <w:tab w:pos="705" w:val="left" w:leader="none"/>
        </w:tabs>
        <w:spacing w:before="0"/>
        <w:ind w:left="165" w:right="0" w:firstLine="0"/>
        <w:jc w:val="left"/>
        <w:rPr>
          <w:sz w:val="20"/>
        </w:rPr>
      </w:pPr>
      <w:bookmarkStart w:name="_bookmark1262" w:id="1264"/>
      <w:bookmarkEnd w:id="1264"/>
      <w:r>
        <w:rPr/>
      </w:r>
      <w:hyperlink w:history="true" w:anchor="_bookmark1103">
        <w:r>
          <w:rPr>
            <w:color w:val="005DA1"/>
            <w:spacing w:val="-4"/>
            <w:position w:val="5"/>
            <w:sz w:val="14"/>
            <w:u w:val="single" w:color="005DA1"/>
          </w:rPr>
          <w:t>584</w:t>
        </w:r>
      </w:hyperlink>
      <w:r>
        <w:rPr>
          <w:spacing w:val="-4"/>
          <w:position w:val="5"/>
          <w:sz w:val="14"/>
        </w:rPr>
        <w:t>.</w:t>
      </w:r>
      <w:r>
        <w:rPr>
          <w:position w:val="5"/>
          <w:sz w:val="14"/>
        </w:rPr>
        <w:tab/>
      </w:r>
      <w:r>
        <w:rPr>
          <w:sz w:val="20"/>
        </w:rPr>
        <w:t>Report, </w:t>
      </w:r>
      <w:r>
        <w:rPr>
          <w:spacing w:val="-2"/>
          <w:sz w:val="20"/>
        </w:rPr>
        <w:t>para.7.10.</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263" w:id="1265"/>
      <w:bookmarkEnd w:id="1265"/>
      <w:r>
        <w:rPr/>
      </w:r>
      <w:hyperlink w:history="true" w:anchor="_bookmark1104">
        <w:r>
          <w:rPr>
            <w:color w:val="005DA1"/>
            <w:spacing w:val="-4"/>
            <w:position w:val="5"/>
            <w:sz w:val="14"/>
            <w:u w:val="single" w:color="005DA1"/>
          </w:rPr>
          <w:t>585</w:t>
        </w:r>
      </w:hyperlink>
      <w:r>
        <w:rPr>
          <w:spacing w:val="-4"/>
          <w:position w:val="5"/>
          <w:sz w:val="14"/>
        </w:rPr>
        <w:t>.</w:t>
      </w:r>
      <w:r>
        <w:rPr>
          <w:position w:val="5"/>
          <w:sz w:val="14"/>
        </w:rPr>
        <w:tab/>
      </w:r>
      <w:r>
        <w:rPr>
          <w:sz w:val="20"/>
        </w:rPr>
        <w:t>Above,</w:t>
      </w:r>
      <w:r>
        <w:rPr>
          <w:spacing w:val="31"/>
          <w:sz w:val="20"/>
        </w:rPr>
        <w:t> </w:t>
      </w:r>
      <w:r>
        <w:rPr>
          <w:sz w:val="20"/>
        </w:rPr>
        <w:t>para.15-050</w:t>
      </w:r>
      <w:r>
        <w:rPr>
          <w:spacing w:val="31"/>
          <w:sz w:val="20"/>
        </w:rPr>
        <w:t> </w:t>
      </w:r>
      <w:r>
        <w:rPr>
          <w:sz w:val="20"/>
        </w:rPr>
        <w:t>to</w:t>
      </w:r>
      <w:r>
        <w:rPr>
          <w:spacing w:val="31"/>
          <w:sz w:val="20"/>
        </w:rPr>
        <w:t> </w:t>
      </w:r>
      <w:r>
        <w:rPr>
          <w:sz w:val="20"/>
        </w:rPr>
        <w:t>15-052;</w:t>
      </w:r>
      <w:r>
        <w:rPr>
          <w:spacing w:val="30"/>
          <w:sz w:val="20"/>
        </w:rPr>
        <w:t> </w:t>
      </w:r>
      <w:r>
        <w:rPr>
          <w:rFonts w:ascii="Arial"/>
          <w:i/>
          <w:sz w:val="20"/>
        </w:rPr>
        <w:t>Homburg</w:t>
      </w:r>
      <w:r>
        <w:rPr>
          <w:rFonts w:ascii="Arial"/>
          <w:i/>
          <w:spacing w:val="31"/>
          <w:sz w:val="20"/>
        </w:rPr>
        <w:t> </w:t>
      </w:r>
      <w:r>
        <w:rPr>
          <w:rFonts w:ascii="Arial"/>
          <w:i/>
          <w:sz w:val="20"/>
        </w:rPr>
        <w:t>Houtimport</w:t>
      </w:r>
      <w:r>
        <w:rPr>
          <w:rFonts w:ascii="Arial"/>
          <w:i/>
          <w:spacing w:val="31"/>
          <w:sz w:val="20"/>
        </w:rPr>
        <w:t> </w:t>
      </w:r>
      <w:r>
        <w:rPr>
          <w:rFonts w:ascii="Arial"/>
          <w:i/>
          <w:sz w:val="20"/>
        </w:rPr>
        <w:t>BV</w:t>
      </w:r>
      <w:r>
        <w:rPr>
          <w:rFonts w:ascii="Arial"/>
          <w:i/>
          <w:spacing w:val="31"/>
          <w:sz w:val="20"/>
        </w:rPr>
        <w:t> </w:t>
      </w:r>
      <w:r>
        <w:rPr>
          <w:rFonts w:ascii="Arial"/>
          <w:i/>
          <w:sz w:val="20"/>
        </w:rPr>
        <w:t>v</w:t>
      </w:r>
      <w:r>
        <w:rPr>
          <w:rFonts w:ascii="Arial"/>
          <w:i/>
          <w:spacing w:val="31"/>
          <w:sz w:val="20"/>
        </w:rPr>
        <w:t> </w:t>
      </w:r>
      <w:r>
        <w:rPr>
          <w:rFonts w:ascii="Arial"/>
          <w:i/>
          <w:sz w:val="20"/>
        </w:rPr>
        <w:t>Agrosin</w:t>
      </w:r>
      <w:r>
        <w:rPr>
          <w:rFonts w:ascii="Arial"/>
          <w:i/>
          <w:spacing w:val="31"/>
          <w:sz w:val="20"/>
        </w:rPr>
        <w:t> </w:t>
      </w:r>
      <w:r>
        <w:rPr>
          <w:rFonts w:ascii="Arial"/>
          <w:i/>
          <w:sz w:val="20"/>
        </w:rPr>
        <w:t>Private</w:t>
      </w:r>
      <w:r>
        <w:rPr>
          <w:rFonts w:ascii="Arial"/>
          <w:i/>
          <w:spacing w:val="31"/>
          <w:sz w:val="20"/>
        </w:rPr>
        <w:t> </w:t>
      </w:r>
      <w:r>
        <w:rPr>
          <w:rFonts w:ascii="Arial"/>
          <w:i/>
          <w:sz w:val="20"/>
        </w:rPr>
        <w:t>Ltd</w:t>
      </w:r>
      <w:r>
        <w:rPr>
          <w:rFonts w:ascii="Arial"/>
          <w:i/>
          <w:spacing w:val="31"/>
          <w:sz w:val="20"/>
        </w:rPr>
        <w:t> </w:t>
      </w:r>
      <w:r>
        <w:rPr>
          <w:rFonts w:ascii="Arial"/>
          <w:i/>
          <w:sz w:val="20"/>
        </w:rPr>
        <w:t>(The</w:t>
      </w:r>
      <w:r>
        <w:rPr>
          <w:rFonts w:ascii="Arial"/>
          <w:i/>
          <w:spacing w:val="31"/>
          <w:sz w:val="20"/>
        </w:rPr>
        <w:t> </w:t>
      </w:r>
      <w:r>
        <w:rPr>
          <w:rFonts w:ascii="Arial"/>
          <w:i/>
          <w:sz w:val="20"/>
        </w:rPr>
        <w:t>Starsin) [2003]</w:t>
      </w:r>
      <w:r>
        <w:rPr>
          <w:rFonts w:ascii="Arial"/>
          <w:i/>
          <w:spacing w:val="35"/>
          <w:sz w:val="20"/>
        </w:rPr>
        <w:t> </w:t>
      </w:r>
      <w:r>
        <w:rPr>
          <w:rFonts w:ascii="Arial"/>
          <w:i/>
          <w:sz w:val="20"/>
        </w:rPr>
        <w:t>UKHL</w:t>
      </w:r>
      <w:r>
        <w:rPr>
          <w:rFonts w:ascii="Arial"/>
          <w:i/>
          <w:spacing w:val="35"/>
          <w:sz w:val="20"/>
        </w:rPr>
        <w:t> </w:t>
      </w:r>
      <w:r>
        <w:rPr>
          <w:rFonts w:ascii="Arial"/>
          <w:i/>
          <w:sz w:val="20"/>
        </w:rPr>
        <w:t>12;</w:t>
      </w:r>
      <w:r>
        <w:rPr>
          <w:rFonts w:ascii="Arial"/>
          <w:i/>
          <w:spacing w:val="35"/>
          <w:sz w:val="20"/>
        </w:rPr>
        <w:t> </w:t>
      </w:r>
      <w:r>
        <w:rPr>
          <w:rFonts w:ascii="Arial"/>
          <w:i/>
          <w:sz w:val="20"/>
        </w:rPr>
        <w:t>[2004]</w:t>
      </w:r>
      <w:r>
        <w:rPr>
          <w:rFonts w:ascii="Arial"/>
          <w:i/>
          <w:spacing w:val="35"/>
          <w:sz w:val="20"/>
        </w:rPr>
        <w:t> </w:t>
      </w:r>
      <w:r>
        <w:rPr>
          <w:rFonts w:ascii="Arial"/>
          <w:i/>
          <w:sz w:val="20"/>
        </w:rPr>
        <w:t>1</w:t>
      </w:r>
      <w:r>
        <w:rPr>
          <w:rFonts w:ascii="Arial"/>
          <w:i/>
          <w:spacing w:val="35"/>
          <w:sz w:val="20"/>
        </w:rPr>
        <w:t> </w:t>
      </w:r>
      <w:r>
        <w:rPr>
          <w:rFonts w:ascii="Arial"/>
          <w:i/>
          <w:sz w:val="20"/>
        </w:rPr>
        <w:t>A.C.</w:t>
      </w:r>
      <w:r>
        <w:rPr>
          <w:rFonts w:ascii="Arial"/>
          <w:i/>
          <w:spacing w:val="35"/>
          <w:sz w:val="20"/>
        </w:rPr>
        <w:t> </w:t>
      </w:r>
      <w:r>
        <w:rPr>
          <w:rFonts w:ascii="Arial"/>
          <w:i/>
          <w:sz w:val="20"/>
        </w:rPr>
        <w:t>715</w:t>
      </w:r>
      <w:r>
        <w:rPr>
          <w:rFonts w:ascii="Arial"/>
          <w:i/>
          <w:spacing w:val="35"/>
          <w:sz w:val="20"/>
        </w:rPr>
        <w:t> </w:t>
      </w:r>
      <w:r>
        <w:rPr>
          <w:sz w:val="20"/>
        </w:rPr>
        <w:t>at</w:t>
      </w:r>
      <w:r>
        <w:rPr>
          <w:spacing w:val="35"/>
          <w:sz w:val="20"/>
        </w:rPr>
        <w:t> </w:t>
      </w:r>
      <w:r>
        <w:rPr>
          <w:sz w:val="20"/>
        </w:rPr>
        <w:t>[34],</w:t>
      </w:r>
      <w:r>
        <w:rPr>
          <w:spacing w:val="35"/>
          <w:sz w:val="20"/>
        </w:rPr>
        <w:t> </w:t>
      </w:r>
      <w:r>
        <w:rPr>
          <w:sz w:val="20"/>
        </w:rPr>
        <w:t>[93],</w:t>
      </w:r>
      <w:r>
        <w:rPr>
          <w:spacing w:val="35"/>
          <w:sz w:val="20"/>
        </w:rPr>
        <w:t> </w:t>
      </w:r>
      <w:r>
        <w:rPr>
          <w:sz w:val="20"/>
        </w:rPr>
        <w:t>[152],</w:t>
      </w:r>
      <w:r>
        <w:rPr>
          <w:spacing w:val="35"/>
          <w:sz w:val="20"/>
        </w:rPr>
        <w:t> </w:t>
      </w:r>
      <w:r>
        <w:rPr>
          <w:sz w:val="20"/>
        </w:rPr>
        <w:t>[153]</w:t>
      </w:r>
      <w:r>
        <w:rPr>
          <w:spacing w:val="35"/>
          <w:sz w:val="20"/>
        </w:rPr>
        <w:t> </w:t>
      </w:r>
      <w:r>
        <w:rPr>
          <w:sz w:val="20"/>
        </w:rPr>
        <w:t>and</w:t>
      </w:r>
      <w:r>
        <w:rPr>
          <w:spacing w:val="35"/>
          <w:sz w:val="20"/>
        </w:rPr>
        <w:t> </w:t>
      </w:r>
      <w:r>
        <w:rPr>
          <w:sz w:val="20"/>
        </w:rPr>
        <w:t>[196];</w:t>
      </w:r>
      <w:r>
        <w:rPr>
          <w:spacing w:val="35"/>
          <w:sz w:val="20"/>
        </w:rPr>
        <w:t> </w:t>
      </w:r>
      <w:r>
        <w:rPr>
          <w:sz w:val="20"/>
        </w:rPr>
        <w:t>see</w:t>
      </w:r>
      <w:r>
        <w:rPr>
          <w:spacing w:val="35"/>
          <w:sz w:val="20"/>
        </w:rPr>
        <w:t> </w:t>
      </w:r>
      <w:r>
        <w:rPr>
          <w:sz w:val="20"/>
        </w:rPr>
        <w:t>also</w:t>
      </w:r>
      <w:r>
        <w:rPr>
          <w:spacing w:val="35"/>
          <w:sz w:val="20"/>
        </w:rPr>
        <w:t> </w:t>
      </w:r>
      <w:r>
        <w:rPr>
          <w:rFonts w:ascii="Arial"/>
          <w:i/>
          <w:spacing w:val="-2"/>
          <w:sz w:val="20"/>
        </w:rPr>
        <w:t>Whitesea</w:t>
      </w:r>
    </w:p>
    <w:p>
      <w:pPr>
        <w:spacing w:line="235" w:lineRule="auto" w:before="0"/>
        <w:ind w:left="705" w:right="167" w:firstLine="0"/>
        <w:jc w:val="both"/>
        <w:rPr>
          <w:sz w:val="20"/>
        </w:rPr>
      </w:pPr>
      <w:r>
        <w:rPr>
          <w:rFonts w:ascii="Arial" w:hAnsi="Arial"/>
          <w:i/>
          <w:sz w:val="20"/>
        </w:rPr>
        <w:t>Shipping and Trading Corp. v El Paso Rio Clara Ltda (The Marielle Bolten) [2009] EWHC 2552 (Comm), [2010] 1 Lloyd’s Rep. 648</w:t>
      </w:r>
      <w:r>
        <w:rPr>
          <w:rFonts w:ascii="Arial" w:hAnsi="Arial"/>
          <w:i/>
          <w:spacing w:val="-1"/>
          <w:sz w:val="20"/>
        </w:rPr>
        <w:t> </w:t>
      </w:r>
      <w:r>
        <w:rPr>
          <w:sz w:val="20"/>
        </w:rPr>
        <w:t>at [34]; enforcement of the promise was there sought by </w:t>
      </w:r>
      <w:r>
        <w:rPr>
          <w:sz w:val="20"/>
        </w:rPr>
        <w:t>the promisee, not by the third party, so that there was no need to consider the 1999 Act.</w:t>
      </w:r>
    </w:p>
    <w:p>
      <w:pPr>
        <w:pStyle w:val="BodyText"/>
        <w:spacing w:before="4"/>
      </w:pPr>
    </w:p>
    <w:p>
      <w:pPr>
        <w:pStyle w:val="BodyText"/>
        <w:tabs>
          <w:tab w:pos="705" w:val="left" w:leader="none"/>
        </w:tabs>
        <w:spacing w:before="1"/>
        <w:ind w:left="165"/>
      </w:pPr>
      <w:bookmarkStart w:name="_bookmark1264" w:id="1266"/>
      <w:bookmarkEnd w:id="1266"/>
      <w:r>
        <w:rPr/>
      </w:r>
      <w:hyperlink w:history="true" w:anchor="_bookmark1105">
        <w:r>
          <w:rPr>
            <w:color w:val="005DA1"/>
            <w:spacing w:val="-4"/>
            <w:position w:val="5"/>
            <w:sz w:val="14"/>
            <w:u w:val="single" w:color="005DA1"/>
          </w:rPr>
          <w:t>586</w:t>
        </w:r>
      </w:hyperlink>
      <w:r>
        <w:rPr>
          <w:spacing w:val="-4"/>
          <w:position w:val="5"/>
          <w:sz w:val="14"/>
        </w:rPr>
        <w:t>.</w:t>
      </w:r>
      <w:r>
        <w:rPr>
          <w:position w:val="5"/>
          <w:sz w:val="14"/>
        </w:rPr>
        <w:tab/>
      </w:r>
      <w:r>
        <w:rPr/>
        <w:t>s.1(1) (“a person who is not a party </w:t>
      </w:r>
      <w:r>
        <w:rPr>
          <w:spacing w:val="-4"/>
        </w:rPr>
        <w:t>…”).</w:t>
      </w:r>
    </w:p>
    <w:p>
      <w:pPr>
        <w:pStyle w:val="BodyText"/>
        <w:spacing w:before="4"/>
      </w:pPr>
    </w:p>
    <w:p>
      <w:pPr>
        <w:tabs>
          <w:tab w:pos="705" w:val="left" w:leader="none"/>
        </w:tabs>
        <w:spacing w:before="1"/>
        <w:ind w:left="165" w:right="0" w:firstLine="0"/>
        <w:jc w:val="left"/>
        <w:rPr>
          <w:sz w:val="20"/>
        </w:rPr>
      </w:pPr>
      <w:bookmarkStart w:name="_bookmark1265" w:id="1267"/>
      <w:bookmarkEnd w:id="1267"/>
      <w:r>
        <w:rPr/>
      </w:r>
      <w:hyperlink w:history="true" w:anchor="_bookmark1106">
        <w:r>
          <w:rPr>
            <w:color w:val="005DA1"/>
            <w:spacing w:val="-4"/>
            <w:position w:val="5"/>
            <w:sz w:val="14"/>
            <w:u w:val="single" w:color="005DA1"/>
          </w:rPr>
          <w:t>587</w:t>
        </w:r>
      </w:hyperlink>
      <w:r>
        <w:rPr>
          <w:spacing w:val="-4"/>
          <w:position w:val="5"/>
          <w:sz w:val="14"/>
        </w:rPr>
        <w:t>.</w:t>
      </w:r>
      <w:r>
        <w:rPr>
          <w:position w:val="5"/>
          <w:sz w:val="14"/>
        </w:rPr>
        <w:tab/>
      </w:r>
      <w:r>
        <w:rPr>
          <w:sz w:val="20"/>
        </w:rPr>
        <w:t>Above, para.15-</w:t>
      </w:r>
      <w:r>
        <w:rPr>
          <w:spacing w:val="-4"/>
          <w:sz w:val="20"/>
        </w:rPr>
        <w:t>050.</w:t>
      </w:r>
    </w:p>
    <w:p>
      <w:pPr>
        <w:pStyle w:val="BodyText"/>
        <w:spacing w:before="5"/>
      </w:pPr>
    </w:p>
    <w:p>
      <w:pPr>
        <w:pStyle w:val="BodyText"/>
        <w:tabs>
          <w:tab w:pos="705" w:val="left" w:leader="none"/>
        </w:tabs>
        <w:ind w:left="165"/>
      </w:pPr>
      <w:bookmarkStart w:name="_bookmark1266" w:id="1268"/>
      <w:bookmarkEnd w:id="1268"/>
      <w:r>
        <w:rPr/>
      </w:r>
      <w:hyperlink w:history="true" w:anchor="_bookmark1107">
        <w:r>
          <w:rPr>
            <w:color w:val="005DA1"/>
            <w:spacing w:val="-4"/>
            <w:position w:val="5"/>
            <w:sz w:val="14"/>
            <w:u w:val="single" w:color="005DA1"/>
          </w:rPr>
          <w:t>588</w:t>
        </w:r>
      </w:hyperlink>
      <w:r>
        <w:rPr>
          <w:spacing w:val="-4"/>
          <w:position w:val="5"/>
          <w:sz w:val="14"/>
        </w:rPr>
        <w:t>.</w:t>
      </w:r>
      <w:r>
        <w:rPr>
          <w:position w:val="5"/>
          <w:sz w:val="14"/>
        </w:rPr>
        <w:tab/>
      </w:r>
      <w:r>
        <w:rPr/>
        <w:t>s.1(1); see especially ss.2 and 3, below paras 18-103-18-</w:t>
      </w:r>
      <w:r>
        <w:rPr>
          <w:spacing w:val="-4"/>
        </w:rPr>
        <w:t>115.</w:t>
      </w:r>
    </w:p>
    <w:p>
      <w:pPr>
        <w:pStyle w:val="BodyText"/>
        <w:spacing w:before="5"/>
      </w:pPr>
    </w:p>
    <w:p>
      <w:pPr>
        <w:tabs>
          <w:tab w:pos="705" w:val="left" w:leader="none"/>
        </w:tabs>
        <w:spacing w:before="0"/>
        <w:ind w:left="165" w:right="0" w:firstLine="0"/>
        <w:jc w:val="left"/>
        <w:rPr>
          <w:sz w:val="20"/>
        </w:rPr>
      </w:pPr>
      <w:bookmarkStart w:name="_bookmark1267" w:id="1269"/>
      <w:bookmarkEnd w:id="1269"/>
      <w:r>
        <w:rPr/>
      </w:r>
      <w:hyperlink w:history="true" w:anchor="_bookmark1108">
        <w:r>
          <w:rPr>
            <w:color w:val="005DA1"/>
            <w:spacing w:val="-4"/>
            <w:position w:val="5"/>
            <w:sz w:val="14"/>
            <w:u w:val="single" w:color="005DA1"/>
          </w:rPr>
          <w:t>589</w:t>
        </w:r>
      </w:hyperlink>
      <w:r>
        <w:rPr>
          <w:spacing w:val="-4"/>
          <w:position w:val="5"/>
          <w:sz w:val="14"/>
        </w:rPr>
        <w:t>.</w:t>
      </w:r>
      <w:r>
        <w:rPr>
          <w:position w:val="5"/>
          <w:sz w:val="14"/>
        </w:rPr>
        <w:tab/>
      </w:r>
      <w:r>
        <w:rPr>
          <w:sz w:val="20"/>
        </w:rPr>
        <w:t>1999 Act, </w:t>
      </w:r>
      <w:r>
        <w:rPr>
          <w:spacing w:val="-2"/>
          <w:sz w:val="20"/>
        </w:rPr>
        <w:t>s.7(1).</w:t>
      </w:r>
    </w:p>
    <w:p>
      <w:pPr>
        <w:pStyle w:val="BodyText"/>
        <w:spacing w:before="5"/>
      </w:pPr>
    </w:p>
    <w:p>
      <w:pPr>
        <w:pStyle w:val="BodyText"/>
        <w:tabs>
          <w:tab w:pos="705" w:val="left" w:leader="none"/>
        </w:tabs>
        <w:ind w:left="165"/>
      </w:pPr>
      <w:bookmarkStart w:name="_bookmark1268" w:id="1270"/>
      <w:bookmarkEnd w:id="1270"/>
      <w:r>
        <w:rPr/>
      </w:r>
      <w:hyperlink w:history="true" w:anchor="_bookmark1108">
        <w:r>
          <w:rPr>
            <w:color w:val="005DA1"/>
            <w:spacing w:val="-4"/>
            <w:position w:val="5"/>
            <w:sz w:val="14"/>
            <w:u w:val="single" w:color="005DA1"/>
          </w:rPr>
          <w:t>590</w:t>
        </w:r>
      </w:hyperlink>
      <w:r>
        <w:rPr>
          <w:spacing w:val="-4"/>
          <w:position w:val="5"/>
          <w:sz w:val="14"/>
        </w:rPr>
        <w:t>.</w:t>
      </w:r>
      <w:r>
        <w:rPr>
          <w:position w:val="5"/>
          <w:sz w:val="14"/>
        </w:rPr>
        <w:tab/>
      </w:r>
      <w:r>
        <w:rPr/>
        <w:t>See n.557, above; and see para.18-117 </w:t>
      </w:r>
      <w:r>
        <w:rPr>
          <w:spacing w:val="-2"/>
        </w:rPr>
        <w:t>below.</w:t>
      </w:r>
    </w:p>
    <w:p>
      <w:pPr>
        <w:pStyle w:val="BodyText"/>
        <w:spacing w:before="8"/>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78816">
            <wp:simplePos x="0" y="0"/>
            <wp:positionH relativeFrom="page">
              <wp:posOffset>1257846</wp:posOffset>
            </wp:positionH>
            <wp:positionV relativeFrom="paragraph">
              <wp:posOffset>160723</wp:posOffset>
            </wp:positionV>
            <wp:extent cx="107988" cy="107988"/>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69" w:id="1271"/>
      <w:bookmarkEnd w:id="1271"/>
      <w:r>
        <w:rPr/>
      </w:r>
      <w:hyperlink w:history="true" w:anchor="_bookmark1109">
        <w:r>
          <w:rPr>
            <w:color w:val="005DA1"/>
            <w:spacing w:val="-4"/>
            <w:sz w:val="14"/>
            <w:u w:val="single" w:color="005DA1"/>
          </w:rPr>
          <w:t>591</w:t>
        </w:r>
      </w:hyperlink>
      <w:r>
        <w:rPr>
          <w:spacing w:val="-4"/>
          <w:sz w:val="14"/>
        </w:rPr>
        <w:t>.</w:t>
      </w:r>
    </w:p>
    <w:p>
      <w:pPr>
        <w:pStyle w:val="BodyText"/>
        <w:spacing w:line="235" w:lineRule="auto" w:before="213"/>
        <w:ind w:left="165" w:right="167" w:firstLine="170"/>
        <w:jc w:val="both"/>
      </w:pPr>
      <w:r>
        <w:rPr/>
        <w:br w:type="column"/>
      </w:r>
      <w:r>
        <w:rPr/>
        <w:t>A term may purport to confer a benefit on C even though it is also for the benefit of B. </w:t>
      </w:r>
      <w:r>
        <w:rPr/>
        <w:t>This was held to be the position in </w:t>
      </w:r>
      <w:r>
        <w:rPr>
          <w:rFonts w:ascii="Arial" w:hAnsi="Arial"/>
          <w:i/>
        </w:rPr>
        <w:t>Cavanagh v Secretary of State for Work and Pensions [2016] EWHC 1136 (QB)</w:t>
      </w:r>
      <w:r>
        <w:rPr/>
        <w:t>, where a contract of employment contained a term by which the employer promised the employee to make specified deductions from the employee’s pay and to pay</w:t>
      </w:r>
      <w:r>
        <w:rPr>
          <w:spacing w:val="40"/>
        </w:rPr>
        <w:t> </w:t>
      </w:r>
      <w:r>
        <w:rPr/>
        <w:t>these deductions to the employee’s trade union. It was held that this term was enforceable against the employer by the union: the term purported to confer a benefit on the union even though it could also be said to benefit the employee.</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79328">
            <wp:simplePos x="0" y="0"/>
            <wp:positionH relativeFrom="page">
              <wp:posOffset>1257846</wp:posOffset>
            </wp:positionH>
            <wp:positionV relativeFrom="paragraph">
              <wp:posOffset>160308</wp:posOffset>
            </wp:positionV>
            <wp:extent cx="107988" cy="107988"/>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270" w:id="1272"/>
      <w:bookmarkEnd w:id="1272"/>
      <w:r>
        <w:rPr/>
      </w:r>
      <w:hyperlink w:history="true" w:anchor="_bookmark1110">
        <w:r>
          <w:rPr>
            <w:color w:val="005DA1"/>
            <w:spacing w:val="-4"/>
            <w:sz w:val="14"/>
            <w:u w:val="single" w:color="005DA1"/>
          </w:rPr>
          <w:t>592</w:t>
        </w:r>
      </w:hyperlink>
      <w:r>
        <w:rPr>
          <w:spacing w:val="-4"/>
          <w:sz w:val="14"/>
        </w:rPr>
        <w:t>.</w:t>
      </w:r>
    </w:p>
    <w:p>
      <w:pPr>
        <w:pStyle w:val="BodyText"/>
        <w:spacing w:line="235" w:lineRule="auto" w:before="212"/>
        <w:ind w:left="165" w:right="167" w:firstLine="170"/>
        <w:jc w:val="both"/>
      </w:pPr>
      <w:r>
        <w:rPr/>
        <w:br w:type="column"/>
      </w:r>
      <w:r>
        <w:rPr/>
        <w:t>See </w:t>
      </w:r>
      <w:r>
        <w:rPr>
          <w:rFonts w:ascii="Arial"/>
          <w:i/>
        </w:rPr>
        <w:t>Royal Bank of Scotland Plc v McCarthy [2015] EWHC 3626 (QB)</w:t>
      </w:r>
      <w:r>
        <w:rPr/>
        <w:t>, where an alternative ground for the decision (i.e., alternative to that stated in note 569 below) was that the fact that the third party had other remedies than enforcement of the term in the contract between A </w:t>
      </w:r>
      <w:r>
        <w:rPr/>
        <w:t>and</w:t>
      </w:r>
      <w:r>
        <w:rPr>
          <w:spacing w:val="40"/>
        </w:rPr>
        <w:t> </w:t>
      </w:r>
      <w:r>
        <w:rPr/>
        <w:t>B</w:t>
      </w:r>
      <w:r>
        <w:rPr>
          <w:spacing w:val="3"/>
        </w:rPr>
        <w:t> </w:t>
      </w:r>
      <w:r>
        <w:rPr/>
        <w:t>indicated</w:t>
      </w:r>
      <w:r>
        <w:rPr>
          <w:spacing w:val="3"/>
        </w:rPr>
        <w:t> </w:t>
      </w:r>
      <w:r>
        <w:rPr/>
        <w:t>that</w:t>
      </w:r>
      <w:r>
        <w:rPr>
          <w:spacing w:val="3"/>
        </w:rPr>
        <w:t> </w:t>
      </w:r>
      <w:r>
        <w:rPr/>
        <w:t>A</w:t>
      </w:r>
      <w:r>
        <w:rPr>
          <w:spacing w:val="3"/>
        </w:rPr>
        <w:t> </w:t>
      </w:r>
      <w:r>
        <w:rPr/>
        <w:t>and</w:t>
      </w:r>
      <w:r>
        <w:rPr>
          <w:spacing w:val="3"/>
        </w:rPr>
        <w:t> </w:t>
      </w:r>
      <w:r>
        <w:rPr/>
        <w:t>B</w:t>
      </w:r>
      <w:r>
        <w:rPr>
          <w:spacing w:val="3"/>
        </w:rPr>
        <w:t> </w:t>
      </w:r>
      <w:r>
        <w:rPr/>
        <w:t>did</w:t>
      </w:r>
      <w:r>
        <w:rPr>
          <w:spacing w:val="3"/>
        </w:rPr>
        <w:t> </w:t>
      </w:r>
      <w:r>
        <w:rPr/>
        <w:t>not</w:t>
      </w:r>
      <w:r>
        <w:rPr>
          <w:spacing w:val="3"/>
        </w:rPr>
        <w:t> </w:t>
      </w:r>
      <w:r>
        <w:rPr/>
        <w:t>intend</w:t>
      </w:r>
      <w:r>
        <w:rPr>
          <w:spacing w:val="3"/>
        </w:rPr>
        <w:t> </w:t>
      </w:r>
      <w:r>
        <w:rPr/>
        <w:t>the</w:t>
      </w:r>
      <w:r>
        <w:rPr>
          <w:spacing w:val="3"/>
        </w:rPr>
        <w:t> </w:t>
      </w:r>
      <w:r>
        <w:rPr/>
        <w:t>term</w:t>
      </w:r>
      <w:r>
        <w:rPr>
          <w:spacing w:val="3"/>
        </w:rPr>
        <w:t> </w:t>
      </w:r>
      <w:r>
        <w:rPr/>
        <w:t>in</w:t>
      </w:r>
      <w:r>
        <w:rPr>
          <w:spacing w:val="3"/>
        </w:rPr>
        <w:t> </w:t>
      </w:r>
      <w:r>
        <w:rPr/>
        <w:t>the</w:t>
      </w:r>
      <w:r>
        <w:rPr>
          <w:spacing w:val="3"/>
        </w:rPr>
        <w:t> </w:t>
      </w:r>
      <w:r>
        <w:rPr/>
        <w:t>contract</w:t>
      </w:r>
      <w:r>
        <w:rPr>
          <w:spacing w:val="3"/>
        </w:rPr>
        <w:t> </w:t>
      </w:r>
      <w:r>
        <w:rPr/>
        <w:t>between</w:t>
      </w:r>
      <w:r>
        <w:rPr>
          <w:spacing w:val="3"/>
        </w:rPr>
        <w:t> </w:t>
      </w:r>
      <w:r>
        <w:rPr/>
        <w:t>them</w:t>
      </w:r>
      <w:r>
        <w:rPr>
          <w:spacing w:val="3"/>
        </w:rPr>
        <w:t> </w:t>
      </w:r>
      <w:r>
        <w:rPr/>
        <w:t>to</w:t>
      </w:r>
      <w:r>
        <w:rPr>
          <w:spacing w:val="3"/>
        </w:rPr>
        <w:t> </w:t>
      </w:r>
      <w:r>
        <w:rPr/>
        <w:t>be</w:t>
      </w:r>
      <w:r>
        <w:rPr>
          <w:spacing w:val="3"/>
        </w:rPr>
        <w:t> </w:t>
      </w:r>
      <w:r>
        <w:rPr>
          <w:spacing w:val="-2"/>
        </w:rPr>
        <w:t>enforceable</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24"/>
      </w:pPr>
    </w:p>
    <w:p>
      <w:pPr>
        <w:pStyle w:val="BodyText"/>
        <w:spacing w:line="235" w:lineRule="auto" w:before="1"/>
        <w:ind w:left="705" w:right="167"/>
        <w:jc w:val="both"/>
      </w:pPr>
      <w:r>
        <w:rPr/>
        <w:t>by C (at [143]), so that C’s claim under the Contracts (Rights of Third Parties) Act failed </w:t>
      </w:r>
      <w:r>
        <w:rPr/>
        <w:t>by</w:t>
      </w:r>
      <w:r>
        <w:rPr>
          <w:spacing w:val="40"/>
        </w:rPr>
        <w:t> </w:t>
      </w:r>
      <w:r>
        <w:rPr/>
        <w:t>virtue of s. 1(2) of that Act. For an apparent doubt whether this provision had been satisfied,</w:t>
      </w:r>
      <w:r>
        <w:rPr>
          <w:spacing w:val="40"/>
        </w:rPr>
        <w:t> </w:t>
      </w:r>
      <w:r>
        <w:rPr/>
        <w:t>see </w:t>
      </w:r>
      <w:r>
        <w:rPr>
          <w:rFonts w:ascii="Arial" w:hAnsi="Arial"/>
          <w:i/>
        </w:rPr>
        <w:t>Avraamides v Colwill [2006] EWCA Civ 1553, [2007] B.L.R. 76 </w:t>
      </w:r>
      <w:r>
        <w:rPr/>
        <w:t>at [20]; the actual decision turned on s.1(3) of the 1999 Act (see below, paras 18-097, 18-098).</w:t>
      </w:r>
    </w:p>
    <w:p>
      <w:pPr>
        <w:pStyle w:val="BodyText"/>
        <w:spacing w:before="8"/>
      </w:pPr>
    </w:p>
    <w:p>
      <w:pPr>
        <w:spacing w:line="235" w:lineRule="auto" w:before="0"/>
        <w:ind w:left="705" w:right="168" w:hanging="541"/>
        <w:jc w:val="both"/>
        <w:rPr>
          <w:sz w:val="20"/>
        </w:rPr>
      </w:pPr>
      <w:bookmarkStart w:name="_bookmark1271" w:id="1273"/>
      <w:bookmarkEnd w:id="1273"/>
      <w:r>
        <w:rPr/>
      </w:r>
      <w:hyperlink w:history="true" w:anchor="_bookmark1111">
        <w:r>
          <w:rPr>
            <w:color w:val="005DA1"/>
            <w:position w:val="5"/>
            <w:sz w:val="14"/>
            <w:u w:val="single" w:color="005DA1"/>
          </w:rPr>
          <w:t>593</w:t>
        </w:r>
      </w:hyperlink>
      <w:r>
        <w:rPr>
          <w:position w:val="5"/>
          <w:sz w:val="14"/>
        </w:rPr>
        <w:t>.</w:t>
      </w:r>
      <w:r>
        <w:rPr>
          <w:spacing w:val="80"/>
          <w:w w:val="150"/>
          <w:position w:val="5"/>
          <w:sz w:val="14"/>
        </w:rPr>
        <w:t> </w:t>
      </w:r>
      <w:r>
        <w:rPr>
          <w:rFonts w:ascii="Arial" w:hAnsi="Arial"/>
          <w:i/>
          <w:sz w:val="20"/>
        </w:rPr>
        <w:t>Prudential Assurance Co Ltd v Ayres [2007] EWHC 775 (Ch), [2007] 3 All E.R. 946 at [28], reversed [2008] EWCA Civ 52, [2008] 1 All E.R. 1266 </w:t>
      </w:r>
      <w:r>
        <w:rPr>
          <w:sz w:val="20"/>
        </w:rPr>
        <w:t>on the different ground that the contract, on its true construction, purported, not to </w:t>
      </w:r>
      <w:r>
        <w:rPr>
          <w:rFonts w:ascii="Arial" w:hAnsi="Arial"/>
          <w:i/>
          <w:sz w:val="20"/>
        </w:rPr>
        <w:t>benefit </w:t>
      </w:r>
      <w:r>
        <w:rPr>
          <w:sz w:val="20"/>
        </w:rPr>
        <w:t>C, but to </w:t>
      </w:r>
      <w:r>
        <w:rPr>
          <w:rFonts w:ascii="Arial" w:hAnsi="Arial"/>
          <w:i/>
          <w:sz w:val="20"/>
        </w:rPr>
        <w:t>restrict </w:t>
      </w:r>
      <w:r>
        <w:rPr>
          <w:sz w:val="20"/>
        </w:rPr>
        <w:t>C’s rights.</w:t>
      </w:r>
    </w:p>
    <w:p>
      <w:pPr>
        <w:pStyle w:val="BodyText"/>
        <w:spacing w:before="5"/>
      </w:pPr>
    </w:p>
    <w:p>
      <w:pPr>
        <w:tabs>
          <w:tab w:pos="705" w:val="left" w:leader="none"/>
        </w:tabs>
        <w:spacing w:before="0"/>
        <w:ind w:left="165" w:right="0" w:firstLine="0"/>
        <w:jc w:val="left"/>
        <w:rPr>
          <w:sz w:val="20"/>
        </w:rPr>
      </w:pPr>
      <w:bookmarkStart w:name="_bookmark1272" w:id="1274"/>
      <w:bookmarkEnd w:id="1274"/>
      <w:r>
        <w:rPr/>
      </w:r>
      <w:hyperlink w:history="true" w:anchor="_bookmark1112">
        <w:r>
          <w:rPr>
            <w:color w:val="005DA1"/>
            <w:spacing w:val="-4"/>
            <w:position w:val="5"/>
            <w:sz w:val="14"/>
            <w:u w:val="single" w:color="005DA1"/>
          </w:rPr>
          <w:t>594</w:t>
        </w:r>
      </w:hyperlink>
      <w:r>
        <w:rPr>
          <w:spacing w:val="-4"/>
          <w:position w:val="5"/>
          <w:sz w:val="14"/>
        </w:rPr>
        <w:t>.</w:t>
      </w:r>
      <w:r>
        <w:rPr>
          <w:position w:val="5"/>
          <w:sz w:val="14"/>
        </w:rPr>
        <w:tab/>
      </w:r>
      <w:r>
        <w:rPr>
          <w:rFonts w:ascii="Arial"/>
          <w:i/>
          <w:sz w:val="20"/>
        </w:rPr>
        <w:t>[2007]</w:t>
      </w:r>
      <w:r>
        <w:rPr>
          <w:rFonts w:ascii="Arial"/>
          <w:i/>
          <w:spacing w:val="-2"/>
          <w:sz w:val="20"/>
        </w:rPr>
        <w:t> </w:t>
      </w:r>
      <w:r>
        <w:rPr>
          <w:rFonts w:ascii="Arial"/>
          <w:i/>
          <w:sz w:val="20"/>
        </w:rPr>
        <w:t>EWHC 775</w:t>
      </w:r>
      <w:r>
        <w:rPr>
          <w:rFonts w:ascii="Arial"/>
          <w:i/>
          <w:spacing w:val="-1"/>
          <w:sz w:val="20"/>
        </w:rPr>
        <w:t> </w:t>
      </w:r>
      <w:r>
        <w:rPr>
          <w:sz w:val="20"/>
        </w:rPr>
        <w:t>at </w:t>
      </w:r>
      <w:r>
        <w:rPr>
          <w:spacing w:val="-2"/>
          <w:sz w:val="20"/>
        </w:rPr>
        <w:t>[28].</w:t>
      </w:r>
    </w:p>
    <w:p>
      <w:pPr>
        <w:pStyle w:val="BodyText"/>
        <w:spacing w:before="9"/>
      </w:pPr>
    </w:p>
    <w:p>
      <w:pPr>
        <w:spacing w:line="235" w:lineRule="auto" w:before="0"/>
        <w:ind w:left="705" w:right="167" w:hanging="541"/>
        <w:jc w:val="both"/>
        <w:rPr>
          <w:sz w:val="20"/>
        </w:rPr>
      </w:pPr>
      <w:bookmarkStart w:name="_bookmark1273" w:id="1275"/>
      <w:bookmarkEnd w:id="1275"/>
      <w:r>
        <w:rPr/>
      </w:r>
      <w:hyperlink w:history="true" w:anchor="_bookmark1113">
        <w:r>
          <w:rPr>
            <w:color w:val="005DA1"/>
            <w:position w:val="5"/>
            <w:sz w:val="14"/>
            <w:u w:val="single" w:color="005DA1"/>
          </w:rPr>
          <w:t>595</w:t>
        </w:r>
      </w:hyperlink>
      <w:r>
        <w:rPr>
          <w:position w:val="5"/>
          <w:sz w:val="14"/>
        </w:rPr>
        <w:t>.</w:t>
      </w:r>
      <w:r>
        <w:rPr>
          <w:spacing w:val="80"/>
          <w:w w:val="150"/>
          <w:position w:val="5"/>
          <w:sz w:val="14"/>
        </w:rPr>
        <w:t> </w:t>
      </w:r>
      <w:r>
        <w:rPr>
          <w:rFonts w:ascii="Arial" w:hAnsi="Arial"/>
          <w:i/>
          <w:sz w:val="20"/>
        </w:rPr>
        <w:t>Dolphin Maritime and Aviation Services Ltd v Sveriges Angfartygs Forening [2009] EWHC </w:t>
      </w:r>
      <w:r>
        <w:rPr>
          <w:rFonts w:ascii="Arial" w:hAnsi="Arial"/>
          <w:i/>
          <w:sz w:val="20"/>
        </w:rPr>
        <w:t>716 (Comm), [2009] 2 Lloyd’s Rep. 123 </w:t>
      </w:r>
      <w:r>
        <w:rPr>
          <w:sz w:val="20"/>
        </w:rPr>
        <w:t>(below, para.18-095) at [74] (“A contract does not purport to confer a benefit on a third party simply because the position of the third party will be improved if the contract is performed”); cf. </w:t>
      </w:r>
      <w:r>
        <w:rPr>
          <w:rFonts w:ascii="Arial" w:hAnsi="Arial"/>
          <w:i/>
          <w:sz w:val="20"/>
        </w:rPr>
        <w:t>Petrologic Capital SA v Banque Cantonale de Geneve [2012] EWHC 453 (Comm)</w:t>
      </w:r>
      <w:r>
        <w:rPr>
          <w:sz w:val="20"/>
        </w:rPr>
        <w:t>, where a letter of credit issued by A (a bank) to B (a seller of goods) contained a Swiss law and jurisdiction clause and it was held that this clause was not enforceable by C (the applicant for the letter of credit) as the clause was intended to govern the relation between A and B (at [53]) and as that contract did not purport to confer the benefit of</w:t>
      </w:r>
      <w:r>
        <w:rPr>
          <w:spacing w:val="40"/>
          <w:sz w:val="20"/>
        </w:rPr>
        <w:t> </w:t>
      </w:r>
      <w:r>
        <w:rPr>
          <w:sz w:val="20"/>
        </w:rPr>
        <w:t>the clause on C (at [54]).</w:t>
      </w:r>
    </w:p>
    <w:p>
      <w:pPr>
        <w:pStyle w:val="BodyText"/>
        <w:spacing w:before="7"/>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bookmarkStart w:name="_bookmark1274" w:id="1276"/>
      <w:bookmarkEnd w:id="1276"/>
      <w:r>
        <w:rPr/>
      </w:r>
      <w:hyperlink w:history="true" w:anchor="_bookmark1114">
        <w:r>
          <w:rPr>
            <w:color w:val="005DA1"/>
            <w:spacing w:val="-4"/>
            <w:sz w:val="14"/>
            <w:u w:val="single" w:color="005DA1"/>
          </w:rPr>
          <w:t>596</w:t>
        </w:r>
      </w:hyperlink>
      <w:r>
        <w:rPr>
          <w:spacing w:val="-4"/>
          <w:sz w:val="14"/>
        </w:rPr>
        <w:t>.</w:t>
      </w:r>
    </w:p>
    <w:p>
      <w:pPr>
        <w:spacing w:line="227" w:lineRule="exact" w:before="208"/>
        <w:ind w:left="335" w:right="0" w:firstLine="0"/>
        <w:jc w:val="left"/>
        <w:rPr>
          <w:rFonts w:ascii="Arial"/>
          <w:i/>
          <w:sz w:val="20"/>
        </w:rPr>
      </w:pPr>
      <w:r>
        <w:rPr/>
        <w:br w:type="column"/>
      </w:r>
      <w:r>
        <w:rPr>
          <w:rFonts w:ascii="Arial"/>
          <w:i/>
          <w:sz w:val="20"/>
        </w:rPr>
        <w:t>Nisshin</w:t>
      </w:r>
      <w:r>
        <w:rPr>
          <w:rFonts w:ascii="Arial"/>
          <w:i/>
          <w:spacing w:val="18"/>
          <w:sz w:val="20"/>
        </w:rPr>
        <w:t> </w:t>
      </w:r>
      <w:r>
        <w:rPr>
          <w:rFonts w:ascii="Arial"/>
          <w:i/>
          <w:sz w:val="20"/>
        </w:rPr>
        <w:t>Shipping</w:t>
      </w:r>
      <w:r>
        <w:rPr>
          <w:rFonts w:ascii="Arial"/>
          <w:i/>
          <w:spacing w:val="18"/>
          <w:sz w:val="20"/>
        </w:rPr>
        <w:t> </w:t>
      </w:r>
      <w:r>
        <w:rPr>
          <w:rFonts w:ascii="Arial"/>
          <w:i/>
          <w:sz w:val="20"/>
        </w:rPr>
        <w:t>Co</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Cleaves</w:t>
      </w:r>
      <w:r>
        <w:rPr>
          <w:rFonts w:ascii="Arial"/>
          <w:i/>
          <w:spacing w:val="18"/>
          <w:sz w:val="20"/>
        </w:rPr>
        <w:t> </w:t>
      </w:r>
      <w:r>
        <w:rPr>
          <w:rFonts w:ascii="Arial"/>
          <w:i/>
          <w:sz w:val="20"/>
        </w:rPr>
        <w:t>&amp;</w:t>
      </w:r>
      <w:r>
        <w:rPr>
          <w:rFonts w:ascii="Arial"/>
          <w:i/>
          <w:spacing w:val="18"/>
          <w:sz w:val="20"/>
        </w:rPr>
        <w:t> </w:t>
      </w:r>
      <w:r>
        <w:rPr>
          <w:rFonts w:ascii="Arial"/>
          <w:i/>
          <w:sz w:val="20"/>
        </w:rPr>
        <w:t>Co</w:t>
      </w:r>
      <w:r>
        <w:rPr>
          <w:rFonts w:ascii="Arial"/>
          <w:i/>
          <w:spacing w:val="18"/>
          <w:sz w:val="20"/>
        </w:rPr>
        <w:t> </w:t>
      </w:r>
      <w:r>
        <w:rPr>
          <w:rFonts w:ascii="Arial"/>
          <w:i/>
          <w:sz w:val="20"/>
        </w:rPr>
        <w:t>Ltd</w:t>
      </w:r>
      <w:r>
        <w:rPr>
          <w:rFonts w:ascii="Arial"/>
          <w:i/>
          <w:spacing w:val="18"/>
          <w:sz w:val="20"/>
        </w:rPr>
        <w:t> </w:t>
      </w:r>
      <w:r>
        <w:rPr>
          <w:rFonts w:ascii="Arial"/>
          <w:i/>
          <w:sz w:val="20"/>
        </w:rPr>
        <w:t>[2003]</w:t>
      </w:r>
      <w:r>
        <w:rPr>
          <w:rFonts w:ascii="Arial"/>
          <w:i/>
          <w:spacing w:val="18"/>
          <w:sz w:val="20"/>
        </w:rPr>
        <w:t> </w:t>
      </w:r>
      <w:r>
        <w:rPr>
          <w:rFonts w:ascii="Arial"/>
          <w:i/>
          <w:sz w:val="20"/>
        </w:rPr>
        <w:t>EWHC</w:t>
      </w:r>
      <w:r>
        <w:rPr>
          <w:rFonts w:ascii="Arial"/>
          <w:i/>
          <w:spacing w:val="18"/>
          <w:sz w:val="20"/>
        </w:rPr>
        <w:t> </w:t>
      </w:r>
      <w:r>
        <w:rPr>
          <w:rFonts w:ascii="Arial"/>
          <w:i/>
          <w:sz w:val="20"/>
        </w:rPr>
        <w:t>2602,</w:t>
      </w:r>
      <w:r>
        <w:rPr>
          <w:rFonts w:ascii="Arial"/>
          <w:i/>
          <w:spacing w:val="18"/>
          <w:sz w:val="20"/>
        </w:rPr>
        <w:t> </w:t>
      </w:r>
      <w:r>
        <w:rPr>
          <w:rFonts w:ascii="Arial"/>
          <w:i/>
          <w:sz w:val="20"/>
        </w:rPr>
        <w:t>[2004]</w:t>
      </w:r>
      <w:r>
        <w:rPr>
          <w:rFonts w:ascii="Arial"/>
          <w:i/>
          <w:spacing w:val="18"/>
          <w:sz w:val="20"/>
        </w:rPr>
        <w:t> </w:t>
      </w:r>
      <w:r>
        <w:rPr>
          <w:rFonts w:ascii="Arial"/>
          <w:i/>
          <w:sz w:val="20"/>
        </w:rPr>
        <w:t>1</w:t>
      </w:r>
      <w:r>
        <w:rPr>
          <w:rFonts w:ascii="Arial"/>
          <w:i/>
          <w:spacing w:val="18"/>
          <w:sz w:val="20"/>
        </w:rPr>
        <w:t> </w:t>
      </w:r>
      <w:r>
        <w:rPr>
          <w:rFonts w:ascii="Arial"/>
          <w:i/>
          <w:sz w:val="20"/>
        </w:rPr>
        <w:t>All</w:t>
      </w:r>
      <w:r>
        <w:rPr>
          <w:rFonts w:ascii="Arial"/>
          <w:i/>
          <w:spacing w:val="18"/>
          <w:sz w:val="20"/>
        </w:rPr>
        <w:t> </w:t>
      </w:r>
      <w:r>
        <w:rPr>
          <w:rFonts w:ascii="Arial"/>
          <w:i/>
          <w:sz w:val="20"/>
        </w:rPr>
        <w:t>E.R.</w:t>
      </w:r>
      <w:r>
        <w:rPr>
          <w:rFonts w:ascii="Arial"/>
          <w:i/>
          <w:spacing w:val="18"/>
          <w:sz w:val="20"/>
        </w:rPr>
        <w:t> </w:t>
      </w:r>
      <w:r>
        <w:rPr>
          <w:rFonts w:ascii="Arial"/>
          <w:i/>
          <w:spacing w:val="-2"/>
          <w:sz w:val="20"/>
        </w:rPr>
        <w:t>(Comm)</w:t>
      </w:r>
    </w:p>
    <w:p>
      <w:pPr>
        <w:pStyle w:val="BodyText"/>
        <w:spacing w:line="235" w:lineRule="auto" w:before="1"/>
        <w:ind w:left="165" w:right="167"/>
        <w:jc w:val="both"/>
      </w:pPr>
      <w:r>
        <w:rPr/>
        <w:drawing>
          <wp:anchor distT="0" distB="0" distL="0" distR="0" allowOverlap="1" layoutInCell="1" locked="0" behindDoc="0" simplePos="0" relativeHeight="15779840">
            <wp:simplePos x="0" y="0"/>
            <wp:positionH relativeFrom="page">
              <wp:posOffset>1257846</wp:posOffset>
            </wp:positionH>
            <wp:positionV relativeFrom="paragraph">
              <wp:posOffset>-116370</wp:posOffset>
            </wp:positionV>
            <wp:extent cx="107988" cy="107988"/>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rPr>
        <w:t>481</w:t>
      </w:r>
      <w:r>
        <w:rPr/>
        <w:t>. Even if, on its true construction, the term was intended by A and B to confer </w:t>
      </w:r>
      <w:r>
        <w:rPr>
          <w:rFonts w:ascii="Arial" w:hAnsi="Arial"/>
          <w:i/>
        </w:rPr>
        <w:t>some </w:t>
      </w:r>
      <w:r>
        <w:rPr/>
        <w:t>benefit on C, a further question of construction could arise whether that benefit was the one claimed by C: see </w:t>
      </w:r>
      <w:r>
        <w:rPr>
          <w:rFonts w:ascii="Arial" w:hAnsi="Arial"/>
          <w:i/>
        </w:rPr>
        <w:t>Hurley Palmer Flatt Ltd v Barclays Bank plc [2014] EWHC 3042 (TCC), [2015] Bus. </w:t>
      </w:r>
      <w:r>
        <w:rPr>
          <w:rFonts w:ascii="Arial" w:hAnsi="Arial"/>
          <w:i/>
        </w:rPr>
        <w:t>L.R. 106</w:t>
      </w:r>
      <w:r>
        <w:rPr/>
        <w:t>, where a contract between A and B for the provision of services by B was expressed to confer rights on C (a so-called “affiliate” of A) and also contained “adjudication </w:t>
      </w:r>
      <w:r>
        <w:rPr/>
        <w:t>provisions”</w:t>
      </w:r>
      <w:r>
        <w:rPr>
          <w:spacing w:val="40"/>
        </w:rPr>
        <w:t> </w:t>
      </w:r>
      <w:r>
        <w:rPr/>
        <w:t>which C sought to invoke. The actual decision was that the rights conferred on C were </w:t>
      </w:r>
      <w:r>
        <w:rPr/>
        <w:t>certain substantive rights or defences available to A, and not “procedure rights” such as those under</w:t>
      </w:r>
      <w:r>
        <w:rPr>
          <w:spacing w:val="40"/>
        </w:rPr>
        <w:t> </w:t>
      </w:r>
      <w:r>
        <w:rPr/>
        <w:t>the “adjudication provisions” (at [22]). See also </w:t>
      </w:r>
      <w:r>
        <w:rPr>
          <w:rFonts w:ascii="Arial" w:hAnsi="Arial"/>
          <w:i/>
        </w:rPr>
        <w:t>Royal Bank of Scotland Plc v McCarthy [2015] EWHC</w:t>
      </w:r>
      <w:r>
        <w:rPr>
          <w:rFonts w:ascii="Arial" w:hAnsi="Arial"/>
          <w:i/>
          <w:spacing w:val="-1"/>
        </w:rPr>
        <w:t> </w:t>
      </w:r>
      <w:r>
        <w:rPr>
          <w:rFonts w:ascii="Arial" w:hAnsi="Arial"/>
          <w:i/>
        </w:rPr>
        <w:t>3626</w:t>
      </w:r>
      <w:r>
        <w:rPr>
          <w:rFonts w:ascii="Arial" w:hAnsi="Arial"/>
          <w:i/>
          <w:spacing w:val="-1"/>
        </w:rPr>
        <w:t> </w:t>
      </w:r>
      <w:r>
        <w:rPr>
          <w:rFonts w:ascii="Arial" w:hAnsi="Arial"/>
          <w:i/>
        </w:rPr>
        <w:t>(QB)</w:t>
      </w:r>
      <w:r>
        <w:rPr/>
        <w:t>,</w:t>
      </w:r>
      <w:r>
        <w:rPr>
          <w:spacing w:val="-1"/>
        </w:rPr>
        <w:t> </w:t>
      </w:r>
      <w:r>
        <w:rPr/>
        <w:t>where</w:t>
      </w:r>
      <w:r>
        <w:rPr>
          <w:spacing w:val="-1"/>
        </w:rPr>
        <w:t> </w:t>
      </w:r>
      <w:r>
        <w:rPr/>
        <w:t>the</w:t>
      </w:r>
      <w:r>
        <w:rPr>
          <w:spacing w:val="-1"/>
        </w:rPr>
        <w:t> </w:t>
      </w:r>
      <w:r>
        <w:rPr/>
        <w:t>mere</w:t>
      </w:r>
      <w:r>
        <w:rPr>
          <w:spacing w:val="-1"/>
        </w:rPr>
        <w:t> </w:t>
      </w:r>
      <w:r>
        <w:rPr/>
        <w:t>fact</w:t>
      </w:r>
      <w:r>
        <w:rPr>
          <w:spacing w:val="-1"/>
        </w:rPr>
        <w:t> </w:t>
      </w:r>
      <w:r>
        <w:rPr/>
        <w:t>that</w:t>
      </w:r>
      <w:r>
        <w:rPr>
          <w:spacing w:val="-1"/>
        </w:rPr>
        <w:t> </w:t>
      </w:r>
      <w:r>
        <w:rPr/>
        <w:t>a</w:t>
      </w:r>
      <w:r>
        <w:rPr>
          <w:spacing w:val="-1"/>
        </w:rPr>
        <w:t> </w:t>
      </w:r>
      <w:r>
        <w:rPr/>
        <w:t>benefit</w:t>
      </w:r>
      <w:r>
        <w:rPr>
          <w:spacing w:val="-1"/>
        </w:rPr>
        <w:t> </w:t>
      </w:r>
      <w:r>
        <w:rPr/>
        <w:t>to</w:t>
      </w:r>
      <w:r>
        <w:rPr>
          <w:spacing w:val="-1"/>
        </w:rPr>
        <w:t> </w:t>
      </w:r>
      <w:r>
        <w:rPr/>
        <w:t>the</w:t>
      </w:r>
      <w:r>
        <w:rPr>
          <w:spacing w:val="-1"/>
        </w:rPr>
        <w:t> </w:t>
      </w:r>
      <w:r>
        <w:rPr/>
        <w:t>third</w:t>
      </w:r>
      <w:r>
        <w:rPr>
          <w:spacing w:val="-1"/>
        </w:rPr>
        <w:t> </w:t>
      </w:r>
      <w:r>
        <w:rPr/>
        <w:t>party</w:t>
      </w:r>
      <w:r>
        <w:rPr>
          <w:spacing w:val="-1"/>
        </w:rPr>
        <w:t> </w:t>
      </w:r>
      <w:r>
        <w:rPr/>
        <w:t>was</w:t>
      </w:r>
      <w:r>
        <w:rPr>
          <w:spacing w:val="-1"/>
        </w:rPr>
        <w:t> </w:t>
      </w:r>
      <w:r>
        <w:rPr/>
        <w:t>an</w:t>
      </w:r>
      <w:r>
        <w:rPr>
          <w:spacing w:val="-1"/>
        </w:rPr>
        <w:t> </w:t>
      </w:r>
      <w:r>
        <w:rPr/>
        <w:t>“incidental</w:t>
      </w:r>
      <w:r>
        <w:rPr>
          <w:spacing w:val="-1"/>
        </w:rPr>
        <w:t> </w:t>
      </w:r>
      <w:r>
        <w:rPr/>
        <w:t>effect” (at [137]) of the performance of the contract was held not to satisfy the requirement set out in s.1(1)(b)</w:t>
      </w:r>
      <w:r>
        <w:rPr>
          <w:spacing w:val="-3"/>
        </w:rPr>
        <w:t> </w:t>
      </w:r>
      <w:r>
        <w:rPr/>
        <w:t>of</w:t>
      </w:r>
      <w:r>
        <w:rPr>
          <w:spacing w:val="-3"/>
        </w:rPr>
        <w:t> </w:t>
      </w:r>
      <w:r>
        <w:rPr/>
        <w:t>the</w:t>
      </w:r>
      <w:r>
        <w:rPr>
          <w:spacing w:val="-3"/>
        </w:rPr>
        <w:t> </w:t>
      </w:r>
      <w:r>
        <w:rPr/>
        <w:t>1999</w:t>
      </w:r>
      <w:r>
        <w:rPr>
          <w:spacing w:val="-3"/>
        </w:rPr>
        <w:t> </w:t>
      </w:r>
      <w:r>
        <w:rPr/>
        <w:t>Act.</w:t>
      </w:r>
      <w:r>
        <w:rPr>
          <w:spacing w:val="-3"/>
        </w:rPr>
        <w:t> </w:t>
      </w:r>
      <w:r>
        <w:rPr/>
        <w:t>The</w:t>
      </w:r>
      <w:r>
        <w:rPr>
          <w:spacing w:val="-3"/>
        </w:rPr>
        <w:t> </w:t>
      </w:r>
      <w:r>
        <w:rPr/>
        <w:t>question</w:t>
      </w:r>
      <w:r>
        <w:rPr>
          <w:spacing w:val="-3"/>
        </w:rPr>
        <w:t> </w:t>
      </w:r>
      <w:r>
        <w:rPr/>
        <w:t>whether</w:t>
      </w:r>
      <w:r>
        <w:rPr>
          <w:spacing w:val="-3"/>
        </w:rPr>
        <w:t> </w:t>
      </w:r>
      <w:r>
        <w:rPr/>
        <w:t>the</w:t>
      </w:r>
      <w:r>
        <w:rPr>
          <w:spacing w:val="-3"/>
        </w:rPr>
        <w:t> </w:t>
      </w:r>
      <w:r>
        <w:rPr/>
        <w:t>contract</w:t>
      </w:r>
      <w:r>
        <w:rPr>
          <w:spacing w:val="-3"/>
        </w:rPr>
        <w:t> </w:t>
      </w:r>
      <w:r>
        <w:rPr/>
        <w:t>purported</w:t>
      </w:r>
      <w:r>
        <w:rPr>
          <w:spacing w:val="-3"/>
        </w:rPr>
        <w:t> </w:t>
      </w:r>
      <w:r>
        <w:rPr/>
        <w:t>to</w:t>
      </w:r>
      <w:r>
        <w:rPr>
          <w:spacing w:val="-3"/>
        </w:rPr>
        <w:t> </w:t>
      </w:r>
      <w:r>
        <w:rPr/>
        <w:t>confer</w:t>
      </w:r>
      <w:r>
        <w:rPr>
          <w:spacing w:val="-3"/>
        </w:rPr>
        <w:t> </w:t>
      </w:r>
      <w:r>
        <w:rPr/>
        <w:t>a</w:t>
      </w:r>
      <w:r>
        <w:rPr>
          <w:spacing w:val="-3"/>
        </w:rPr>
        <w:t> </w:t>
      </w:r>
      <w:r>
        <w:rPr/>
        <w:t>benefit</w:t>
      </w:r>
      <w:r>
        <w:rPr>
          <w:spacing w:val="-3"/>
        </w:rPr>
        <w:t> </w:t>
      </w:r>
      <w:r>
        <w:rPr/>
        <w:t>on</w:t>
      </w:r>
      <w:r>
        <w:rPr>
          <w:spacing w:val="-3"/>
        </w:rPr>
        <w:t> </w:t>
      </w:r>
      <w:r>
        <w:rPr/>
        <w:t>the third party was one of the “construction” of the contract (at [123], [129]), and this requirement had not been satisfied. In support of this conclusion, the Court who relied on the </w:t>
      </w:r>
      <w:r>
        <w:rPr>
          <w:rFonts w:ascii="Arial" w:hAnsi="Arial"/>
          <w:i/>
        </w:rPr>
        <w:t>Dolphin Maritime case</w:t>
      </w:r>
      <w:r>
        <w:rPr>
          <w:rFonts w:ascii="Arial" w:hAnsi="Arial"/>
          <w:i/>
          <w:spacing w:val="1"/>
        </w:rPr>
        <w:t> </w:t>
      </w:r>
      <w:r>
        <w:rPr>
          <w:rFonts w:ascii="Arial" w:hAnsi="Arial"/>
          <w:i/>
        </w:rPr>
        <w:t>[2009]</w:t>
      </w:r>
      <w:r>
        <w:rPr>
          <w:rFonts w:ascii="Arial" w:hAnsi="Arial"/>
          <w:i/>
          <w:spacing w:val="1"/>
        </w:rPr>
        <w:t> </w:t>
      </w:r>
      <w:r>
        <w:rPr>
          <w:rFonts w:ascii="Arial" w:hAnsi="Arial"/>
          <w:i/>
        </w:rPr>
        <w:t>EWHC</w:t>
      </w:r>
      <w:r>
        <w:rPr>
          <w:rFonts w:ascii="Arial" w:hAnsi="Arial"/>
          <w:i/>
          <w:spacing w:val="1"/>
        </w:rPr>
        <w:t> </w:t>
      </w:r>
      <w:r>
        <w:rPr>
          <w:rFonts w:ascii="Arial" w:hAnsi="Arial"/>
          <w:i/>
        </w:rPr>
        <w:t>716</w:t>
      </w:r>
      <w:r>
        <w:rPr>
          <w:rFonts w:ascii="Arial" w:hAnsi="Arial"/>
          <w:i/>
          <w:spacing w:val="1"/>
        </w:rPr>
        <w:t> </w:t>
      </w:r>
      <w:r>
        <w:rPr>
          <w:rFonts w:ascii="Arial" w:hAnsi="Arial"/>
          <w:i/>
        </w:rPr>
        <w:t>(Comm),</w:t>
      </w:r>
      <w:r>
        <w:rPr>
          <w:rFonts w:ascii="Arial" w:hAnsi="Arial"/>
          <w:i/>
          <w:spacing w:val="1"/>
        </w:rPr>
        <w:t> </w:t>
      </w:r>
      <w:r>
        <w:rPr>
          <w:rFonts w:ascii="Arial" w:hAnsi="Arial"/>
          <w:i/>
        </w:rPr>
        <w:t>[2009]</w:t>
      </w:r>
      <w:r>
        <w:rPr>
          <w:rFonts w:ascii="Arial" w:hAnsi="Arial"/>
          <w:i/>
          <w:spacing w:val="1"/>
        </w:rPr>
        <w:t> </w:t>
      </w:r>
      <w:r>
        <w:rPr>
          <w:rFonts w:ascii="Arial" w:hAnsi="Arial"/>
          <w:i/>
        </w:rPr>
        <w:t>2</w:t>
      </w:r>
      <w:r>
        <w:rPr>
          <w:rFonts w:ascii="Arial" w:hAnsi="Arial"/>
          <w:i/>
          <w:spacing w:val="1"/>
        </w:rPr>
        <w:t> </w:t>
      </w:r>
      <w:r>
        <w:rPr>
          <w:rFonts w:ascii="Arial" w:hAnsi="Arial"/>
          <w:i/>
        </w:rPr>
        <w:t>Lloyd’s</w:t>
      </w:r>
      <w:r>
        <w:rPr>
          <w:rFonts w:ascii="Arial" w:hAnsi="Arial"/>
          <w:i/>
          <w:spacing w:val="1"/>
        </w:rPr>
        <w:t> </w:t>
      </w:r>
      <w:r>
        <w:rPr>
          <w:rFonts w:ascii="Arial" w:hAnsi="Arial"/>
          <w:i/>
        </w:rPr>
        <w:t>Rep.</w:t>
      </w:r>
      <w:r>
        <w:rPr>
          <w:rFonts w:ascii="Arial" w:hAnsi="Arial"/>
          <w:i/>
          <w:spacing w:val="1"/>
        </w:rPr>
        <w:t> </w:t>
      </w:r>
      <w:r>
        <w:rPr>
          <w:rFonts w:ascii="Arial" w:hAnsi="Arial"/>
          <w:i/>
        </w:rPr>
        <w:t>123</w:t>
      </w:r>
      <w:r>
        <w:rPr/>
        <w:t>,</w:t>
      </w:r>
      <w:r>
        <w:rPr>
          <w:spacing w:val="1"/>
        </w:rPr>
        <w:t> </w:t>
      </w:r>
      <w:r>
        <w:rPr/>
        <w:t>cited</w:t>
      </w:r>
      <w:r>
        <w:rPr>
          <w:spacing w:val="1"/>
        </w:rPr>
        <w:t> </w:t>
      </w:r>
      <w:r>
        <w:rPr/>
        <w:t>in</w:t>
      </w:r>
      <w:r>
        <w:rPr>
          <w:spacing w:val="1"/>
        </w:rPr>
        <w:t> </w:t>
      </w:r>
      <w:r>
        <w:rPr/>
        <w:t>Vol.I,</w:t>
      </w:r>
      <w:r>
        <w:rPr>
          <w:spacing w:val="1"/>
        </w:rPr>
        <w:t> </w:t>
      </w:r>
      <w:r>
        <w:rPr/>
        <w:t>para.18-</w:t>
      </w:r>
      <w:r>
        <w:rPr>
          <w:spacing w:val="-5"/>
        </w:rPr>
        <w:t>09</w:t>
      </w:r>
      <w:r>
        <w:rPr>
          <w:spacing w:val="-5"/>
        </w:rPr>
        <w:t>3</w:t>
      </w:r>
    </w:p>
    <w:p>
      <w:pPr>
        <w:pStyle w:val="BodyText"/>
        <w:spacing w:line="221" w:lineRule="exact"/>
        <w:ind w:left="165"/>
        <w:jc w:val="both"/>
      </w:pPr>
      <w:r>
        <w:rPr/>
        <w:t>note </w:t>
      </w:r>
      <w:r>
        <w:rPr>
          <w:spacing w:val="-4"/>
        </w:rPr>
        <w:t>568.</w:t>
      </w:r>
    </w:p>
    <w:p>
      <w:pPr>
        <w:pStyle w:val="BodyText"/>
        <w:spacing w:after="0" w:line="221" w:lineRule="exact"/>
        <w:jc w:val="both"/>
        <w:sectPr>
          <w:type w:val="continuous"/>
          <w:pgSz w:w="11900" w:h="16840"/>
          <w:pgMar w:header="971" w:footer="0" w:top="1160" w:bottom="280" w:left="1275" w:right="1275"/>
          <w:cols w:num="2" w:equalWidth="0">
            <w:col w:w="478" w:space="63"/>
            <w:col w:w="8809"/>
          </w:cols>
        </w:sectPr>
      </w:pPr>
    </w:p>
    <w:p>
      <w:pPr>
        <w:pStyle w:val="BodyText"/>
        <w:spacing w:before="9"/>
      </w:pPr>
    </w:p>
    <w:p>
      <w:pPr>
        <w:pStyle w:val="BodyText"/>
        <w:spacing w:line="235" w:lineRule="auto"/>
        <w:ind w:left="705" w:right="167" w:hanging="541"/>
        <w:jc w:val="both"/>
      </w:pPr>
      <w:bookmarkStart w:name="_bookmark1275" w:id="1277"/>
      <w:bookmarkEnd w:id="1277"/>
      <w:r>
        <w:rPr/>
      </w:r>
      <w:hyperlink w:history="true" w:anchor="_bookmark1115">
        <w:r>
          <w:rPr>
            <w:color w:val="005DA1"/>
            <w:position w:val="5"/>
            <w:sz w:val="14"/>
            <w:u w:val="single" w:color="005DA1"/>
          </w:rPr>
          <w:t>597</w:t>
        </w:r>
      </w:hyperlink>
      <w:r>
        <w:rPr>
          <w:position w:val="5"/>
          <w:sz w:val="14"/>
        </w:rPr>
        <w:t>.</w:t>
      </w:r>
      <w:r>
        <w:rPr>
          <w:spacing w:val="80"/>
          <w:position w:val="5"/>
          <w:sz w:val="14"/>
        </w:rPr>
        <w:t> </w:t>
      </w:r>
      <w:r>
        <w:rPr/>
        <w:t>An analogous problem arose, apparently under Brazilian law, in </w:t>
      </w:r>
      <w:r>
        <w:rPr>
          <w:rFonts w:ascii="Arial" w:hAnsi="Arial"/>
          <w:i/>
        </w:rPr>
        <w:t>Petromec Inc v </w:t>
      </w:r>
      <w:r>
        <w:rPr>
          <w:rFonts w:ascii="Arial" w:hAnsi="Arial"/>
          <w:i/>
        </w:rPr>
        <w:t>Petroleo Brasileiro SA Petrobas [2004] EWHC 1180 (Comm), [2005] 1 Lloyd’s Rep. 219 </w:t>
      </w:r>
      <w:r>
        <w:rPr/>
        <w:t>where A, a subbareboat charterer of an oil production platform, took out a policy of insurance with B</w:t>
      </w:r>
      <w:r>
        <w:rPr>
          <w:spacing w:val="40"/>
        </w:rPr>
        <w:t> </w:t>
      </w:r>
      <w:r>
        <w:rPr/>
        <w:t>relating to the platform. It was held that no claim on the policy could be brought in his own right by C, a subcontractor engaged to do upgrading work on the platform, as A had not purported to insure for the benefit of C. In English law, similar reasoning could on such facts be applied to a claim brought under s.1(1)(b) of the 1999 Act. On appeal, the decision was affirmed without reference to the point of Brazilian law here discussed: </w:t>
      </w:r>
      <w:r>
        <w:rPr>
          <w:rFonts w:ascii="Arial" w:hAnsi="Arial"/>
          <w:i/>
        </w:rPr>
        <w:t>[2005] EWCA Civ 891, [2006] 1 Lloyd’s Rep. 121 </w:t>
      </w:r>
      <w:r>
        <w:rPr/>
        <w:t>(above, para.2-123 n.611).</w:t>
      </w:r>
    </w:p>
    <w:p>
      <w:pPr>
        <w:pStyle w:val="BodyText"/>
        <w:spacing w:before="3"/>
      </w:pPr>
    </w:p>
    <w:p>
      <w:pPr>
        <w:tabs>
          <w:tab w:pos="705" w:val="left" w:leader="none"/>
        </w:tabs>
        <w:spacing w:before="0"/>
        <w:ind w:left="165" w:right="0" w:firstLine="0"/>
        <w:jc w:val="left"/>
        <w:rPr>
          <w:sz w:val="20"/>
        </w:rPr>
      </w:pPr>
      <w:bookmarkStart w:name="_bookmark1276" w:id="1278"/>
      <w:bookmarkEnd w:id="1278"/>
      <w:r>
        <w:rPr/>
      </w:r>
      <w:hyperlink w:history="true" w:anchor="_bookmark1116">
        <w:r>
          <w:rPr>
            <w:color w:val="005DA1"/>
            <w:spacing w:val="-4"/>
            <w:position w:val="5"/>
            <w:sz w:val="14"/>
            <w:u w:val="single" w:color="005DA1"/>
          </w:rPr>
          <w:t>598</w:t>
        </w:r>
      </w:hyperlink>
      <w:r>
        <w:rPr>
          <w:spacing w:val="-4"/>
          <w:position w:val="5"/>
          <w:sz w:val="14"/>
        </w:rPr>
        <w:t>.</w:t>
      </w:r>
      <w:r>
        <w:rPr>
          <w:position w:val="5"/>
          <w:sz w:val="14"/>
        </w:rPr>
        <w:tab/>
      </w:r>
      <w:r>
        <w:rPr>
          <w:rFonts w:ascii="Arial"/>
          <w:i/>
          <w:sz w:val="20"/>
        </w:rPr>
        <w:t>Hurley Palmer Flatt Ltd v Barclays Bank plc [2014] EWHC 3042 (TCC), [2015] Bus. L.R. </w:t>
      </w:r>
      <w:r>
        <w:rPr>
          <w:rFonts w:ascii="Arial"/>
          <w:i/>
          <w:spacing w:val="-4"/>
          <w:sz w:val="20"/>
        </w:rPr>
        <w:t>106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77" w:id="1279"/>
      <w:bookmarkEnd w:id="1279"/>
      <w:r>
        <w:rPr/>
      </w:r>
      <w:hyperlink w:history="true" w:anchor="_bookmark1117">
        <w:r>
          <w:rPr>
            <w:color w:val="005DA1"/>
            <w:spacing w:val="-4"/>
            <w:position w:val="5"/>
            <w:sz w:val="14"/>
            <w:u w:val="single" w:color="005DA1"/>
          </w:rPr>
          <w:t>599</w:t>
        </w:r>
      </w:hyperlink>
      <w:r>
        <w:rPr>
          <w:spacing w:val="-4"/>
          <w:position w:val="5"/>
          <w:sz w:val="14"/>
        </w:rPr>
        <w:t>.</w:t>
      </w:r>
      <w:r>
        <w:rPr>
          <w:position w:val="5"/>
          <w:sz w:val="14"/>
        </w:rPr>
        <w:tab/>
      </w:r>
      <w:r>
        <w:rPr>
          <w:sz w:val="20"/>
        </w:rPr>
        <w:t>ibid., at </w:t>
      </w:r>
      <w:r>
        <w:rPr>
          <w:spacing w:val="-2"/>
          <w:sz w:val="20"/>
        </w:rPr>
        <w:t>[26].</w:t>
      </w:r>
    </w:p>
    <w:p>
      <w:pPr>
        <w:pStyle w:val="BodyText"/>
        <w:spacing w:before="5"/>
      </w:pPr>
    </w:p>
    <w:p>
      <w:pPr>
        <w:tabs>
          <w:tab w:pos="705" w:val="left" w:leader="none"/>
        </w:tabs>
        <w:spacing w:before="0"/>
        <w:ind w:left="165" w:right="0" w:firstLine="0"/>
        <w:jc w:val="left"/>
        <w:rPr>
          <w:sz w:val="20"/>
        </w:rPr>
      </w:pPr>
      <w:bookmarkStart w:name="_bookmark1278" w:id="1280"/>
      <w:bookmarkEnd w:id="1280"/>
      <w:r>
        <w:rPr/>
      </w:r>
      <w:hyperlink w:history="true" w:anchor="_bookmark1118">
        <w:r>
          <w:rPr>
            <w:color w:val="005DA1"/>
            <w:spacing w:val="-4"/>
            <w:position w:val="5"/>
            <w:sz w:val="14"/>
            <w:u w:val="single" w:color="005DA1"/>
          </w:rPr>
          <w:t>600</w:t>
        </w:r>
      </w:hyperlink>
      <w:r>
        <w:rPr>
          <w:spacing w:val="-4"/>
          <w:position w:val="5"/>
          <w:sz w:val="14"/>
        </w:rPr>
        <w:t>.</w:t>
      </w:r>
      <w:r>
        <w:rPr>
          <w:position w:val="5"/>
          <w:sz w:val="14"/>
        </w:rPr>
        <w:tab/>
      </w:r>
      <w:r>
        <w:rPr>
          <w:sz w:val="20"/>
        </w:rPr>
        <w:t>ibid., at </w:t>
      </w:r>
      <w:r>
        <w:rPr>
          <w:spacing w:val="-2"/>
          <w:sz w:val="20"/>
        </w:rPr>
        <w:t>[28].</w:t>
      </w:r>
    </w:p>
    <w:p>
      <w:pPr>
        <w:pStyle w:val="BodyText"/>
        <w:spacing w:before="5"/>
      </w:pPr>
    </w:p>
    <w:p>
      <w:pPr>
        <w:tabs>
          <w:tab w:pos="705" w:val="left" w:leader="none"/>
        </w:tabs>
        <w:spacing w:before="0"/>
        <w:ind w:left="165" w:right="0" w:firstLine="0"/>
        <w:jc w:val="left"/>
        <w:rPr>
          <w:sz w:val="20"/>
        </w:rPr>
      </w:pPr>
      <w:bookmarkStart w:name="_bookmark1279" w:id="1281"/>
      <w:bookmarkEnd w:id="1281"/>
      <w:r>
        <w:rPr/>
      </w:r>
      <w:hyperlink w:history="true" w:anchor="_bookmark1119">
        <w:r>
          <w:rPr>
            <w:color w:val="005DA1"/>
            <w:spacing w:val="-4"/>
            <w:position w:val="5"/>
            <w:sz w:val="14"/>
            <w:u w:val="single" w:color="005DA1"/>
          </w:rPr>
          <w:t>601</w:t>
        </w:r>
      </w:hyperlink>
      <w:r>
        <w:rPr>
          <w:spacing w:val="-4"/>
          <w:position w:val="5"/>
          <w:sz w:val="14"/>
        </w:rPr>
        <w:t>.</w:t>
      </w:r>
      <w:r>
        <w:rPr>
          <w:position w:val="5"/>
          <w:sz w:val="14"/>
        </w:rPr>
        <w:tab/>
      </w:r>
      <w:r>
        <w:rPr>
          <w:sz w:val="20"/>
        </w:rPr>
        <w:t>See ibid., at </w:t>
      </w:r>
      <w:r>
        <w:rPr>
          <w:spacing w:val="-2"/>
          <w:sz w:val="20"/>
        </w:rPr>
        <w:t>[25].</w:t>
      </w:r>
    </w:p>
    <w:p>
      <w:pPr>
        <w:pStyle w:val="BodyText"/>
        <w:spacing w:before="9"/>
      </w:pPr>
    </w:p>
    <w:p>
      <w:pPr>
        <w:pStyle w:val="BodyText"/>
        <w:spacing w:line="235" w:lineRule="auto"/>
        <w:ind w:left="705" w:right="167" w:hanging="541"/>
        <w:jc w:val="both"/>
      </w:pPr>
      <w:bookmarkStart w:name="_bookmark1280" w:id="1282"/>
      <w:bookmarkEnd w:id="1282"/>
      <w:r>
        <w:rPr/>
      </w:r>
      <w:hyperlink w:history="true" w:anchor="_bookmark1120">
        <w:r>
          <w:rPr>
            <w:color w:val="005DA1"/>
            <w:position w:val="5"/>
            <w:sz w:val="14"/>
            <w:u w:val="single" w:color="005DA1"/>
          </w:rPr>
          <w:t>602</w:t>
        </w:r>
      </w:hyperlink>
      <w:r>
        <w:rPr>
          <w:position w:val="5"/>
          <w:sz w:val="14"/>
        </w:rPr>
        <w:t>.</w:t>
      </w:r>
      <w:r>
        <w:rPr>
          <w:spacing w:val="40"/>
          <w:position w:val="5"/>
          <w:sz w:val="14"/>
        </w:rPr>
        <w:t>  </w:t>
      </w:r>
      <w:r>
        <w:rPr/>
        <w:t>There</w:t>
      </w:r>
      <w:r>
        <w:rPr>
          <w:spacing w:val="40"/>
        </w:rPr>
        <w:t> </w:t>
      </w:r>
      <w:r>
        <w:rPr/>
        <w:t>are</w:t>
      </w:r>
      <w:r>
        <w:rPr>
          <w:spacing w:val="40"/>
        </w:rPr>
        <w:t> </w:t>
      </w:r>
      <w:r>
        <w:rPr/>
        <w:t>other</w:t>
      </w:r>
      <w:r>
        <w:rPr>
          <w:spacing w:val="40"/>
        </w:rPr>
        <w:t> </w:t>
      </w:r>
      <w:r>
        <w:rPr/>
        <w:t>legal</w:t>
      </w:r>
      <w:r>
        <w:rPr>
          <w:spacing w:val="40"/>
        </w:rPr>
        <w:t> </w:t>
      </w:r>
      <w:r>
        <w:rPr/>
        <w:t>contexts</w:t>
      </w:r>
      <w:r>
        <w:rPr>
          <w:spacing w:val="40"/>
        </w:rPr>
        <w:t> </w:t>
      </w:r>
      <w:r>
        <w:rPr/>
        <w:t>in</w:t>
      </w:r>
      <w:r>
        <w:rPr>
          <w:spacing w:val="40"/>
        </w:rPr>
        <w:t> </w:t>
      </w:r>
      <w:r>
        <w:rPr/>
        <w:t>which</w:t>
      </w:r>
      <w:r>
        <w:rPr>
          <w:spacing w:val="40"/>
        </w:rPr>
        <w:t> </w:t>
      </w:r>
      <w:r>
        <w:rPr/>
        <w:t>“terms”</w:t>
      </w:r>
      <w:r>
        <w:rPr>
          <w:spacing w:val="40"/>
        </w:rPr>
        <w:t> </w:t>
      </w:r>
      <w:r>
        <w:rPr/>
        <w:t>has</w:t>
      </w:r>
      <w:r>
        <w:rPr>
          <w:spacing w:val="40"/>
        </w:rPr>
        <w:t> </w:t>
      </w:r>
      <w:r>
        <w:rPr/>
        <w:t>a</w:t>
      </w:r>
      <w:r>
        <w:rPr>
          <w:spacing w:val="40"/>
        </w:rPr>
        <w:t> </w:t>
      </w:r>
      <w:r>
        <w:rPr/>
        <w:t>wider</w:t>
      </w:r>
      <w:r>
        <w:rPr>
          <w:spacing w:val="40"/>
        </w:rPr>
        <w:t> </w:t>
      </w:r>
      <w:r>
        <w:rPr/>
        <w:t>import</w:t>
      </w:r>
      <w:r>
        <w:rPr>
          <w:spacing w:val="40"/>
        </w:rPr>
        <w:t> </w:t>
      </w:r>
      <w:r>
        <w:rPr/>
        <w:t>than</w:t>
      </w:r>
      <w:r>
        <w:rPr>
          <w:spacing w:val="40"/>
        </w:rPr>
        <w:t> </w:t>
      </w:r>
      <w:r>
        <w:rPr/>
        <w:t>“conditions”:</w:t>
      </w:r>
      <w:r>
        <w:rPr>
          <w:spacing w:val="40"/>
        </w:rPr>
        <w:t> </w:t>
      </w:r>
      <w:r>
        <w:rPr/>
        <w:t>for example where the issue is whether certain charterparty terms have been incorporated into a</w:t>
      </w:r>
      <w:r>
        <w:rPr>
          <w:spacing w:val="40"/>
        </w:rPr>
        <w:t> </w:t>
      </w:r>
      <w:r>
        <w:rPr/>
        <w:t>bill of lading by a clause in the latter document: see Carver on Bills of Lading, 3rd ed. (2011), </w:t>
      </w:r>
      <w:r>
        <w:rPr>
          <w:spacing w:val="-2"/>
        </w:rPr>
        <w:t>para.3-020.</w:t>
      </w:r>
    </w:p>
    <w:p>
      <w:pPr>
        <w:pStyle w:val="BodyText"/>
        <w:spacing w:after="0" w:line="235" w:lineRule="auto"/>
        <w:jc w:val="both"/>
        <w:sectPr>
          <w:type w:val="continuous"/>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121">
        <w:r>
          <w:rPr>
            <w:color w:val="005DA1"/>
            <w:spacing w:val="-4"/>
            <w:position w:val="5"/>
            <w:sz w:val="14"/>
            <w:u w:val="single" w:color="005DA1"/>
          </w:rPr>
          <w:t>603</w:t>
        </w:r>
      </w:hyperlink>
      <w:r>
        <w:rPr>
          <w:spacing w:val="-4"/>
          <w:position w:val="5"/>
          <w:sz w:val="14"/>
        </w:rPr>
        <w:t>.</w:t>
      </w:r>
      <w:r>
        <w:rPr>
          <w:position w:val="5"/>
          <w:sz w:val="14"/>
        </w:rPr>
        <w:tab/>
      </w:r>
      <w:r>
        <w:rPr>
          <w:sz w:val="20"/>
        </w:rPr>
        <w:t>At </w:t>
      </w:r>
      <w:r>
        <w:rPr>
          <w:spacing w:val="-2"/>
          <w:sz w:val="20"/>
        </w:rPr>
        <w:t>n.565.</w:t>
      </w:r>
    </w:p>
    <w:p>
      <w:pPr>
        <w:pStyle w:val="BodyText"/>
        <w:spacing w:before="5"/>
      </w:pPr>
    </w:p>
    <w:p>
      <w:pPr>
        <w:tabs>
          <w:tab w:pos="705" w:val="left" w:leader="none"/>
        </w:tabs>
        <w:spacing w:before="0"/>
        <w:ind w:left="165" w:right="0" w:firstLine="0"/>
        <w:jc w:val="left"/>
        <w:rPr>
          <w:sz w:val="20"/>
        </w:rPr>
      </w:pPr>
      <w:bookmarkStart w:name="_bookmark1281" w:id="1283"/>
      <w:bookmarkEnd w:id="1283"/>
      <w:r>
        <w:rPr/>
      </w:r>
      <w:hyperlink w:history="true" w:anchor="_bookmark1122">
        <w:r>
          <w:rPr>
            <w:color w:val="005DA1"/>
            <w:spacing w:val="-4"/>
            <w:position w:val="5"/>
            <w:sz w:val="14"/>
            <w:u w:val="single" w:color="005DA1"/>
          </w:rPr>
          <w:t>604</w:t>
        </w:r>
      </w:hyperlink>
      <w:r>
        <w:rPr>
          <w:spacing w:val="-4"/>
          <w:position w:val="5"/>
          <w:sz w:val="14"/>
        </w:rPr>
        <w:t>.</w:t>
      </w:r>
      <w:r>
        <w:rPr>
          <w:position w:val="5"/>
          <w:sz w:val="14"/>
        </w:rPr>
        <w:tab/>
      </w:r>
      <w:r>
        <w:rPr>
          <w:sz w:val="20"/>
        </w:rPr>
        <w:t>See</w:t>
      </w:r>
      <w:r>
        <w:rPr>
          <w:spacing w:val="-4"/>
          <w:sz w:val="20"/>
        </w:rPr>
        <w:t> </w:t>
      </w:r>
      <w:r>
        <w:rPr>
          <w:rFonts w:ascii="Arial"/>
          <w:i/>
          <w:sz w:val="20"/>
        </w:rPr>
        <w:t>The Laemthong Glory</w:t>
      </w:r>
      <w:r>
        <w:rPr>
          <w:sz w:val="20"/>
        </w:rPr>
        <w:t>, below, para.18-</w:t>
      </w:r>
      <w:r>
        <w:rPr>
          <w:spacing w:val="-4"/>
          <w:sz w:val="20"/>
        </w:rPr>
        <w:t>095.</w:t>
      </w:r>
    </w:p>
    <w:p>
      <w:pPr>
        <w:pStyle w:val="BodyText"/>
        <w:spacing w:before="5"/>
      </w:pPr>
    </w:p>
    <w:p>
      <w:pPr>
        <w:pStyle w:val="BodyText"/>
        <w:tabs>
          <w:tab w:pos="705" w:val="left" w:leader="none"/>
        </w:tabs>
        <w:ind w:left="165"/>
      </w:pPr>
      <w:bookmarkStart w:name="_bookmark1282" w:id="1284"/>
      <w:bookmarkEnd w:id="1284"/>
      <w:r>
        <w:rPr/>
      </w:r>
      <w:hyperlink w:history="true" w:anchor="_bookmark1123">
        <w:r>
          <w:rPr>
            <w:color w:val="005DA1"/>
            <w:spacing w:val="-4"/>
            <w:position w:val="5"/>
            <w:sz w:val="14"/>
            <w:u w:val="single" w:color="005DA1"/>
          </w:rPr>
          <w:t>605</w:t>
        </w:r>
      </w:hyperlink>
      <w:r>
        <w:rPr>
          <w:spacing w:val="-4"/>
          <w:position w:val="5"/>
          <w:sz w:val="14"/>
        </w:rPr>
        <w:t>.</w:t>
      </w:r>
      <w:r>
        <w:rPr>
          <w:position w:val="5"/>
          <w:sz w:val="14"/>
        </w:rPr>
        <w:tab/>
      </w:r>
      <w:r>
        <w:rPr/>
        <w:t>Report, paras 7.5, </w:t>
      </w:r>
      <w:r>
        <w:rPr>
          <w:spacing w:val="-2"/>
        </w:rPr>
        <w:t>7.17.</w:t>
      </w:r>
    </w:p>
    <w:p>
      <w:pPr>
        <w:pStyle w:val="BodyText"/>
        <w:spacing w:before="9"/>
      </w:pPr>
    </w:p>
    <w:p>
      <w:pPr>
        <w:pStyle w:val="BodyText"/>
        <w:spacing w:line="235" w:lineRule="auto"/>
        <w:ind w:left="705" w:right="167" w:hanging="541"/>
        <w:jc w:val="both"/>
      </w:pPr>
      <w:bookmarkStart w:name="_bookmark1283" w:id="1285"/>
      <w:bookmarkEnd w:id="1285"/>
      <w:r>
        <w:rPr/>
      </w:r>
      <w:hyperlink w:history="true" w:anchor="_bookmark1124">
        <w:r>
          <w:rPr>
            <w:color w:val="005DA1"/>
            <w:position w:val="5"/>
            <w:sz w:val="14"/>
            <w:u w:val="single" w:color="005DA1"/>
          </w:rPr>
          <w:t>606</w:t>
        </w:r>
      </w:hyperlink>
      <w:r>
        <w:rPr>
          <w:position w:val="5"/>
          <w:sz w:val="14"/>
        </w:rPr>
        <w:t>.</w:t>
      </w:r>
      <w:r>
        <w:rPr>
          <w:spacing w:val="80"/>
          <w:w w:val="150"/>
          <w:position w:val="5"/>
          <w:sz w:val="14"/>
        </w:rPr>
        <w:t> </w:t>
      </w:r>
      <w:r>
        <w:rPr/>
        <w:t>See above, para.13-099; but the rule that evidence is not admissible to ascertain the “parties’ intention” (</w:t>
      </w:r>
      <w:r>
        <w:rPr>
          <w:rFonts w:ascii="Arial" w:hAnsi="Arial"/>
          <w:i/>
        </w:rPr>
        <w:t>Prenn v Simmonds [1971] 1 W.L.R. 1381, 1385</w:t>
      </w:r>
      <w:r>
        <w:rPr/>
        <w:t>) can scarcely apply in the present context since the very purpose of the enquiry under s.1(2) is to determine what the parties </w:t>
      </w:r>
      <w:r>
        <w:rPr>
          <w:spacing w:val="-2"/>
        </w:rPr>
        <w:t>intended.</w:t>
      </w:r>
    </w:p>
    <w:p>
      <w:pPr>
        <w:pStyle w:val="BodyText"/>
        <w:spacing w:before="4"/>
      </w:pPr>
    </w:p>
    <w:p>
      <w:pPr>
        <w:tabs>
          <w:tab w:pos="705" w:val="left" w:leader="none"/>
        </w:tabs>
        <w:spacing w:before="1"/>
        <w:ind w:left="165" w:right="0" w:firstLine="0"/>
        <w:jc w:val="left"/>
        <w:rPr>
          <w:sz w:val="20"/>
        </w:rPr>
      </w:pPr>
      <w:bookmarkStart w:name="_bookmark1284" w:id="1286"/>
      <w:bookmarkEnd w:id="1286"/>
      <w:r>
        <w:rPr/>
      </w:r>
      <w:hyperlink w:history="true" w:anchor="_bookmark1125">
        <w:r>
          <w:rPr>
            <w:color w:val="005DA1"/>
            <w:spacing w:val="-4"/>
            <w:position w:val="5"/>
            <w:sz w:val="14"/>
            <w:u w:val="single" w:color="005DA1"/>
          </w:rPr>
          <w:t>607</w:t>
        </w:r>
      </w:hyperlink>
      <w:r>
        <w:rPr>
          <w:spacing w:val="-4"/>
          <w:position w:val="5"/>
          <w:sz w:val="14"/>
        </w:rPr>
        <w:t>.</w:t>
      </w:r>
      <w:r>
        <w:rPr>
          <w:position w:val="5"/>
          <w:sz w:val="14"/>
        </w:rPr>
        <w:tab/>
      </w:r>
      <w:r>
        <w:rPr>
          <w:rFonts w:ascii="Arial"/>
          <w:i/>
          <w:sz w:val="20"/>
        </w:rPr>
        <w:t>Nisshin Shipping</w:t>
      </w:r>
      <w:r>
        <w:rPr>
          <w:rFonts w:ascii="Arial"/>
          <w:i/>
          <w:spacing w:val="-1"/>
          <w:sz w:val="20"/>
        </w:rPr>
        <w:t> </w:t>
      </w:r>
      <w:r>
        <w:rPr>
          <w:sz w:val="20"/>
        </w:rPr>
        <w:t>case, above </w:t>
      </w:r>
      <w:r>
        <w:rPr>
          <w:spacing w:val="-2"/>
          <w:sz w:val="20"/>
        </w:rPr>
        <w:t>n.569.</w:t>
      </w:r>
    </w:p>
    <w:p>
      <w:pPr>
        <w:pStyle w:val="BodyText"/>
        <w:spacing w:before="8"/>
      </w:pPr>
    </w:p>
    <w:p>
      <w:pPr>
        <w:tabs>
          <w:tab w:pos="705" w:val="left" w:leader="none"/>
        </w:tabs>
        <w:spacing w:line="235" w:lineRule="auto" w:before="0"/>
        <w:ind w:left="705" w:right="168" w:hanging="541"/>
        <w:jc w:val="left"/>
        <w:rPr>
          <w:sz w:val="20"/>
        </w:rPr>
      </w:pPr>
      <w:bookmarkStart w:name="_bookmark1285" w:id="1287"/>
      <w:bookmarkEnd w:id="1287"/>
      <w:r>
        <w:rPr/>
      </w:r>
      <w:hyperlink w:history="true" w:anchor="_bookmark1126">
        <w:r>
          <w:rPr>
            <w:color w:val="005DA1"/>
            <w:spacing w:val="-4"/>
            <w:position w:val="5"/>
            <w:sz w:val="14"/>
            <w:u w:val="single" w:color="005DA1"/>
          </w:rPr>
          <w:t>608</w:t>
        </w:r>
      </w:hyperlink>
      <w:r>
        <w:rPr>
          <w:spacing w:val="-4"/>
          <w:position w:val="5"/>
          <w:sz w:val="14"/>
        </w:rPr>
        <w:t>.</w:t>
      </w:r>
      <w:r>
        <w:rPr>
          <w:position w:val="5"/>
          <w:sz w:val="14"/>
        </w:rPr>
        <w:tab/>
      </w:r>
      <w:r>
        <w:rPr>
          <w:rFonts w:ascii="Arial" w:hAnsi="Arial"/>
          <w:i/>
          <w:sz w:val="20"/>
        </w:rPr>
        <w:t>Laemthong International Lines Co Ltd v Artis (The Laemthong Glory (No.2) [2005] EWCA </w:t>
      </w:r>
      <w:r>
        <w:rPr>
          <w:rFonts w:ascii="Arial" w:hAnsi="Arial"/>
          <w:i/>
          <w:sz w:val="20"/>
        </w:rPr>
        <w:t>Civ</w:t>
      </w:r>
      <w:r>
        <w:rPr>
          <w:rFonts w:ascii="Arial" w:hAnsi="Arial"/>
          <w:i/>
          <w:spacing w:val="40"/>
          <w:sz w:val="20"/>
        </w:rPr>
        <w:t> </w:t>
      </w:r>
      <w:r>
        <w:rPr>
          <w:rFonts w:ascii="Arial" w:hAnsi="Arial"/>
          <w:i/>
          <w:sz w:val="20"/>
        </w:rPr>
        <w:t>519, [2005] 1 Lloyd’s Rep. 632</w:t>
      </w:r>
      <w:r>
        <w:rPr>
          <w:sz w:val="20"/>
        </w:rPr>
        <w:t>.</w:t>
      </w:r>
    </w:p>
    <w:p>
      <w:pPr>
        <w:pStyle w:val="BodyText"/>
        <w:spacing w:before="6"/>
      </w:pPr>
    </w:p>
    <w:p>
      <w:pPr>
        <w:tabs>
          <w:tab w:pos="705" w:val="left" w:leader="none"/>
        </w:tabs>
        <w:spacing w:line="227" w:lineRule="exact" w:before="0"/>
        <w:ind w:left="165" w:right="0" w:firstLine="0"/>
        <w:jc w:val="left"/>
        <w:rPr>
          <w:rFonts w:ascii="Arial" w:hAnsi="Arial"/>
          <w:i/>
          <w:sz w:val="20"/>
        </w:rPr>
      </w:pPr>
      <w:bookmarkStart w:name="_bookmark1286" w:id="1288"/>
      <w:bookmarkEnd w:id="1288"/>
      <w:r>
        <w:rPr/>
      </w:r>
      <w:hyperlink w:history="true" w:anchor="_bookmark1127">
        <w:r>
          <w:rPr>
            <w:color w:val="005DA1"/>
            <w:spacing w:val="-4"/>
            <w:position w:val="5"/>
            <w:sz w:val="14"/>
            <w:u w:val="single" w:color="005DA1"/>
          </w:rPr>
          <w:t>609</w:t>
        </w:r>
      </w:hyperlink>
      <w:r>
        <w:rPr>
          <w:spacing w:val="-4"/>
          <w:position w:val="5"/>
          <w:sz w:val="14"/>
        </w:rPr>
        <w:t>.</w:t>
      </w:r>
      <w:r>
        <w:rPr>
          <w:position w:val="5"/>
          <w:sz w:val="14"/>
        </w:rPr>
        <w:tab/>
      </w:r>
      <w:r>
        <w:rPr>
          <w:rFonts w:ascii="Arial" w:hAnsi="Arial"/>
          <w:i/>
          <w:sz w:val="20"/>
        </w:rPr>
        <w:t>[2012]</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180,</w:t>
      </w:r>
      <w:r>
        <w:rPr>
          <w:rFonts w:ascii="Arial" w:hAnsi="Arial"/>
          <w:i/>
          <w:spacing w:val="3"/>
          <w:sz w:val="20"/>
        </w:rPr>
        <w:t> </w:t>
      </w:r>
      <w:r>
        <w:rPr>
          <w:rFonts w:ascii="Arial" w:hAnsi="Arial"/>
          <w:i/>
          <w:sz w:val="20"/>
        </w:rPr>
        <w:t>[2012]</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637,</w:t>
      </w:r>
      <w:r>
        <w:rPr>
          <w:rFonts w:ascii="Arial" w:hAnsi="Arial"/>
          <w:i/>
          <w:spacing w:val="3"/>
          <w:sz w:val="20"/>
        </w:rPr>
        <w:t> </w:t>
      </w:r>
      <w:r>
        <w:rPr>
          <w:rFonts w:ascii="Arial" w:hAnsi="Arial"/>
          <w:i/>
          <w:sz w:val="20"/>
        </w:rPr>
        <w:t>affirming</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1372</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pacing w:val="-2"/>
          <w:sz w:val="20"/>
        </w:rPr>
        <w:t>[2011]</w:t>
      </w:r>
    </w:p>
    <w:p>
      <w:pPr>
        <w:spacing w:line="227" w:lineRule="exact" w:before="0"/>
        <w:ind w:left="705" w:right="0" w:firstLine="0"/>
        <w:jc w:val="left"/>
        <w:rPr>
          <w:sz w:val="20"/>
        </w:rPr>
      </w:pPr>
      <w:r>
        <w:rPr>
          <w:rFonts w:ascii="Arial" w:hAnsi="Arial"/>
          <w:i/>
          <w:sz w:val="20"/>
        </w:rPr>
        <w:t>2</w:t>
      </w:r>
      <w:r>
        <w:rPr>
          <w:rFonts w:ascii="Arial" w:hAnsi="Arial"/>
          <w:i/>
          <w:spacing w:val="-2"/>
          <w:sz w:val="20"/>
        </w:rPr>
        <w:t> </w:t>
      </w:r>
      <w:r>
        <w:rPr>
          <w:rFonts w:ascii="Arial" w:hAnsi="Arial"/>
          <w:i/>
          <w:sz w:val="20"/>
        </w:rPr>
        <w:t>Lloyd’s Rep. </w:t>
      </w:r>
      <w:r>
        <w:rPr>
          <w:rFonts w:ascii="Arial" w:hAnsi="Arial"/>
          <w:i/>
          <w:spacing w:val="-4"/>
          <w:sz w:val="20"/>
        </w:rPr>
        <w:t>309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87" w:id="1289"/>
      <w:bookmarkEnd w:id="1289"/>
      <w:r>
        <w:rPr/>
      </w:r>
      <w:hyperlink w:history="true" w:anchor="_bookmark1128">
        <w:r>
          <w:rPr>
            <w:color w:val="005DA1"/>
            <w:spacing w:val="-4"/>
            <w:position w:val="5"/>
            <w:sz w:val="14"/>
            <w:u w:val="single" w:color="005DA1"/>
          </w:rPr>
          <w:t>610</w:t>
        </w:r>
      </w:hyperlink>
      <w:r>
        <w:rPr>
          <w:spacing w:val="-4"/>
          <w:position w:val="5"/>
          <w:sz w:val="14"/>
        </w:rPr>
        <w:t>.</w:t>
      </w:r>
      <w:r>
        <w:rPr>
          <w:position w:val="5"/>
          <w:sz w:val="14"/>
        </w:rPr>
        <w:tab/>
      </w:r>
      <w:r>
        <w:rPr>
          <w:rFonts w:ascii="Arial"/>
          <w:i/>
          <w:sz w:val="20"/>
        </w:rPr>
        <w:t>[2012] EWCA Civ 180</w:t>
      </w:r>
      <w:r>
        <w:rPr>
          <w:rFonts w:ascii="Arial"/>
          <w:i/>
          <w:spacing w:val="-1"/>
          <w:sz w:val="20"/>
        </w:rPr>
        <w:t> </w:t>
      </w:r>
      <w:r>
        <w:rPr>
          <w:sz w:val="20"/>
        </w:rPr>
        <w:t>at </w:t>
      </w:r>
      <w:r>
        <w:rPr>
          <w:spacing w:val="-2"/>
          <w:sz w:val="20"/>
        </w:rPr>
        <w:t>[42].</w:t>
      </w:r>
    </w:p>
    <w:p>
      <w:pPr>
        <w:pStyle w:val="BodyText"/>
        <w:spacing w:before="5"/>
      </w:pPr>
    </w:p>
    <w:p>
      <w:pPr>
        <w:tabs>
          <w:tab w:pos="705" w:val="left" w:leader="none"/>
        </w:tabs>
        <w:spacing w:before="0"/>
        <w:ind w:left="165" w:right="0" w:firstLine="0"/>
        <w:jc w:val="left"/>
        <w:rPr>
          <w:sz w:val="20"/>
        </w:rPr>
      </w:pPr>
      <w:bookmarkStart w:name="_bookmark1288" w:id="1290"/>
      <w:bookmarkEnd w:id="1290"/>
      <w:r>
        <w:rPr/>
      </w:r>
      <w:hyperlink w:history="true" w:anchor="_bookmark1129">
        <w:r>
          <w:rPr>
            <w:color w:val="005DA1"/>
            <w:spacing w:val="-4"/>
            <w:position w:val="5"/>
            <w:sz w:val="14"/>
            <w:u w:val="single" w:color="005DA1"/>
          </w:rPr>
          <w:t>611</w:t>
        </w:r>
      </w:hyperlink>
      <w:r>
        <w:rPr>
          <w:spacing w:val="-4"/>
          <w:position w:val="5"/>
          <w:sz w:val="14"/>
        </w:rPr>
        <w:t>.</w:t>
      </w:r>
      <w:r>
        <w:rPr>
          <w:position w:val="5"/>
          <w:sz w:val="14"/>
        </w:rPr>
        <w:tab/>
      </w:r>
      <w:r>
        <w:rPr>
          <w:sz w:val="20"/>
        </w:rPr>
        <w:t>ibid., at </w:t>
      </w:r>
      <w:r>
        <w:rPr>
          <w:spacing w:val="-2"/>
          <w:sz w:val="20"/>
        </w:rPr>
        <w:t>[36].</w:t>
      </w:r>
    </w:p>
    <w:p>
      <w:pPr>
        <w:pStyle w:val="BodyText"/>
        <w:spacing w:before="5"/>
      </w:pPr>
    </w:p>
    <w:p>
      <w:pPr>
        <w:pStyle w:val="BodyText"/>
        <w:tabs>
          <w:tab w:pos="705" w:val="left" w:leader="none"/>
        </w:tabs>
        <w:ind w:left="165"/>
      </w:pPr>
      <w:bookmarkStart w:name="_bookmark1289" w:id="1291"/>
      <w:bookmarkEnd w:id="1291"/>
      <w:r>
        <w:rPr/>
      </w:r>
      <w:hyperlink w:history="true" w:anchor="_bookmark1130">
        <w:r>
          <w:rPr>
            <w:color w:val="005DA1"/>
            <w:spacing w:val="-4"/>
            <w:position w:val="5"/>
            <w:sz w:val="14"/>
            <w:u w:val="single" w:color="005DA1"/>
          </w:rPr>
          <w:t>612</w:t>
        </w:r>
      </w:hyperlink>
      <w:r>
        <w:rPr>
          <w:spacing w:val="-4"/>
          <w:position w:val="5"/>
          <w:sz w:val="14"/>
        </w:rPr>
        <w:t>.</w:t>
      </w:r>
      <w:r>
        <w:rPr>
          <w:position w:val="5"/>
          <w:sz w:val="14"/>
        </w:rPr>
        <w:tab/>
      </w:r>
      <w:r>
        <w:rPr/>
        <w:t>See</w:t>
      </w:r>
      <w:r>
        <w:rPr>
          <w:spacing w:val="-2"/>
        </w:rPr>
        <w:t> </w:t>
      </w:r>
      <w:r>
        <w:rPr/>
        <w:t>above, para.2-</w:t>
      </w:r>
      <w:r>
        <w:rPr>
          <w:spacing w:val="-4"/>
        </w:rPr>
        <w:t>040.</w:t>
      </w:r>
    </w:p>
    <w:p>
      <w:pPr>
        <w:pStyle w:val="BodyText"/>
        <w:spacing w:before="9"/>
      </w:pPr>
    </w:p>
    <w:p>
      <w:pPr>
        <w:pStyle w:val="BodyText"/>
        <w:tabs>
          <w:tab w:pos="705" w:val="left" w:leader="none"/>
        </w:tabs>
        <w:spacing w:line="235" w:lineRule="auto"/>
        <w:ind w:left="705" w:right="168" w:hanging="541"/>
      </w:pPr>
      <w:bookmarkStart w:name="_bookmark1290" w:id="1292"/>
      <w:bookmarkEnd w:id="1292"/>
      <w:r>
        <w:rPr/>
      </w:r>
      <w:hyperlink w:history="true" w:anchor="_bookmark1131">
        <w:r>
          <w:rPr>
            <w:color w:val="005DA1"/>
            <w:spacing w:val="-4"/>
            <w:position w:val="5"/>
            <w:sz w:val="14"/>
            <w:u w:val="single" w:color="005DA1"/>
          </w:rPr>
          <w:t>613</w:t>
        </w:r>
      </w:hyperlink>
      <w:r>
        <w:rPr>
          <w:spacing w:val="-4"/>
          <w:position w:val="5"/>
          <w:sz w:val="14"/>
        </w:rPr>
        <w:t>.</w:t>
      </w:r>
      <w:r>
        <w:rPr>
          <w:position w:val="5"/>
          <w:sz w:val="14"/>
        </w:rPr>
        <w:tab/>
      </w:r>
      <w:r>
        <w:rPr/>
        <w:t>See Contracts (Rights of Third Parties) Act 1999, s.1(1), conferring rights of enforcement </w:t>
      </w:r>
      <w:r>
        <w:rPr/>
        <w:t>under the Act only on a person who “is </w:t>
      </w:r>
      <w:r>
        <w:rPr>
          <w:rFonts w:ascii="Arial" w:hAnsi="Arial"/>
          <w:i/>
        </w:rPr>
        <w:t>not </w:t>
      </w:r>
      <w:r>
        <w:rPr/>
        <w:t>a party to” the contract in question (italics supplied).</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291" w:id="1293"/>
      <w:bookmarkEnd w:id="1293"/>
      <w:r>
        <w:rPr/>
      </w:r>
      <w:hyperlink w:history="true" w:anchor="_bookmark1132">
        <w:r>
          <w:rPr>
            <w:color w:val="005DA1"/>
            <w:spacing w:val="-4"/>
            <w:position w:val="5"/>
            <w:sz w:val="14"/>
            <w:u w:val="single" w:color="005DA1"/>
          </w:rPr>
          <w:t>614</w:t>
        </w:r>
      </w:hyperlink>
      <w:r>
        <w:rPr>
          <w:spacing w:val="-4"/>
          <w:position w:val="5"/>
          <w:sz w:val="14"/>
        </w:rPr>
        <w:t>.</w:t>
      </w:r>
      <w:r>
        <w:rPr>
          <w:position w:val="5"/>
          <w:sz w:val="14"/>
        </w:rPr>
        <w:tab/>
      </w:r>
      <w:r>
        <w:rPr>
          <w:rFonts w:ascii="Arial" w:hAnsi="Arial"/>
          <w:i/>
          <w:sz w:val="20"/>
        </w:rPr>
        <w:t>[2009]</w:t>
      </w:r>
      <w:r>
        <w:rPr>
          <w:rFonts w:ascii="Arial" w:hAnsi="Arial"/>
          <w:i/>
          <w:spacing w:val="18"/>
          <w:sz w:val="20"/>
        </w:rPr>
        <w:t> </w:t>
      </w:r>
      <w:r>
        <w:rPr>
          <w:rFonts w:ascii="Arial" w:hAnsi="Arial"/>
          <w:i/>
          <w:sz w:val="20"/>
        </w:rPr>
        <w:t>EWHC</w:t>
      </w:r>
      <w:r>
        <w:rPr>
          <w:rFonts w:ascii="Arial" w:hAnsi="Arial"/>
          <w:i/>
          <w:spacing w:val="21"/>
          <w:sz w:val="20"/>
        </w:rPr>
        <w:t> </w:t>
      </w:r>
      <w:r>
        <w:rPr>
          <w:rFonts w:ascii="Arial" w:hAnsi="Arial"/>
          <w:i/>
          <w:sz w:val="20"/>
        </w:rPr>
        <w:t>716</w:t>
      </w:r>
      <w:r>
        <w:rPr>
          <w:rFonts w:ascii="Arial" w:hAnsi="Arial"/>
          <w:i/>
          <w:spacing w:val="21"/>
          <w:sz w:val="20"/>
        </w:rPr>
        <w:t> </w:t>
      </w:r>
      <w:r>
        <w:rPr>
          <w:rFonts w:ascii="Arial" w:hAnsi="Arial"/>
          <w:i/>
          <w:sz w:val="20"/>
        </w:rPr>
        <w:t>(Comm),</w:t>
      </w:r>
      <w:r>
        <w:rPr>
          <w:rFonts w:ascii="Arial" w:hAnsi="Arial"/>
          <w:i/>
          <w:spacing w:val="21"/>
          <w:sz w:val="20"/>
        </w:rPr>
        <w:t> </w:t>
      </w:r>
      <w:r>
        <w:rPr>
          <w:rFonts w:ascii="Arial" w:hAnsi="Arial"/>
          <w:i/>
          <w:sz w:val="20"/>
        </w:rPr>
        <w:t>[2009]</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z w:val="20"/>
        </w:rPr>
        <w:t>123</w:t>
      </w:r>
      <w:r>
        <w:rPr>
          <w:sz w:val="20"/>
        </w:rPr>
        <w:t>;</w:t>
      </w:r>
      <w:r>
        <w:rPr>
          <w:spacing w:val="21"/>
          <w:sz w:val="20"/>
        </w:rPr>
        <w:t> </w:t>
      </w:r>
      <w:r>
        <w:rPr>
          <w:sz w:val="20"/>
        </w:rPr>
        <w:t>followed</w:t>
      </w:r>
      <w:r>
        <w:rPr>
          <w:spacing w:val="21"/>
          <w:sz w:val="20"/>
        </w:rPr>
        <w:t> </w:t>
      </w:r>
      <w:r>
        <w:rPr>
          <w:sz w:val="20"/>
        </w:rPr>
        <w:t>in</w:t>
      </w:r>
      <w:r>
        <w:rPr>
          <w:spacing w:val="21"/>
          <w:sz w:val="20"/>
        </w:rPr>
        <w:t> </w:t>
      </w:r>
      <w:r>
        <w:rPr>
          <w:rFonts w:ascii="Arial" w:hAnsi="Arial"/>
          <w:i/>
          <w:sz w:val="20"/>
        </w:rPr>
        <w:t>San</w:t>
      </w:r>
      <w:r>
        <w:rPr>
          <w:rFonts w:ascii="Arial" w:hAnsi="Arial"/>
          <w:i/>
          <w:spacing w:val="21"/>
          <w:sz w:val="20"/>
        </w:rPr>
        <w:t> </w:t>
      </w:r>
      <w:r>
        <w:rPr>
          <w:rFonts w:ascii="Arial" w:hAnsi="Arial"/>
          <w:i/>
          <w:sz w:val="20"/>
        </w:rPr>
        <w:t>Evans</w:t>
      </w:r>
      <w:r>
        <w:rPr>
          <w:rFonts w:ascii="Arial" w:hAnsi="Arial"/>
          <w:i/>
          <w:spacing w:val="21"/>
          <w:sz w:val="20"/>
        </w:rPr>
        <w:t> </w:t>
      </w:r>
      <w:r>
        <w:rPr>
          <w:rFonts w:ascii="Arial" w:hAnsi="Arial"/>
          <w:i/>
          <w:sz w:val="20"/>
        </w:rPr>
        <w:t>Maritime</w:t>
      </w:r>
      <w:r>
        <w:rPr>
          <w:rFonts w:ascii="Arial" w:hAnsi="Arial"/>
          <w:i/>
          <w:spacing w:val="21"/>
          <w:sz w:val="20"/>
        </w:rPr>
        <w:t> </w:t>
      </w:r>
      <w:r>
        <w:rPr>
          <w:rFonts w:ascii="Arial" w:hAnsi="Arial"/>
          <w:i/>
          <w:sz w:val="20"/>
        </w:rPr>
        <w:t>Inc</w:t>
      </w:r>
      <w:r>
        <w:rPr>
          <w:rFonts w:ascii="Arial" w:hAnsi="Arial"/>
          <w:i/>
          <w:spacing w:val="21"/>
          <w:sz w:val="20"/>
        </w:rPr>
        <w:t> </w:t>
      </w:r>
      <w:r>
        <w:rPr>
          <w:rFonts w:ascii="Arial" w:hAnsi="Arial"/>
          <w:i/>
          <w:spacing w:val="-10"/>
          <w:sz w:val="20"/>
        </w:rPr>
        <w:t>v</w:t>
      </w:r>
    </w:p>
    <w:p>
      <w:pPr>
        <w:spacing w:line="235" w:lineRule="auto" w:before="2"/>
        <w:ind w:left="705" w:right="167" w:firstLine="0"/>
        <w:jc w:val="both"/>
        <w:rPr>
          <w:sz w:val="20"/>
        </w:rPr>
      </w:pPr>
      <w:r>
        <w:rPr>
          <w:rFonts w:ascii="Arial" w:hAnsi="Arial"/>
          <w:i/>
          <w:sz w:val="20"/>
        </w:rPr>
        <w:t>Aigaion Insurance Co SA (The St Efrem) [2014] EWHC 163 (Comm), [2014] 2 Lloyd’s Rep. </w:t>
      </w:r>
      <w:r>
        <w:rPr>
          <w:rFonts w:ascii="Arial" w:hAnsi="Arial"/>
          <w:i/>
          <w:sz w:val="20"/>
        </w:rPr>
        <w:t>265 </w:t>
      </w:r>
      <w:r>
        <w:rPr>
          <w:sz w:val="20"/>
        </w:rPr>
        <w:t>where the requirement of s.1(1)(b) that the term must be one that “purports to confer a benefit” on C was again not satisfied: see at [39]–[41], [44].</w:t>
      </w:r>
    </w:p>
    <w:p>
      <w:pPr>
        <w:pStyle w:val="BodyText"/>
        <w:spacing w:before="4"/>
      </w:pPr>
    </w:p>
    <w:p>
      <w:pPr>
        <w:tabs>
          <w:tab w:pos="705" w:val="left" w:leader="none"/>
        </w:tabs>
        <w:spacing w:before="1"/>
        <w:ind w:left="165" w:right="0" w:firstLine="0"/>
        <w:jc w:val="left"/>
        <w:rPr>
          <w:sz w:val="20"/>
        </w:rPr>
      </w:pPr>
      <w:bookmarkStart w:name="_bookmark1292" w:id="1294"/>
      <w:bookmarkEnd w:id="1294"/>
      <w:r>
        <w:rPr/>
      </w:r>
      <w:hyperlink w:history="true" w:anchor="_bookmark1133">
        <w:r>
          <w:rPr>
            <w:color w:val="005DA1"/>
            <w:spacing w:val="-4"/>
            <w:position w:val="5"/>
            <w:sz w:val="14"/>
            <w:u w:val="single" w:color="005DA1"/>
          </w:rPr>
          <w:t>615</w:t>
        </w:r>
      </w:hyperlink>
      <w:r>
        <w:rPr>
          <w:spacing w:val="-4"/>
          <w:position w:val="5"/>
          <w:sz w:val="14"/>
        </w:rPr>
        <w:t>.</w:t>
      </w:r>
      <w:r>
        <w:rPr>
          <w:position w:val="5"/>
          <w:sz w:val="14"/>
        </w:rPr>
        <w:tab/>
      </w:r>
      <w:r>
        <w:rPr>
          <w:sz w:val="20"/>
        </w:rPr>
        <w:t>At [75], </w:t>
      </w:r>
      <w:r>
        <w:rPr>
          <w:spacing w:val="-2"/>
          <w:sz w:val="20"/>
        </w:rPr>
        <w:t>[76].</w:t>
      </w:r>
    </w:p>
    <w:p>
      <w:pPr>
        <w:pStyle w:val="BodyText"/>
        <w:spacing w:before="4"/>
      </w:pPr>
    </w:p>
    <w:p>
      <w:pPr>
        <w:tabs>
          <w:tab w:pos="705" w:val="left" w:leader="none"/>
        </w:tabs>
        <w:spacing w:before="1"/>
        <w:ind w:left="165" w:right="0" w:firstLine="0"/>
        <w:jc w:val="left"/>
        <w:rPr>
          <w:sz w:val="20"/>
        </w:rPr>
      </w:pPr>
      <w:bookmarkStart w:name="_bookmark1293" w:id="1295"/>
      <w:bookmarkEnd w:id="1295"/>
      <w:r>
        <w:rPr/>
      </w:r>
      <w:hyperlink w:history="true" w:anchor="_bookmark1134">
        <w:r>
          <w:rPr>
            <w:color w:val="005DA1"/>
            <w:spacing w:val="-4"/>
            <w:position w:val="5"/>
            <w:sz w:val="14"/>
            <w:u w:val="single" w:color="005DA1"/>
          </w:rPr>
          <w:t>616</w:t>
        </w:r>
      </w:hyperlink>
      <w:r>
        <w:rPr>
          <w:spacing w:val="-4"/>
          <w:position w:val="5"/>
          <w:sz w:val="14"/>
        </w:rPr>
        <w:t>.</w:t>
      </w:r>
      <w:r>
        <w:rPr>
          <w:position w:val="5"/>
          <w:sz w:val="14"/>
        </w:rPr>
        <w:tab/>
      </w:r>
      <w:r>
        <w:rPr>
          <w:sz w:val="20"/>
        </w:rPr>
        <w:t>At </w:t>
      </w:r>
      <w:r>
        <w:rPr>
          <w:spacing w:val="-2"/>
          <w:sz w:val="20"/>
        </w:rPr>
        <w:t>[76].</w:t>
      </w:r>
    </w:p>
    <w:p>
      <w:pPr>
        <w:pStyle w:val="BodyText"/>
        <w:spacing w:before="5"/>
      </w:pPr>
    </w:p>
    <w:p>
      <w:pPr>
        <w:tabs>
          <w:tab w:pos="705" w:val="left" w:leader="none"/>
        </w:tabs>
        <w:spacing w:before="0"/>
        <w:ind w:left="165" w:right="0" w:firstLine="0"/>
        <w:jc w:val="left"/>
        <w:rPr>
          <w:sz w:val="20"/>
        </w:rPr>
      </w:pPr>
      <w:bookmarkStart w:name="_bookmark1294" w:id="1296"/>
      <w:bookmarkEnd w:id="1296"/>
      <w:r>
        <w:rPr/>
      </w:r>
      <w:hyperlink w:history="true" w:anchor="_bookmark1135">
        <w:r>
          <w:rPr>
            <w:color w:val="005DA1"/>
            <w:spacing w:val="-4"/>
            <w:position w:val="5"/>
            <w:sz w:val="14"/>
            <w:u w:val="single" w:color="005DA1"/>
          </w:rPr>
          <w:t>617</w:t>
        </w:r>
      </w:hyperlink>
      <w:r>
        <w:rPr>
          <w:spacing w:val="-4"/>
          <w:position w:val="5"/>
          <w:sz w:val="14"/>
        </w:rPr>
        <w:t>.</w:t>
      </w:r>
      <w:r>
        <w:rPr>
          <w:position w:val="5"/>
          <w:sz w:val="14"/>
        </w:rPr>
        <w:tab/>
      </w:r>
      <w:r>
        <w:rPr>
          <w:sz w:val="20"/>
        </w:rPr>
        <w:t>At </w:t>
      </w:r>
      <w:r>
        <w:rPr>
          <w:spacing w:val="-2"/>
          <w:sz w:val="20"/>
        </w:rPr>
        <w:t>[84].</w:t>
      </w:r>
    </w:p>
    <w:p>
      <w:pPr>
        <w:pStyle w:val="BodyText"/>
        <w:spacing w:before="5"/>
      </w:pPr>
    </w:p>
    <w:p>
      <w:pPr>
        <w:tabs>
          <w:tab w:pos="705" w:val="left" w:leader="none"/>
        </w:tabs>
        <w:spacing w:before="0"/>
        <w:ind w:left="165" w:right="0" w:firstLine="0"/>
        <w:jc w:val="left"/>
        <w:rPr>
          <w:sz w:val="20"/>
        </w:rPr>
      </w:pPr>
      <w:bookmarkStart w:name="_bookmark1295" w:id="1297"/>
      <w:bookmarkEnd w:id="1297"/>
      <w:r>
        <w:rPr/>
      </w:r>
      <w:hyperlink w:history="true" w:anchor="_bookmark1136">
        <w:r>
          <w:rPr>
            <w:color w:val="005DA1"/>
            <w:spacing w:val="-4"/>
            <w:position w:val="5"/>
            <w:sz w:val="14"/>
            <w:u w:val="single" w:color="005DA1"/>
          </w:rPr>
          <w:t>618</w:t>
        </w:r>
      </w:hyperlink>
      <w:r>
        <w:rPr>
          <w:spacing w:val="-4"/>
          <w:position w:val="5"/>
          <w:sz w:val="14"/>
        </w:rPr>
        <w:t>.</w:t>
      </w:r>
      <w:r>
        <w:rPr>
          <w:position w:val="5"/>
          <w:sz w:val="14"/>
        </w:rPr>
        <w:tab/>
      </w:r>
      <w:r>
        <w:rPr>
          <w:rFonts w:ascii="Arial"/>
          <w:i/>
          <w:sz w:val="20"/>
        </w:rPr>
        <w:t>[1968]</w:t>
      </w:r>
      <w:r>
        <w:rPr>
          <w:rFonts w:ascii="Arial"/>
          <w:i/>
          <w:spacing w:val="-1"/>
          <w:sz w:val="20"/>
        </w:rPr>
        <w:t> </w:t>
      </w:r>
      <w:r>
        <w:rPr>
          <w:rFonts w:ascii="Arial"/>
          <w:i/>
          <w:sz w:val="20"/>
        </w:rPr>
        <w:t>A.C. 58</w:t>
      </w:r>
      <w:r>
        <w:rPr>
          <w:sz w:val="20"/>
        </w:rPr>
        <w:t>; above, para.18-</w:t>
      </w:r>
      <w:r>
        <w:rPr>
          <w:spacing w:val="-4"/>
          <w:sz w:val="20"/>
        </w:rPr>
        <w:t>022.</w:t>
      </w:r>
    </w:p>
    <w:p>
      <w:pPr>
        <w:pStyle w:val="BodyText"/>
        <w:spacing w:before="8"/>
      </w:pPr>
    </w:p>
    <w:p>
      <w:pPr>
        <w:pStyle w:val="BodyText"/>
        <w:spacing w:line="235" w:lineRule="auto" w:before="1"/>
        <w:ind w:left="705" w:right="167" w:hanging="541"/>
        <w:jc w:val="both"/>
      </w:pPr>
      <w:bookmarkStart w:name="_bookmark1296" w:id="1298"/>
      <w:bookmarkEnd w:id="1298"/>
      <w:r>
        <w:rPr/>
      </w:r>
      <w:hyperlink w:history="true" w:anchor="_bookmark1137">
        <w:r>
          <w:rPr>
            <w:color w:val="005DA1"/>
            <w:position w:val="5"/>
            <w:sz w:val="14"/>
            <w:u w:val="single" w:color="005DA1"/>
          </w:rPr>
          <w:t>619</w:t>
        </w:r>
      </w:hyperlink>
      <w:r>
        <w:rPr>
          <w:position w:val="5"/>
          <w:sz w:val="14"/>
        </w:rPr>
        <w:t>.</w:t>
      </w:r>
      <w:r>
        <w:rPr>
          <w:spacing w:val="80"/>
          <w:position w:val="5"/>
          <w:sz w:val="14"/>
        </w:rPr>
        <w:t>  </w:t>
      </w:r>
      <w:r>
        <w:rPr/>
        <w:t>It would have been easy, even before the 1999 Act, for the solicitor to have drafted the </w:t>
      </w:r>
      <w:r>
        <w:rPr/>
        <w:t>contract so</w:t>
      </w:r>
      <w:r>
        <w:rPr>
          <w:spacing w:val="40"/>
        </w:rPr>
        <w:t> </w:t>
      </w:r>
      <w:r>
        <w:rPr/>
        <w:t>as</w:t>
      </w:r>
      <w:r>
        <w:rPr>
          <w:spacing w:val="40"/>
        </w:rPr>
        <w:t> </w:t>
      </w:r>
      <w:r>
        <w:rPr/>
        <w:t>to</w:t>
      </w:r>
      <w:r>
        <w:rPr>
          <w:spacing w:val="40"/>
        </w:rPr>
        <w:t> </w:t>
      </w:r>
      <w:r>
        <w:rPr/>
        <w:t>make</w:t>
      </w:r>
      <w:r>
        <w:rPr>
          <w:spacing w:val="40"/>
        </w:rPr>
        <w:t> </w:t>
      </w:r>
      <w:r>
        <w:rPr/>
        <w:t>it</w:t>
      </w:r>
      <w:r>
        <w:rPr>
          <w:spacing w:val="40"/>
        </w:rPr>
        <w:t> </w:t>
      </w:r>
      <w:r>
        <w:rPr/>
        <w:t>enforceable</w:t>
      </w:r>
      <w:r>
        <w:rPr>
          <w:spacing w:val="40"/>
        </w:rPr>
        <w:t> </w:t>
      </w:r>
      <w:r>
        <w:rPr/>
        <w:t>by</w:t>
      </w:r>
      <w:r>
        <w:rPr>
          <w:spacing w:val="40"/>
        </w:rPr>
        <w:t> </w:t>
      </w:r>
      <w:r>
        <w:rPr/>
        <w:t>C,</w:t>
      </w:r>
      <w:r>
        <w:rPr>
          <w:spacing w:val="40"/>
        </w:rPr>
        <w:t> </w:t>
      </w:r>
      <w:r>
        <w:rPr/>
        <w:t>e.g.</w:t>
      </w:r>
      <w:r>
        <w:rPr>
          <w:spacing w:val="40"/>
        </w:rPr>
        <w:t> </w:t>
      </w:r>
      <w:r>
        <w:rPr/>
        <w:t>by</w:t>
      </w:r>
      <w:r>
        <w:rPr>
          <w:spacing w:val="40"/>
        </w:rPr>
        <w:t> </w:t>
      </w:r>
      <w:r>
        <w:rPr/>
        <w:t>expressly</w:t>
      </w:r>
      <w:r>
        <w:rPr>
          <w:spacing w:val="40"/>
        </w:rPr>
        <w:t> </w:t>
      </w:r>
      <w:r>
        <w:rPr/>
        <w:t>making</w:t>
      </w:r>
      <w:r>
        <w:rPr>
          <w:spacing w:val="40"/>
        </w:rPr>
        <w:t> </w:t>
      </w:r>
      <w:r>
        <w:rPr/>
        <w:t>B</w:t>
      </w:r>
      <w:r>
        <w:rPr>
          <w:spacing w:val="40"/>
        </w:rPr>
        <w:t> </w:t>
      </w:r>
      <w:r>
        <w:rPr/>
        <w:t>trustee</w:t>
      </w:r>
      <w:r>
        <w:rPr>
          <w:spacing w:val="40"/>
        </w:rPr>
        <w:t> </w:t>
      </w:r>
      <w:r>
        <w:rPr/>
        <w:t>for</w:t>
      </w:r>
      <w:r>
        <w:rPr>
          <w:spacing w:val="40"/>
        </w:rPr>
        <w:t> </w:t>
      </w:r>
      <w:r>
        <w:rPr/>
        <w:t>C</w:t>
      </w:r>
      <w:r>
        <w:rPr>
          <w:spacing w:val="40"/>
        </w:rPr>
        <w:t> </w:t>
      </w:r>
      <w:r>
        <w:rPr/>
        <w:t>(above, para.18-081) or by making C a joint promisee with B (see above, para.4-043). We do not know whether the solicitor explained these possibilities to A and B or whether he received any instructions from them on the point.</w:t>
      </w:r>
    </w:p>
    <w:p>
      <w:pPr>
        <w:pStyle w:val="BodyText"/>
        <w:spacing w:before="4"/>
      </w:pPr>
    </w:p>
    <w:p>
      <w:pPr>
        <w:tabs>
          <w:tab w:pos="705" w:val="left" w:leader="none"/>
        </w:tabs>
        <w:spacing w:before="0"/>
        <w:ind w:left="165" w:right="0" w:firstLine="0"/>
        <w:jc w:val="left"/>
        <w:rPr>
          <w:sz w:val="20"/>
        </w:rPr>
      </w:pPr>
      <w:bookmarkStart w:name="_bookmark1297" w:id="1299"/>
      <w:bookmarkEnd w:id="1299"/>
      <w:r>
        <w:rPr/>
      </w:r>
      <w:hyperlink w:history="true" w:anchor="_bookmark1138">
        <w:r>
          <w:rPr>
            <w:color w:val="005DA1"/>
            <w:spacing w:val="-4"/>
            <w:position w:val="5"/>
            <w:sz w:val="14"/>
            <w:u w:val="single" w:color="005DA1"/>
          </w:rPr>
          <w:t>620</w:t>
        </w:r>
      </w:hyperlink>
      <w:r>
        <w:rPr>
          <w:spacing w:val="-4"/>
          <w:position w:val="5"/>
          <w:sz w:val="14"/>
        </w:rPr>
        <w:t>.</w:t>
      </w:r>
      <w:r>
        <w:rPr>
          <w:position w:val="5"/>
          <w:sz w:val="14"/>
        </w:rPr>
        <w:tab/>
      </w:r>
      <w:r>
        <w:rPr>
          <w:rFonts w:ascii="Arial"/>
          <w:i/>
          <w:sz w:val="20"/>
        </w:rPr>
        <w:t>[1995]</w:t>
      </w:r>
      <w:r>
        <w:rPr>
          <w:rFonts w:ascii="Arial"/>
          <w:i/>
          <w:spacing w:val="-1"/>
          <w:sz w:val="20"/>
        </w:rPr>
        <w:t> </w:t>
      </w:r>
      <w:r>
        <w:rPr>
          <w:rFonts w:ascii="Arial"/>
          <w:i/>
          <w:sz w:val="20"/>
        </w:rPr>
        <w:t>2 A.C. 207</w:t>
      </w:r>
      <w:r>
        <w:rPr>
          <w:sz w:val="20"/>
        </w:rPr>
        <w:t>; above, para.18-</w:t>
      </w:r>
      <w:r>
        <w:rPr>
          <w:spacing w:val="-4"/>
          <w:sz w:val="20"/>
        </w:rPr>
        <w:t>039.</w:t>
      </w:r>
    </w:p>
    <w:p>
      <w:pPr>
        <w:pStyle w:val="BodyText"/>
        <w:spacing w:before="5"/>
      </w:pPr>
    </w:p>
    <w:p>
      <w:pPr>
        <w:pStyle w:val="BodyText"/>
        <w:tabs>
          <w:tab w:pos="705" w:val="left" w:leader="none"/>
        </w:tabs>
        <w:ind w:left="165"/>
      </w:pPr>
      <w:bookmarkStart w:name="_bookmark1298" w:id="1300"/>
      <w:bookmarkEnd w:id="1300"/>
      <w:r>
        <w:rPr/>
      </w:r>
      <w:hyperlink w:history="true" w:anchor="_bookmark1139">
        <w:r>
          <w:rPr>
            <w:color w:val="005DA1"/>
            <w:spacing w:val="-4"/>
            <w:position w:val="5"/>
            <w:sz w:val="14"/>
            <w:u w:val="single" w:color="005DA1"/>
          </w:rPr>
          <w:t>621</w:t>
        </w:r>
      </w:hyperlink>
      <w:r>
        <w:rPr>
          <w:spacing w:val="-4"/>
          <w:position w:val="5"/>
          <w:sz w:val="14"/>
        </w:rPr>
        <w:t>.</w:t>
      </w:r>
      <w:r>
        <w:rPr>
          <w:position w:val="5"/>
          <w:sz w:val="14"/>
        </w:rPr>
        <w:tab/>
      </w:r>
      <w:r>
        <w:rPr/>
        <w:t>Within s.1(3): see below, paras 18-097, 18-</w:t>
      </w:r>
      <w:r>
        <w:rPr>
          <w:spacing w:val="-4"/>
        </w:rPr>
        <w:t>098.</w:t>
      </w:r>
    </w:p>
    <w:p>
      <w:pPr>
        <w:pStyle w:val="BodyText"/>
        <w:spacing w:before="5"/>
      </w:pPr>
    </w:p>
    <w:p>
      <w:pPr>
        <w:tabs>
          <w:tab w:pos="705" w:val="left" w:leader="none"/>
        </w:tabs>
        <w:spacing w:before="0"/>
        <w:ind w:left="165" w:right="0" w:firstLine="0"/>
        <w:jc w:val="left"/>
        <w:rPr>
          <w:sz w:val="20"/>
        </w:rPr>
      </w:pPr>
      <w:bookmarkStart w:name="_bookmark1299" w:id="1301"/>
      <w:bookmarkEnd w:id="1301"/>
      <w:r>
        <w:rPr/>
      </w:r>
      <w:hyperlink w:history="true" w:anchor="_bookmark1140">
        <w:r>
          <w:rPr>
            <w:color w:val="005DA1"/>
            <w:spacing w:val="-4"/>
            <w:position w:val="5"/>
            <w:sz w:val="14"/>
            <w:u w:val="single" w:color="005DA1"/>
          </w:rPr>
          <w:t>622</w:t>
        </w:r>
      </w:hyperlink>
      <w:r>
        <w:rPr>
          <w:spacing w:val="-4"/>
          <w:position w:val="5"/>
          <w:sz w:val="14"/>
        </w:rPr>
        <w:t>.</w:t>
      </w:r>
      <w:r>
        <w:rPr>
          <w:position w:val="5"/>
          <w:sz w:val="14"/>
        </w:rPr>
        <w:tab/>
      </w:r>
      <w:r>
        <w:rPr>
          <w:sz w:val="20"/>
        </w:rPr>
        <w:t>Report, </w:t>
      </w:r>
      <w:r>
        <w:rPr>
          <w:spacing w:val="-2"/>
          <w:sz w:val="20"/>
        </w:rPr>
        <w:t>para.7.25.</w:t>
      </w:r>
    </w:p>
    <w:p>
      <w:pPr>
        <w:pStyle w:val="BodyText"/>
        <w:spacing w:before="5"/>
      </w:pPr>
    </w:p>
    <w:p>
      <w:pPr>
        <w:tabs>
          <w:tab w:pos="705" w:val="left" w:leader="none"/>
        </w:tabs>
        <w:spacing w:before="0"/>
        <w:ind w:left="165" w:right="0" w:firstLine="0"/>
        <w:jc w:val="left"/>
        <w:rPr>
          <w:sz w:val="20"/>
        </w:rPr>
      </w:pPr>
      <w:bookmarkStart w:name="_bookmark1300" w:id="1302"/>
      <w:bookmarkEnd w:id="1302"/>
      <w:r>
        <w:rPr/>
      </w:r>
      <w:hyperlink w:history="true" w:anchor="_bookmark1140">
        <w:r>
          <w:rPr>
            <w:color w:val="005DA1"/>
            <w:spacing w:val="-4"/>
            <w:position w:val="5"/>
            <w:sz w:val="14"/>
            <w:u w:val="single" w:color="005DA1"/>
          </w:rPr>
          <w:t>623</w:t>
        </w:r>
      </w:hyperlink>
      <w:r>
        <w:rPr>
          <w:spacing w:val="-4"/>
          <w:position w:val="5"/>
          <w:sz w:val="14"/>
        </w:rPr>
        <w:t>.</w:t>
      </w:r>
      <w:r>
        <w:rPr>
          <w:position w:val="5"/>
          <w:sz w:val="14"/>
        </w:rPr>
        <w:tab/>
      </w:r>
      <w:r>
        <w:rPr>
          <w:rFonts w:ascii="Arial"/>
          <w:i/>
          <w:sz w:val="20"/>
        </w:rPr>
        <w:t>Junior</w:t>
      </w:r>
      <w:r>
        <w:rPr>
          <w:rFonts w:ascii="Arial"/>
          <w:i/>
          <w:spacing w:val="-1"/>
          <w:sz w:val="20"/>
        </w:rPr>
        <w:t> </w:t>
      </w:r>
      <w:r>
        <w:rPr>
          <w:rFonts w:ascii="Arial"/>
          <w:i/>
          <w:sz w:val="20"/>
        </w:rPr>
        <w:t>Books Ltd v Veitchi Co Ltd [1983] 1 A.C. 520</w:t>
      </w:r>
      <w:r>
        <w:rPr>
          <w:sz w:val="20"/>
        </w:rPr>
        <w:t>; above, para.18-</w:t>
      </w:r>
      <w:r>
        <w:rPr>
          <w:spacing w:val="-4"/>
          <w:sz w:val="20"/>
        </w:rPr>
        <w:t>025.</w:t>
      </w:r>
    </w:p>
    <w:p>
      <w:pPr>
        <w:pStyle w:val="BodyText"/>
        <w:spacing w:before="9"/>
      </w:pPr>
    </w:p>
    <w:p>
      <w:pPr>
        <w:pStyle w:val="BodyText"/>
        <w:spacing w:line="235" w:lineRule="auto"/>
        <w:ind w:left="705" w:right="167" w:hanging="541"/>
        <w:jc w:val="both"/>
      </w:pPr>
      <w:bookmarkStart w:name="_bookmark1301" w:id="1303"/>
      <w:bookmarkEnd w:id="1303"/>
      <w:r>
        <w:rPr/>
      </w:r>
      <w:hyperlink w:history="true" w:anchor="_bookmark1141">
        <w:r>
          <w:rPr>
            <w:color w:val="005DA1"/>
            <w:position w:val="5"/>
            <w:sz w:val="14"/>
            <w:u w:val="single" w:color="005DA1"/>
          </w:rPr>
          <w:t>624</w:t>
        </w:r>
      </w:hyperlink>
      <w:r>
        <w:rPr>
          <w:position w:val="5"/>
          <w:sz w:val="14"/>
        </w:rPr>
        <w:t>.</w:t>
      </w:r>
      <w:r>
        <w:rPr>
          <w:spacing w:val="80"/>
          <w:position w:val="5"/>
          <w:sz w:val="14"/>
        </w:rPr>
        <w:t> </w:t>
      </w:r>
      <w:r>
        <w:rPr/>
        <w:t>The case was a Scottish case and no claim was made in contract even though Scots law recognises</w:t>
      </w:r>
      <w:r>
        <w:rPr>
          <w:spacing w:val="-3"/>
        </w:rPr>
        <w:t> </w:t>
      </w:r>
      <w:r>
        <w:rPr/>
        <w:t>a</w:t>
      </w:r>
      <w:r>
        <w:rPr>
          <w:spacing w:val="-3"/>
        </w:rPr>
        <w:t> </w:t>
      </w:r>
      <w:r>
        <w:rPr/>
        <w:t>jus</w:t>
      </w:r>
      <w:r>
        <w:rPr>
          <w:spacing w:val="-3"/>
        </w:rPr>
        <w:t> </w:t>
      </w:r>
      <w:r>
        <w:rPr/>
        <w:t>quaesitum</w:t>
      </w:r>
      <w:r>
        <w:rPr>
          <w:spacing w:val="-3"/>
        </w:rPr>
        <w:t> </w:t>
      </w:r>
      <w:r>
        <w:rPr/>
        <w:t>tertio</w:t>
      </w:r>
      <w:r>
        <w:rPr>
          <w:spacing w:val="-3"/>
        </w:rPr>
        <w:t> </w:t>
      </w:r>
      <w:r>
        <w:rPr/>
        <w:t>arising</w:t>
      </w:r>
      <w:r>
        <w:rPr>
          <w:spacing w:val="-3"/>
        </w:rPr>
        <w:t> </w:t>
      </w:r>
      <w:r>
        <w:rPr/>
        <w:t>by</w:t>
      </w:r>
      <w:r>
        <w:rPr>
          <w:spacing w:val="-3"/>
        </w:rPr>
        <w:t> </w:t>
      </w:r>
      <w:r>
        <w:rPr/>
        <w:t>way</w:t>
      </w:r>
      <w:r>
        <w:rPr>
          <w:spacing w:val="-3"/>
        </w:rPr>
        <w:t> </w:t>
      </w:r>
      <w:r>
        <w:rPr/>
        <w:t>of</w:t>
      </w:r>
      <w:r>
        <w:rPr>
          <w:spacing w:val="-3"/>
        </w:rPr>
        <w:t> </w:t>
      </w:r>
      <w:r>
        <w:rPr/>
        <w:t>contract.</w:t>
      </w:r>
      <w:r>
        <w:rPr>
          <w:spacing w:val="-3"/>
        </w:rPr>
        <w:t> </w:t>
      </w:r>
      <w:r>
        <w:rPr/>
        <w:t>For</w:t>
      </w:r>
      <w:r>
        <w:rPr>
          <w:spacing w:val="-3"/>
        </w:rPr>
        <w:t> </w:t>
      </w:r>
      <w:r>
        <w:rPr/>
        <w:t>a</w:t>
      </w:r>
      <w:r>
        <w:rPr>
          <w:spacing w:val="-3"/>
        </w:rPr>
        <w:t> </w:t>
      </w:r>
      <w:r>
        <w:rPr/>
        <w:t>summary</w:t>
      </w:r>
      <w:r>
        <w:rPr>
          <w:spacing w:val="-3"/>
        </w:rPr>
        <w:t> </w:t>
      </w:r>
      <w:r>
        <w:rPr/>
        <w:t>of</w:t>
      </w:r>
      <w:r>
        <w:rPr>
          <w:spacing w:val="-3"/>
        </w:rPr>
        <w:t> </w:t>
      </w:r>
      <w:r>
        <w:rPr/>
        <w:t>the</w:t>
      </w:r>
      <w:r>
        <w:rPr>
          <w:spacing w:val="-3"/>
        </w:rPr>
        <w:t> </w:t>
      </w:r>
      <w:r>
        <w:rPr/>
        <w:t>requirements of this doctrine, see above, para.18-038 n.225.</w:t>
      </w:r>
    </w:p>
    <w:p>
      <w:pPr>
        <w:pStyle w:val="BodyText"/>
        <w:spacing w:before="5"/>
      </w:pPr>
    </w:p>
    <w:p>
      <w:pPr>
        <w:tabs>
          <w:tab w:pos="705" w:val="left" w:leader="none"/>
        </w:tabs>
        <w:spacing w:before="0"/>
        <w:ind w:left="165" w:right="0" w:firstLine="0"/>
        <w:jc w:val="left"/>
        <w:rPr>
          <w:sz w:val="20"/>
        </w:rPr>
      </w:pPr>
      <w:bookmarkStart w:name="_bookmark1302" w:id="1304"/>
      <w:bookmarkEnd w:id="1304"/>
      <w:r>
        <w:rPr/>
      </w:r>
      <w:hyperlink w:history="true" w:anchor="_bookmark1142">
        <w:r>
          <w:rPr>
            <w:color w:val="005DA1"/>
            <w:spacing w:val="-4"/>
            <w:position w:val="5"/>
            <w:sz w:val="14"/>
            <w:u w:val="single" w:color="005DA1"/>
          </w:rPr>
          <w:t>625</w:t>
        </w:r>
      </w:hyperlink>
      <w:r>
        <w:rPr>
          <w:spacing w:val="-4"/>
          <w:position w:val="5"/>
          <w:sz w:val="14"/>
        </w:rPr>
        <w:t>.</w:t>
      </w:r>
      <w:r>
        <w:rPr>
          <w:position w:val="5"/>
          <w:sz w:val="14"/>
        </w:rPr>
        <w:tab/>
      </w:r>
      <w:r>
        <w:rPr>
          <w:rFonts w:ascii="Arial"/>
          <w:i/>
          <w:sz w:val="20"/>
        </w:rPr>
        <w:t>Linden</w:t>
      </w:r>
      <w:r>
        <w:rPr>
          <w:rFonts w:ascii="Arial"/>
          <w:i/>
          <w:spacing w:val="59"/>
          <w:w w:val="150"/>
          <w:sz w:val="20"/>
        </w:rPr>
        <w:t> </w:t>
      </w:r>
      <w:r>
        <w:rPr>
          <w:rFonts w:ascii="Arial"/>
          <w:i/>
          <w:sz w:val="20"/>
        </w:rPr>
        <w:t>Gardens</w:t>
      </w:r>
      <w:r>
        <w:rPr>
          <w:rFonts w:ascii="Arial"/>
          <w:i/>
          <w:spacing w:val="59"/>
          <w:w w:val="150"/>
          <w:sz w:val="20"/>
        </w:rPr>
        <w:t> </w:t>
      </w:r>
      <w:r>
        <w:rPr>
          <w:rFonts w:ascii="Arial"/>
          <w:i/>
          <w:sz w:val="20"/>
        </w:rPr>
        <w:t>Trust</w:t>
      </w:r>
      <w:r>
        <w:rPr>
          <w:rFonts w:ascii="Arial"/>
          <w:i/>
          <w:spacing w:val="59"/>
          <w:w w:val="150"/>
          <w:sz w:val="20"/>
        </w:rPr>
        <w:t> </w:t>
      </w:r>
      <w:r>
        <w:rPr>
          <w:rFonts w:ascii="Arial"/>
          <w:i/>
          <w:sz w:val="20"/>
        </w:rPr>
        <w:t>Ltd</w:t>
      </w:r>
      <w:r>
        <w:rPr>
          <w:rFonts w:ascii="Arial"/>
          <w:i/>
          <w:spacing w:val="59"/>
          <w:w w:val="150"/>
          <w:sz w:val="20"/>
        </w:rPr>
        <w:t> </w:t>
      </w:r>
      <w:r>
        <w:rPr>
          <w:rFonts w:ascii="Arial"/>
          <w:i/>
          <w:sz w:val="20"/>
        </w:rPr>
        <w:t>v</w:t>
      </w:r>
      <w:r>
        <w:rPr>
          <w:rFonts w:ascii="Arial"/>
          <w:i/>
          <w:spacing w:val="59"/>
          <w:w w:val="150"/>
          <w:sz w:val="20"/>
        </w:rPr>
        <w:t> </w:t>
      </w:r>
      <w:r>
        <w:rPr>
          <w:rFonts w:ascii="Arial"/>
          <w:i/>
          <w:sz w:val="20"/>
        </w:rPr>
        <w:t>Lenesta</w:t>
      </w:r>
      <w:r>
        <w:rPr>
          <w:rFonts w:ascii="Arial"/>
          <w:i/>
          <w:spacing w:val="59"/>
          <w:w w:val="150"/>
          <w:sz w:val="20"/>
        </w:rPr>
        <w:t> </w:t>
      </w:r>
      <w:r>
        <w:rPr>
          <w:rFonts w:ascii="Arial"/>
          <w:i/>
          <w:sz w:val="20"/>
        </w:rPr>
        <w:t>Sludge</w:t>
      </w:r>
      <w:r>
        <w:rPr>
          <w:rFonts w:ascii="Arial"/>
          <w:i/>
          <w:spacing w:val="59"/>
          <w:w w:val="150"/>
          <w:sz w:val="20"/>
        </w:rPr>
        <w:t> </w:t>
      </w:r>
      <w:r>
        <w:rPr>
          <w:rFonts w:ascii="Arial"/>
          <w:i/>
          <w:sz w:val="20"/>
        </w:rPr>
        <w:t>Disposals</w:t>
      </w:r>
      <w:r>
        <w:rPr>
          <w:rFonts w:ascii="Arial"/>
          <w:i/>
          <w:spacing w:val="60"/>
          <w:w w:val="150"/>
          <w:sz w:val="20"/>
        </w:rPr>
        <w:t> </w:t>
      </w:r>
      <w:r>
        <w:rPr>
          <w:rFonts w:ascii="Arial"/>
          <w:i/>
          <w:sz w:val="20"/>
        </w:rPr>
        <w:t>Ltd</w:t>
      </w:r>
      <w:r>
        <w:rPr>
          <w:rFonts w:ascii="Arial"/>
          <w:i/>
          <w:spacing w:val="59"/>
          <w:w w:val="150"/>
          <w:sz w:val="20"/>
        </w:rPr>
        <w:t> </w:t>
      </w:r>
      <w:r>
        <w:rPr>
          <w:rFonts w:ascii="Arial"/>
          <w:i/>
          <w:sz w:val="20"/>
        </w:rPr>
        <w:t>[1994]</w:t>
      </w:r>
      <w:r>
        <w:rPr>
          <w:rFonts w:ascii="Arial"/>
          <w:i/>
          <w:spacing w:val="59"/>
          <w:w w:val="150"/>
          <w:sz w:val="20"/>
        </w:rPr>
        <w:t> </w:t>
      </w:r>
      <w:r>
        <w:rPr>
          <w:rFonts w:ascii="Arial"/>
          <w:i/>
          <w:sz w:val="20"/>
        </w:rPr>
        <w:t>1</w:t>
      </w:r>
      <w:r>
        <w:rPr>
          <w:rFonts w:ascii="Arial"/>
          <w:i/>
          <w:spacing w:val="59"/>
          <w:w w:val="150"/>
          <w:sz w:val="20"/>
        </w:rPr>
        <w:t> </w:t>
      </w:r>
      <w:r>
        <w:rPr>
          <w:rFonts w:ascii="Arial"/>
          <w:i/>
          <w:sz w:val="20"/>
        </w:rPr>
        <w:t>A.C.</w:t>
      </w:r>
      <w:r>
        <w:rPr>
          <w:rFonts w:ascii="Arial"/>
          <w:i/>
          <w:spacing w:val="59"/>
          <w:w w:val="150"/>
          <w:sz w:val="20"/>
        </w:rPr>
        <w:t> </w:t>
      </w:r>
      <w:r>
        <w:rPr>
          <w:rFonts w:ascii="Arial"/>
          <w:i/>
          <w:sz w:val="20"/>
        </w:rPr>
        <w:t>85</w:t>
      </w:r>
      <w:r>
        <w:rPr>
          <w:sz w:val="20"/>
        </w:rPr>
        <w:t>;</w:t>
      </w:r>
      <w:r>
        <w:rPr>
          <w:spacing w:val="59"/>
          <w:w w:val="150"/>
          <w:sz w:val="20"/>
        </w:rPr>
        <w:t> </w:t>
      </w:r>
      <w:r>
        <w:rPr>
          <w:spacing w:val="-2"/>
          <w:sz w:val="20"/>
        </w:rPr>
        <w:t>above,</w:t>
      </w:r>
    </w:p>
    <w:p>
      <w:pPr>
        <w:spacing w:after="0"/>
        <w:jc w:val="left"/>
        <w:rPr>
          <w:sz w:val="20"/>
        </w:rPr>
        <w:sectPr>
          <w:pgSz w:w="11900" w:h="16840"/>
          <w:pgMar w:header="971" w:footer="0" w:top="1160" w:bottom="280" w:left="1275" w:right="1275"/>
        </w:sectPr>
      </w:pPr>
    </w:p>
    <w:p>
      <w:pPr>
        <w:pStyle w:val="BodyText"/>
        <w:spacing w:before="21"/>
      </w:pPr>
    </w:p>
    <w:p>
      <w:pPr>
        <w:pStyle w:val="BodyText"/>
        <w:ind w:left="705"/>
      </w:pPr>
      <w:r>
        <w:rPr/>
        <w:t>para.18-</w:t>
      </w:r>
      <w:r>
        <w:rPr>
          <w:spacing w:val="-4"/>
        </w:rPr>
        <w:t>055.</w:t>
      </w:r>
    </w:p>
    <w:p>
      <w:pPr>
        <w:pStyle w:val="BodyText"/>
        <w:spacing w:before="5"/>
      </w:pPr>
    </w:p>
    <w:p>
      <w:pPr>
        <w:pStyle w:val="BodyText"/>
        <w:tabs>
          <w:tab w:pos="705" w:val="left" w:leader="none"/>
        </w:tabs>
        <w:ind w:left="165"/>
      </w:pPr>
      <w:bookmarkStart w:name="_bookmark1303" w:id="1305"/>
      <w:bookmarkEnd w:id="1305"/>
      <w:r>
        <w:rPr/>
      </w:r>
      <w:hyperlink w:history="true" w:anchor="_bookmark1143">
        <w:r>
          <w:rPr>
            <w:color w:val="005DA1"/>
            <w:spacing w:val="-4"/>
            <w:position w:val="5"/>
            <w:sz w:val="14"/>
            <w:u w:val="single" w:color="005DA1"/>
          </w:rPr>
          <w:t>626</w:t>
        </w:r>
      </w:hyperlink>
      <w:r>
        <w:rPr>
          <w:spacing w:val="-4"/>
          <w:position w:val="5"/>
          <w:sz w:val="14"/>
        </w:rPr>
        <w:t>.</w:t>
      </w:r>
      <w:r>
        <w:rPr>
          <w:position w:val="5"/>
          <w:sz w:val="14"/>
        </w:rPr>
        <w:tab/>
      </w:r>
      <w:r>
        <w:rPr/>
        <w:t>Within s.1(3), below paras 18-097, 18-</w:t>
      </w:r>
      <w:r>
        <w:rPr>
          <w:spacing w:val="-4"/>
        </w:rPr>
        <w:t>098.</w:t>
      </w:r>
    </w:p>
    <w:p>
      <w:pPr>
        <w:pStyle w:val="BodyText"/>
        <w:spacing w:before="5"/>
      </w:pPr>
    </w:p>
    <w:p>
      <w:pPr>
        <w:tabs>
          <w:tab w:pos="705" w:val="left" w:leader="none"/>
        </w:tabs>
        <w:spacing w:before="0"/>
        <w:ind w:left="165" w:right="0" w:firstLine="0"/>
        <w:jc w:val="left"/>
        <w:rPr>
          <w:sz w:val="20"/>
        </w:rPr>
      </w:pPr>
      <w:bookmarkStart w:name="_bookmark1304" w:id="1306"/>
      <w:bookmarkEnd w:id="1306"/>
      <w:r>
        <w:rPr/>
      </w:r>
      <w:hyperlink w:history="true" w:anchor="_bookmark1144">
        <w:r>
          <w:rPr>
            <w:color w:val="005DA1"/>
            <w:spacing w:val="-4"/>
            <w:position w:val="5"/>
            <w:sz w:val="14"/>
            <w:u w:val="single" w:color="005DA1"/>
          </w:rPr>
          <w:t>627</w:t>
        </w:r>
      </w:hyperlink>
      <w:r>
        <w:rPr>
          <w:spacing w:val="-4"/>
          <w:position w:val="5"/>
          <w:sz w:val="14"/>
        </w:rPr>
        <w:t>.</w:t>
      </w:r>
      <w:r>
        <w:rPr>
          <w:position w:val="5"/>
          <w:sz w:val="14"/>
        </w:rPr>
        <w:tab/>
      </w:r>
      <w:r>
        <w:rPr>
          <w:rFonts w:ascii="Arial"/>
          <w:i/>
          <w:sz w:val="20"/>
        </w:rPr>
        <w:t>Alfred</w:t>
      </w:r>
      <w:r>
        <w:rPr>
          <w:rFonts w:ascii="Arial"/>
          <w:i/>
          <w:spacing w:val="-1"/>
          <w:sz w:val="20"/>
        </w:rPr>
        <w:t> </w:t>
      </w:r>
      <w:r>
        <w:rPr>
          <w:rFonts w:ascii="Arial"/>
          <w:i/>
          <w:sz w:val="20"/>
        </w:rPr>
        <w:t>McAlpine Construction Ltd v Panatown Ltd [2001] 1 A.C. 518</w:t>
      </w:r>
      <w:r>
        <w:rPr>
          <w:sz w:val="20"/>
        </w:rPr>
        <w:t>, above, para.18-</w:t>
      </w:r>
      <w:r>
        <w:rPr>
          <w:spacing w:val="-4"/>
          <w:sz w:val="20"/>
        </w:rPr>
        <w:t>060.</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305" w:id="1307"/>
      <w:bookmarkEnd w:id="1307"/>
      <w:r>
        <w:rPr/>
      </w:r>
      <w:hyperlink w:history="true" w:anchor="_bookmark1145">
        <w:r>
          <w:rPr>
            <w:color w:val="005DA1"/>
            <w:spacing w:val="-4"/>
            <w:position w:val="5"/>
            <w:sz w:val="14"/>
            <w:u w:val="single" w:color="005DA1"/>
          </w:rPr>
          <w:t>628</w:t>
        </w:r>
      </w:hyperlink>
      <w:r>
        <w:rPr>
          <w:spacing w:val="-4"/>
          <w:position w:val="5"/>
          <w:sz w:val="14"/>
        </w:rPr>
        <w:t>.</w:t>
      </w:r>
      <w:r>
        <w:rPr>
          <w:position w:val="5"/>
          <w:sz w:val="14"/>
        </w:rPr>
        <w:tab/>
      </w:r>
      <w:r>
        <w:rPr>
          <w:sz w:val="20"/>
        </w:rPr>
        <w:t>As</w:t>
      </w:r>
      <w:r>
        <w:rPr>
          <w:spacing w:val="41"/>
          <w:sz w:val="20"/>
        </w:rPr>
        <w:t> </w:t>
      </w:r>
      <w:r>
        <w:rPr>
          <w:sz w:val="20"/>
        </w:rPr>
        <w:t>appears</w:t>
      </w:r>
      <w:r>
        <w:rPr>
          <w:spacing w:val="41"/>
          <w:sz w:val="20"/>
        </w:rPr>
        <w:t> </w:t>
      </w:r>
      <w:r>
        <w:rPr>
          <w:sz w:val="20"/>
        </w:rPr>
        <w:t>to</w:t>
      </w:r>
      <w:r>
        <w:rPr>
          <w:spacing w:val="41"/>
          <w:sz w:val="20"/>
        </w:rPr>
        <w:t> </w:t>
      </w:r>
      <w:r>
        <w:rPr>
          <w:sz w:val="20"/>
        </w:rPr>
        <w:t>have</w:t>
      </w:r>
      <w:r>
        <w:rPr>
          <w:spacing w:val="41"/>
          <w:sz w:val="20"/>
        </w:rPr>
        <w:t> </w:t>
      </w:r>
      <w:r>
        <w:rPr>
          <w:sz w:val="20"/>
        </w:rPr>
        <w:t>been</w:t>
      </w:r>
      <w:r>
        <w:rPr>
          <w:spacing w:val="41"/>
          <w:sz w:val="20"/>
        </w:rPr>
        <w:t> </w:t>
      </w:r>
      <w:r>
        <w:rPr>
          <w:sz w:val="20"/>
        </w:rPr>
        <w:t>the</w:t>
      </w:r>
      <w:r>
        <w:rPr>
          <w:spacing w:val="41"/>
          <w:sz w:val="20"/>
        </w:rPr>
        <w:t> </w:t>
      </w:r>
      <w:r>
        <w:rPr>
          <w:sz w:val="20"/>
        </w:rPr>
        <w:t>position</w:t>
      </w:r>
      <w:r>
        <w:rPr>
          <w:spacing w:val="41"/>
          <w:sz w:val="20"/>
        </w:rPr>
        <w:t> </w:t>
      </w:r>
      <w:r>
        <w:rPr>
          <w:sz w:val="20"/>
        </w:rPr>
        <w:t>in</w:t>
      </w:r>
      <w:r>
        <w:rPr>
          <w:spacing w:val="40"/>
          <w:sz w:val="20"/>
        </w:rPr>
        <w:t> </w:t>
      </w:r>
      <w:r>
        <w:rPr>
          <w:rFonts w:ascii="Arial"/>
          <w:i/>
          <w:sz w:val="20"/>
        </w:rPr>
        <w:t>Darlington</w:t>
      </w:r>
      <w:r>
        <w:rPr>
          <w:rFonts w:ascii="Arial"/>
          <w:i/>
          <w:spacing w:val="41"/>
          <w:sz w:val="20"/>
        </w:rPr>
        <w:t> </w:t>
      </w:r>
      <w:r>
        <w:rPr>
          <w:rFonts w:ascii="Arial"/>
          <w:i/>
          <w:sz w:val="20"/>
        </w:rPr>
        <w:t>B.C.</w:t>
      </w:r>
      <w:r>
        <w:rPr>
          <w:rFonts w:ascii="Arial"/>
          <w:i/>
          <w:spacing w:val="41"/>
          <w:sz w:val="20"/>
        </w:rPr>
        <w:t> </w:t>
      </w:r>
      <w:r>
        <w:rPr>
          <w:rFonts w:ascii="Arial"/>
          <w:i/>
          <w:sz w:val="20"/>
        </w:rPr>
        <w:t>v</w:t>
      </w:r>
      <w:r>
        <w:rPr>
          <w:rFonts w:ascii="Arial"/>
          <w:i/>
          <w:spacing w:val="41"/>
          <w:sz w:val="20"/>
        </w:rPr>
        <w:t> </w:t>
      </w:r>
      <w:r>
        <w:rPr>
          <w:rFonts w:ascii="Arial"/>
          <w:i/>
          <w:sz w:val="20"/>
        </w:rPr>
        <w:t>Wiltshier</w:t>
      </w:r>
      <w:r>
        <w:rPr>
          <w:rFonts w:ascii="Arial"/>
          <w:i/>
          <w:spacing w:val="41"/>
          <w:sz w:val="20"/>
        </w:rPr>
        <w:t> </w:t>
      </w:r>
      <w:r>
        <w:rPr>
          <w:rFonts w:ascii="Arial"/>
          <w:i/>
          <w:sz w:val="20"/>
        </w:rPr>
        <w:t>Northern</w:t>
      </w:r>
      <w:r>
        <w:rPr>
          <w:rFonts w:ascii="Arial"/>
          <w:i/>
          <w:spacing w:val="41"/>
          <w:sz w:val="20"/>
        </w:rPr>
        <w:t> </w:t>
      </w:r>
      <w:r>
        <w:rPr>
          <w:rFonts w:ascii="Arial"/>
          <w:i/>
          <w:sz w:val="20"/>
        </w:rPr>
        <w:t>Ltd</w:t>
      </w:r>
      <w:r>
        <w:rPr>
          <w:rFonts w:ascii="Arial"/>
          <w:i/>
          <w:spacing w:val="41"/>
          <w:sz w:val="20"/>
        </w:rPr>
        <w:t> </w:t>
      </w:r>
      <w:r>
        <w:rPr>
          <w:rFonts w:ascii="Arial"/>
          <w:i/>
          <w:sz w:val="20"/>
        </w:rPr>
        <w:t>[1995]</w:t>
      </w:r>
      <w:r>
        <w:rPr>
          <w:rFonts w:ascii="Arial"/>
          <w:i/>
          <w:spacing w:val="41"/>
          <w:sz w:val="20"/>
        </w:rPr>
        <w:t> </w:t>
      </w:r>
      <w:r>
        <w:rPr>
          <w:rFonts w:ascii="Arial"/>
          <w:i/>
          <w:spacing w:val="-10"/>
          <w:sz w:val="20"/>
        </w:rPr>
        <w:t>1</w:t>
      </w:r>
    </w:p>
    <w:p>
      <w:pPr>
        <w:spacing w:line="227" w:lineRule="exact" w:before="0"/>
        <w:ind w:left="705" w:right="0" w:firstLine="0"/>
        <w:jc w:val="left"/>
        <w:rPr>
          <w:sz w:val="20"/>
        </w:rPr>
      </w:pPr>
      <w:r>
        <w:rPr>
          <w:rFonts w:ascii="Arial"/>
          <w:i/>
          <w:sz w:val="20"/>
        </w:rPr>
        <w:t>W.L.R. </w:t>
      </w:r>
      <w:r>
        <w:rPr>
          <w:rFonts w:ascii="Arial"/>
          <w:i/>
          <w:spacing w:val="-5"/>
          <w:sz w:val="20"/>
        </w:rPr>
        <w:t>68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306" w:id="1308"/>
      <w:bookmarkEnd w:id="1308"/>
      <w:r>
        <w:rPr/>
      </w:r>
      <w:hyperlink w:history="true" w:anchor="_bookmark1146">
        <w:r>
          <w:rPr>
            <w:color w:val="005DA1"/>
            <w:spacing w:val="-4"/>
            <w:position w:val="5"/>
            <w:sz w:val="14"/>
            <w:u w:val="single" w:color="005DA1"/>
          </w:rPr>
          <w:t>629</w:t>
        </w:r>
      </w:hyperlink>
      <w:r>
        <w:rPr>
          <w:spacing w:val="-4"/>
          <w:position w:val="5"/>
          <w:sz w:val="14"/>
        </w:rPr>
        <w:t>.</w:t>
      </w:r>
      <w:r>
        <w:rPr>
          <w:position w:val="5"/>
          <w:sz w:val="14"/>
        </w:rPr>
        <w:tab/>
      </w:r>
      <w:r>
        <w:rPr>
          <w:sz w:val="20"/>
        </w:rPr>
        <w:t>Italics </w:t>
      </w:r>
      <w:r>
        <w:rPr>
          <w:spacing w:val="-2"/>
          <w:sz w:val="20"/>
        </w:rPr>
        <w:t>supplied.</w:t>
      </w:r>
    </w:p>
    <w:p>
      <w:pPr>
        <w:pStyle w:val="BodyText"/>
        <w:spacing w:before="9"/>
      </w:pPr>
    </w:p>
    <w:p>
      <w:pPr>
        <w:pStyle w:val="BodyText"/>
        <w:spacing w:line="235" w:lineRule="auto"/>
        <w:ind w:left="705" w:right="167" w:hanging="541"/>
        <w:jc w:val="both"/>
      </w:pPr>
      <w:bookmarkStart w:name="_bookmark1307" w:id="1309"/>
      <w:bookmarkEnd w:id="1309"/>
      <w:r>
        <w:rPr/>
      </w:r>
      <w:hyperlink w:history="true" w:anchor="_bookmark1147">
        <w:r>
          <w:rPr>
            <w:color w:val="005DA1"/>
            <w:position w:val="5"/>
            <w:sz w:val="14"/>
            <w:u w:val="single" w:color="005DA1"/>
          </w:rPr>
          <w:t>630</w:t>
        </w:r>
      </w:hyperlink>
      <w:r>
        <w:rPr>
          <w:position w:val="5"/>
          <w:sz w:val="14"/>
        </w:rPr>
        <w:t>.</w:t>
      </w:r>
      <w:r>
        <w:rPr>
          <w:spacing w:val="40"/>
          <w:position w:val="5"/>
          <w:sz w:val="14"/>
        </w:rPr>
        <w:t>  </w:t>
      </w:r>
      <w:r>
        <w:rPr/>
        <w:t>See</w:t>
      </w:r>
      <w:r>
        <w:rPr>
          <w:spacing w:val="40"/>
        </w:rPr>
        <w:t> </w:t>
      </w:r>
      <w:r>
        <w:rPr>
          <w:rFonts w:ascii="Arial" w:hAnsi="Arial"/>
          <w:i/>
        </w:rPr>
        <w:t>Avraamides</w:t>
      </w:r>
      <w:r>
        <w:rPr>
          <w:rFonts w:ascii="Arial" w:hAnsi="Arial"/>
          <w:i/>
          <w:spacing w:val="40"/>
        </w:rPr>
        <w:t> </w:t>
      </w:r>
      <w:r>
        <w:rPr>
          <w:rFonts w:ascii="Arial" w:hAnsi="Arial"/>
          <w:i/>
        </w:rPr>
        <w:t>v</w:t>
      </w:r>
      <w:r>
        <w:rPr>
          <w:rFonts w:ascii="Arial" w:hAnsi="Arial"/>
          <w:i/>
          <w:spacing w:val="40"/>
        </w:rPr>
        <w:t> </w:t>
      </w:r>
      <w:r>
        <w:rPr>
          <w:rFonts w:ascii="Arial" w:hAnsi="Arial"/>
          <w:i/>
        </w:rPr>
        <w:t>Colwill</w:t>
      </w:r>
      <w:r>
        <w:rPr>
          <w:rFonts w:ascii="Arial" w:hAnsi="Arial"/>
          <w:i/>
          <w:spacing w:val="40"/>
        </w:rPr>
        <w:t> </w:t>
      </w:r>
      <w:r>
        <w:rPr>
          <w:rFonts w:ascii="Arial" w:hAnsi="Arial"/>
          <w:i/>
        </w:rPr>
        <w:t>[2006]</w:t>
      </w:r>
      <w:r>
        <w:rPr>
          <w:rFonts w:ascii="Arial" w:hAnsi="Arial"/>
          <w:i/>
          <w:spacing w:val="40"/>
        </w:rPr>
        <w:t> </w:t>
      </w:r>
      <w:r>
        <w:rPr>
          <w:rFonts w:ascii="Arial" w:hAnsi="Arial"/>
          <w:i/>
        </w:rPr>
        <w:t>EWCA</w:t>
      </w:r>
      <w:r>
        <w:rPr>
          <w:rFonts w:ascii="Arial" w:hAnsi="Arial"/>
          <w:i/>
          <w:spacing w:val="40"/>
        </w:rPr>
        <w:t> </w:t>
      </w:r>
      <w:r>
        <w:rPr>
          <w:rFonts w:ascii="Arial" w:hAnsi="Arial"/>
          <w:i/>
        </w:rPr>
        <w:t>Civ</w:t>
      </w:r>
      <w:r>
        <w:rPr>
          <w:rFonts w:ascii="Arial" w:hAnsi="Arial"/>
          <w:i/>
          <w:spacing w:val="40"/>
        </w:rPr>
        <w:t> </w:t>
      </w:r>
      <w:r>
        <w:rPr>
          <w:rFonts w:ascii="Arial" w:hAnsi="Arial"/>
          <w:i/>
        </w:rPr>
        <w:t>1533,</w:t>
      </w:r>
      <w:r>
        <w:rPr>
          <w:rFonts w:ascii="Arial" w:hAnsi="Arial"/>
          <w:i/>
          <w:spacing w:val="40"/>
        </w:rPr>
        <w:t> </w:t>
      </w:r>
      <w:r>
        <w:rPr>
          <w:rFonts w:ascii="Arial" w:hAnsi="Arial"/>
          <w:i/>
        </w:rPr>
        <w:t>[2007]</w:t>
      </w:r>
      <w:r>
        <w:rPr>
          <w:rFonts w:ascii="Arial" w:hAnsi="Arial"/>
          <w:i/>
          <w:spacing w:val="40"/>
        </w:rPr>
        <w:t> </w:t>
      </w:r>
      <w:r>
        <w:rPr>
          <w:rFonts w:ascii="Arial" w:hAnsi="Arial"/>
          <w:i/>
        </w:rPr>
        <w:t>B.L.R.</w:t>
      </w:r>
      <w:r>
        <w:rPr>
          <w:rFonts w:ascii="Arial" w:hAnsi="Arial"/>
          <w:i/>
          <w:spacing w:val="40"/>
        </w:rPr>
        <w:t> </w:t>
      </w:r>
      <w:r>
        <w:rPr>
          <w:rFonts w:ascii="Arial" w:hAnsi="Arial"/>
          <w:i/>
        </w:rPr>
        <w:t>76</w:t>
      </w:r>
      <w:r>
        <w:rPr>
          <w:rFonts w:ascii="Arial" w:hAnsi="Arial"/>
          <w:i/>
          <w:spacing w:val="40"/>
        </w:rPr>
        <w:t> </w:t>
      </w:r>
      <w:r>
        <w:rPr/>
        <w:t>at</w:t>
      </w:r>
      <w:r>
        <w:rPr>
          <w:spacing w:val="40"/>
        </w:rPr>
        <w:t> </w:t>
      </w:r>
      <w:r>
        <w:rPr/>
        <w:t>[19],</w:t>
      </w:r>
      <w:r>
        <w:rPr>
          <w:spacing w:val="40"/>
        </w:rPr>
        <w:t> </w:t>
      </w:r>
      <w:r>
        <w:rPr/>
        <w:t>where</w:t>
      </w:r>
      <w:r>
        <w:rPr>
          <w:spacing w:val="40"/>
        </w:rPr>
        <w:t> </w:t>
      </w:r>
      <w:r>
        <w:rPr/>
        <w:t>on</w:t>
      </w:r>
      <w:r>
        <w:rPr>
          <w:spacing w:val="40"/>
        </w:rPr>
        <w:t> </w:t>
      </w:r>
      <w:r>
        <w:rPr/>
        <w:t>the transfer of B’s business to A, A promised B to pay “any liabilities properly incurred by B.” This was held not to amount to an express identification of one of B’s former customers (even</w:t>
      </w:r>
      <w:r>
        <w:rPr>
          <w:spacing w:val="40"/>
        </w:rPr>
        <w:t> </w:t>
      </w:r>
      <w:r>
        <w:rPr/>
        <w:t>though A had also promised “to complete outstanding customer orders”) since the “liabilities” to which it referred “would benefit third parties but of a large number of </w:t>
      </w:r>
      <w:r>
        <w:rPr>
          <w:rFonts w:ascii="Arial" w:hAnsi="Arial"/>
          <w:i/>
        </w:rPr>
        <w:t>unidentified </w:t>
      </w:r>
      <w:r>
        <w:rPr/>
        <w:t>classes” (at [19], italics supplied). For identification of a third party “as a member of a class or as answering a particular description” within s.1(3), see </w:t>
      </w:r>
      <w:r>
        <w:rPr>
          <w:rFonts w:ascii="Arial" w:hAnsi="Arial"/>
          <w:i/>
        </w:rPr>
        <w:t>Crowson v HSBC Insurance Brokers Ltd [2010] 1 Lloyd’s Rep. I.R. 441</w:t>
      </w:r>
      <w:r>
        <w:rPr>
          <w:rFonts w:ascii="Arial" w:hAnsi="Arial"/>
          <w:i/>
          <w:spacing w:val="-1"/>
        </w:rPr>
        <w:t> </w:t>
      </w:r>
      <w:r>
        <w:rPr/>
        <w:t>at [12] (directors of the company with which the contract had been made).</w:t>
      </w:r>
    </w:p>
    <w:p>
      <w:pPr>
        <w:pStyle w:val="BodyText"/>
        <w:spacing w:before="3"/>
      </w:pPr>
    </w:p>
    <w:p>
      <w:pPr>
        <w:pStyle w:val="BodyText"/>
        <w:tabs>
          <w:tab w:pos="705" w:val="left" w:leader="none"/>
        </w:tabs>
        <w:ind w:left="165"/>
      </w:pPr>
      <w:bookmarkStart w:name="_bookmark1308" w:id="1310"/>
      <w:bookmarkEnd w:id="1310"/>
      <w:r>
        <w:rPr/>
      </w:r>
      <w:hyperlink w:history="true" w:anchor="_bookmark1148">
        <w:r>
          <w:rPr>
            <w:color w:val="005DA1"/>
            <w:spacing w:val="-4"/>
            <w:position w:val="5"/>
            <w:sz w:val="14"/>
            <w:u w:val="single" w:color="005DA1"/>
          </w:rPr>
          <w:t>631</w:t>
        </w:r>
      </w:hyperlink>
      <w:r>
        <w:rPr>
          <w:spacing w:val="-4"/>
          <w:position w:val="5"/>
          <w:sz w:val="14"/>
        </w:rPr>
        <w:t>.</w:t>
      </w:r>
      <w:r>
        <w:rPr>
          <w:position w:val="5"/>
          <w:sz w:val="14"/>
        </w:rPr>
        <w:tab/>
      </w:r>
      <w:r>
        <w:rPr/>
        <w:t>See para.13-124 </w:t>
      </w:r>
      <w:r>
        <w:rPr>
          <w:spacing w:val="-2"/>
        </w:rPr>
        <w:t>above.</w:t>
      </w:r>
    </w:p>
    <w:p>
      <w:pPr>
        <w:pStyle w:val="BodyText"/>
        <w:spacing w:before="9"/>
      </w:pPr>
    </w:p>
    <w:p>
      <w:pPr>
        <w:tabs>
          <w:tab w:pos="705" w:val="left" w:leader="none"/>
        </w:tabs>
        <w:spacing w:line="235" w:lineRule="auto" w:before="0"/>
        <w:ind w:left="705" w:right="168" w:hanging="541"/>
        <w:jc w:val="left"/>
        <w:rPr>
          <w:sz w:val="20"/>
        </w:rPr>
      </w:pPr>
      <w:bookmarkStart w:name="_bookmark1309" w:id="1311"/>
      <w:bookmarkEnd w:id="1311"/>
      <w:r>
        <w:rPr/>
      </w:r>
      <w:hyperlink w:history="true" w:anchor="_bookmark1149">
        <w:r>
          <w:rPr>
            <w:color w:val="005DA1"/>
            <w:spacing w:val="-4"/>
            <w:position w:val="5"/>
            <w:sz w:val="14"/>
            <w:u w:val="single" w:color="005DA1"/>
          </w:rPr>
          <w:t>632</w:t>
        </w:r>
      </w:hyperlink>
      <w:r>
        <w:rPr>
          <w:spacing w:val="-4"/>
          <w:position w:val="5"/>
          <w:sz w:val="14"/>
        </w:rPr>
        <w:t>.</w:t>
      </w:r>
      <w:r>
        <w:rPr>
          <w:position w:val="5"/>
          <w:sz w:val="14"/>
        </w:rPr>
        <w:tab/>
      </w:r>
      <w:r>
        <w:rPr>
          <w:rFonts w:ascii="Arial" w:hAnsi="Arial"/>
          <w:i/>
          <w:sz w:val="20"/>
        </w:rPr>
        <w:t>Starlight</w:t>
      </w:r>
      <w:r>
        <w:rPr>
          <w:rFonts w:ascii="Arial" w:hAnsi="Arial"/>
          <w:i/>
          <w:spacing w:val="40"/>
          <w:sz w:val="20"/>
        </w:rPr>
        <w:t> </w:t>
      </w:r>
      <w:r>
        <w:rPr>
          <w:rFonts w:ascii="Arial" w:hAnsi="Arial"/>
          <w:i/>
          <w:sz w:val="20"/>
        </w:rPr>
        <w:t>Shipping</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Allianz</w:t>
      </w:r>
      <w:r>
        <w:rPr>
          <w:rFonts w:ascii="Arial" w:hAnsi="Arial"/>
          <w:i/>
          <w:spacing w:val="40"/>
          <w:sz w:val="20"/>
        </w:rPr>
        <w:t> </w:t>
      </w:r>
      <w:r>
        <w:rPr>
          <w:rFonts w:ascii="Arial" w:hAnsi="Arial"/>
          <w:i/>
          <w:sz w:val="20"/>
        </w:rPr>
        <w:t>Versicherungs</w:t>
      </w:r>
      <w:r>
        <w:rPr>
          <w:rFonts w:ascii="Arial" w:hAnsi="Arial"/>
          <w:i/>
          <w:spacing w:val="40"/>
          <w:sz w:val="20"/>
        </w:rPr>
        <w:t> </w:t>
      </w:r>
      <w:r>
        <w:rPr>
          <w:rFonts w:ascii="Arial" w:hAnsi="Arial"/>
          <w:i/>
          <w:sz w:val="20"/>
        </w:rPr>
        <w:t>AG</w:t>
      </w:r>
      <w:r>
        <w:rPr>
          <w:rFonts w:ascii="Arial" w:hAnsi="Arial"/>
          <w:i/>
          <w:spacing w:val="40"/>
          <w:sz w:val="20"/>
        </w:rPr>
        <w:t> </w:t>
      </w:r>
      <w:r>
        <w:rPr>
          <w:rFonts w:ascii="Arial" w:hAnsi="Arial"/>
          <w:i/>
          <w:sz w:val="20"/>
        </w:rPr>
        <w:t>(The</w:t>
      </w:r>
      <w:r>
        <w:rPr>
          <w:rFonts w:ascii="Arial" w:hAnsi="Arial"/>
          <w:i/>
          <w:spacing w:val="40"/>
          <w:sz w:val="20"/>
        </w:rPr>
        <w:t> </w:t>
      </w:r>
      <w:r>
        <w:rPr>
          <w:rFonts w:ascii="Arial" w:hAnsi="Arial"/>
          <w:i/>
          <w:sz w:val="20"/>
        </w:rPr>
        <w:t>Alexandros</w:t>
      </w:r>
      <w:r>
        <w:rPr>
          <w:rFonts w:ascii="Arial" w:hAnsi="Arial"/>
          <w:i/>
          <w:spacing w:val="40"/>
          <w:sz w:val="20"/>
        </w:rPr>
        <w:t> </w:t>
      </w:r>
      <w:r>
        <w:rPr>
          <w:rFonts w:ascii="Arial" w:hAnsi="Arial"/>
          <w:i/>
          <w:sz w:val="20"/>
        </w:rPr>
        <w:t>T)</w:t>
      </w:r>
      <w:r>
        <w:rPr>
          <w:rFonts w:ascii="Arial" w:hAnsi="Arial"/>
          <w:i/>
          <w:spacing w:val="40"/>
          <w:sz w:val="20"/>
        </w:rPr>
        <w:t> </w:t>
      </w:r>
      <w:r>
        <w:rPr>
          <w:rFonts w:ascii="Arial" w:hAnsi="Arial"/>
          <w:i/>
          <w:sz w:val="20"/>
        </w:rPr>
        <w:t>[2014]</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3068 (Comm), [2014] 2 Lloyd’s Rep. 579</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310" w:id="1312"/>
      <w:bookmarkEnd w:id="1312"/>
      <w:r>
        <w:rPr/>
      </w:r>
      <w:hyperlink w:history="true" w:anchor="_bookmark1150">
        <w:r>
          <w:rPr>
            <w:color w:val="005DA1"/>
            <w:spacing w:val="-4"/>
            <w:position w:val="5"/>
            <w:sz w:val="14"/>
            <w:u w:val="single" w:color="005DA1"/>
          </w:rPr>
          <w:t>633</w:t>
        </w:r>
      </w:hyperlink>
      <w:r>
        <w:rPr>
          <w:spacing w:val="-4"/>
          <w:position w:val="5"/>
          <w:sz w:val="14"/>
        </w:rPr>
        <w:t>.</w:t>
      </w:r>
      <w:r>
        <w:rPr>
          <w:position w:val="5"/>
          <w:sz w:val="14"/>
        </w:rPr>
        <w:tab/>
      </w:r>
      <w:r>
        <w:rPr>
          <w:sz w:val="20"/>
        </w:rPr>
        <w:t>For</w:t>
      </w:r>
      <w:r>
        <w:rPr>
          <w:spacing w:val="27"/>
          <w:sz w:val="20"/>
        </w:rPr>
        <w:t> </w:t>
      </w:r>
      <w:r>
        <w:rPr>
          <w:sz w:val="20"/>
        </w:rPr>
        <w:t>the</w:t>
      </w:r>
      <w:r>
        <w:rPr>
          <w:spacing w:val="27"/>
          <w:sz w:val="20"/>
        </w:rPr>
        <w:t> </w:t>
      </w:r>
      <w:r>
        <w:rPr>
          <w:sz w:val="20"/>
        </w:rPr>
        <w:t>text</w:t>
      </w:r>
      <w:r>
        <w:rPr>
          <w:spacing w:val="27"/>
          <w:sz w:val="20"/>
        </w:rPr>
        <w:t> </w:t>
      </w:r>
      <w:r>
        <w:rPr>
          <w:sz w:val="20"/>
        </w:rPr>
        <w:t>of</w:t>
      </w:r>
      <w:r>
        <w:rPr>
          <w:spacing w:val="27"/>
          <w:sz w:val="20"/>
        </w:rPr>
        <w:t> </w:t>
      </w:r>
      <w:r>
        <w:rPr>
          <w:sz w:val="20"/>
        </w:rPr>
        <w:t>the</w:t>
      </w:r>
      <w:r>
        <w:rPr>
          <w:spacing w:val="27"/>
          <w:sz w:val="20"/>
        </w:rPr>
        <w:t> </w:t>
      </w:r>
      <w:r>
        <w:rPr>
          <w:sz w:val="20"/>
        </w:rPr>
        <w:t>relevant</w:t>
      </w:r>
      <w:r>
        <w:rPr>
          <w:spacing w:val="27"/>
          <w:sz w:val="20"/>
        </w:rPr>
        <w:t> </w:t>
      </w:r>
      <w:r>
        <w:rPr>
          <w:sz w:val="20"/>
        </w:rPr>
        <w:t>parts</w:t>
      </w:r>
      <w:r>
        <w:rPr>
          <w:spacing w:val="27"/>
          <w:sz w:val="20"/>
        </w:rPr>
        <w:t> </w:t>
      </w:r>
      <w:r>
        <w:rPr>
          <w:sz w:val="20"/>
        </w:rPr>
        <w:t>of</w:t>
      </w:r>
      <w:r>
        <w:rPr>
          <w:spacing w:val="27"/>
          <w:sz w:val="20"/>
        </w:rPr>
        <w:t> </w:t>
      </w:r>
      <w:r>
        <w:rPr>
          <w:sz w:val="20"/>
        </w:rPr>
        <w:t>the</w:t>
      </w:r>
      <w:r>
        <w:rPr>
          <w:spacing w:val="27"/>
          <w:sz w:val="20"/>
        </w:rPr>
        <w:t> </w:t>
      </w:r>
      <w:r>
        <w:rPr>
          <w:sz w:val="20"/>
        </w:rPr>
        <w:t>agreements,</w:t>
      </w:r>
      <w:r>
        <w:rPr>
          <w:spacing w:val="27"/>
          <w:sz w:val="20"/>
        </w:rPr>
        <w:t> </w:t>
      </w:r>
      <w:r>
        <w:rPr>
          <w:sz w:val="20"/>
        </w:rPr>
        <w:t>see</w:t>
      </w:r>
      <w:r>
        <w:rPr>
          <w:spacing w:val="27"/>
          <w:sz w:val="20"/>
        </w:rPr>
        <w:t> </w:t>
      </w:r>
      <w:r>
        <w:rPr>
          <w:rFonts w:ascii="Arial"/>
          <w:i/>
          <w:sz w:val="20"/>
        </w:rPr>
        <w:t>[2014]</w:t>
      </w:r>
      <w:r>
        <w:rPr>
          <w:rFonts w:ascii="Arial"/>
          <w:i/>
          <w:spacing w:val="27"/>
          <w:sz w:val="20"/>
        </w:rPr>
        <w:t> </w:t>
      </w:r>
      <w:r>
        <w:rPr>
          <w:rFonts w:ascii="Arial"/>
          <w:i/>
          <w:sz w:val="20"/>
        </w:rPr>
        <w:t>EWHC</w:t>
      </w:r>
      <w:r>
        <w:rPr>
          <w:rFonts w:ascii="Arial"/>
          <w:i/>
          <w:spacing w:val="27"/>
          <w:sz w:val="20"/>
        </w:rPr>
        <w:t> </w:t>
      </w:r>
      <w:r>
        <w:rPr>
          <w:rFonts w:ascii="Arial"/>
          <w:i/>
          <w:sz w:val="20"/>
        </w:rPr>
        <w:t>3068</w:t>
      </w:r>
      <w:r>
        <w:rPr>
          <w:rFonts w:ascii="Arial"/>
          <w:i/>
          <w:spacing w:val="27"/>
          <w:sz w:val="20"/>
        </w:rPr>
        <w:t> </w:t>
      </w:r>
      <w:r>
        <w:rPr>
          <w:rFonts w:ascii="Arial"/>
          <w:i/>
          <w:sz w:val="20"/>
        </w:rPr>
        <w:t>(Comm)</w:t>
      </w:r>
      <w:r>
        <w:rPr>
          <w:rFonts w:ascii="Arial"/>
          <w:i/>
          <w:spacing w:val="27"/>
          <w:sz w:val="20"/>
        </w:rPr>
        <w:t> </w:t>
      </w:r>
      <w:r>
        <w:rPr>
          <w:sz w:val="20"/>
        </w:rPr>
        <w:t>at</w:t>
      </w:r>
      <w:r>
        <w:rPr>
          <w:spacing w:val="27"/>
          <w:sz w:val="20"/>
        </w:rPr>
        <w:t> </w:t>
      </w:r>
      <w:r>
        <w:rPr>
          <w:sz w:val="20"/>
        </w:rPr>
        <w:t>[7] (Clause 3) and [8] (Clause 2).</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0352">
            <wp:simplePos x="0" y="0"/>
            <wp:positionH relativeFrom="page">
              <wp:posOffset>1257846</wp:posOffset>
            </wp:positionH>
            <wp:positionV relativeFrom="paragraph">
              <wp:posOffset>160622</wp:posOffset>
            </wp:positionV>
            <wp:extent cx="107988" cy="107988"/>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11" w:id="1313"/>
      <w:bookmarkEnd w:id="1313"/>
      <w:r>
        <w:rPr/>
      </w:r>
      <w:hyperlink w:history="true" w:anchor="_bookmark1150">
        <w:r>
          <w:rPr>
            <w:color w:val="005DA1"/>
            <w:spacing w:val="-4"/>
            <w:sz w:val="14"/>
            <w:u w:val="single" w:color="005DA1"/>
          </w:rPr>
          <w:t>634</w:t>
        </w:r>
      </w:hyperlink>
      <w:r>
        <w:rPr>
          <w:spacing w:val="-4"/>
          <w:sz w:val="14"/>
        </w:rPr>
        <w:t>.</w:t>
      </w:r>
    </w:p>
    <w:p>
      <w:pPr>
        <w:spacing w:line="235" w:lineRule="auto" w:before="212"/>
        <w:ind w:left="165" w:right="167" w:firstLine="170"/>
        <w:jc w:val="both"/>
        <w:rPr>
          <w:sz w:val="20"/>
        </w:rPr>
      </w:pPr>
      <w:r>
        <w:rPr/>
        <w:br w:type="column"/>
      </w:r>
      <w:r>
        <w:rPr>
          <w:sz w:val="20"/>
        </w:rPr>
        <w:t>ibid., at [62], [88]. The process here is one of </w:t>
      </w:r>
      <w:r>
        <w:rPr>
          <w:rFonts w:ascii="Arial" w:hAnsi="Arial"/>
          <w:i/>
          <w:sz w:val="20"/>
        </w:rPr>
        <w:t>construction </w:t>
      </w:r>
      <w:r>
        <w:rPr>
          <w:sz w:val="20"/>
        </w:rPr>
        <w:t>of the word “Underwriters”, not </w:t>
      </w:r>
      <w:r>
        <w:rPr>
          <w:sz w:val="20"/>
        </w:rPr>
        <w:t>one of </w:t>
      </w:r>
      <w:r>
        <w:rPr>
          <w:rFonts w:ascii="Arial" w:hAnsi="Arial"/>
          <w:i/>
          <w:sz w:val="20"/>
        </w:rPr>
        <w:t>implication </w:t>
      </w:r>
      <w:r>
        <w:rPr>
          <w:sz w:val="20"/>
        </w:rPr>
        <w:t>since the latter would not suffice for the purpose of s.1(3): above, at n.603. It is true that in </w:t>
      </w:r>
      <w:r>
        <w:rPr>
          <w:rFonts w:ascii="Arial" w:hAnsi="Arial"/>
          <w:i/>
          <w:sz w:val="20"/>
        </w:rPr>
        <w:t>Attorney General of Belize v Belize Telecom Ltd [2009] UKPC 10, [2009] 1 W.L.R. 1988 </w:t>
      </w:r>
      <w:r>
        <w:rPr>
          <w:sz w:val="20"/>
        </w:rPr>
        <w:t>Lord Hoffmann described the process of implication as one of “the construction of the instrument as a whole” (at [19]). But it does not follow that construction is necessarily a process of implication. In </w:t>
      </w:r>
      <w:r>
        <w:rPr>
          <w:rFonts w:ascii="Arial" w:hAnsi="Arial"/>
          <w:i/>
          <w:sz w:val="20"/>
        </w:rPr>
        <w:t>The Alexandros T </w:t>
      </w:r>
      <w:r>
        <w:rPr>
          <w:sz w:val="20"/>
        </w:rPr>
        <w:t>Flaux J. refers at [59] to the </w:t>
      </w:r>
      <w:r>
        <w:rPr>
          <w:rFonts w:ascii="Arial" w:hAnsi="Arial"/>
          <w:i/>
          <w:sz w:val="20"/>
        </w:rPr>
        <w:t>Belize </w:t>
      </w:r>
      <w:r>
        <w:rPr>
          <w:sz w:val="20"/>
        </w:rPr>
        <w:t>case, where that case is cited in connection with a different part of the reasoning of </w:t>
      </w:r>
      <w:r>
        <w:rPr>
          <w:rFonts w:ascii="Arial" w:hAnsi="Arial"/>
          <w:i/>
          <w:sz w:val="20"/>
        </w:rPr>
        <w:t>The Alexandros T </w:t>
      </w:r>
      <w:r>
        <w:rPr>
          <w:sz w:val="20"/>
        </w:rPr>
        <w:t>from that discussed in the text above; and he evidently saw no conflict between his discussion at [59] of implication and his later discussion of construction at [62] and [88]. Lord Hoffmann’s description in </w:t>
      </w:r>
      <w:r>
        <w:rPr>
          <w:rFonts w:ascii="Arial" w:hAnsi="Arial"/>
          <w:i/>
          <w:sz w:val="20"/>
        </w:rPr>
        <w:t>Attorney General of Belize v Belize Telecom Ltd [2009] UKPC 10, [2009] 1 W.L.R. 1988 </w:t>
      </w:r>
      <w:r>
        <w:rPr>
          <w:sz w:val="20"/>
        </w:rPr>
        <w:t>of</w:t>
      </w:r>
      <w:r>
        <w:rPr>
          <w:spacing w:val="40"/>
          <w:sz w:val="20"/>
        </w:rPr>
        <w:t> </w:t>
      </w:r>
      <w:r>
        <w:rPr>
          <w:sz w:val="20"/>
        </w:rPr>
        <w:t>the process of implication as one of “the construction of the instrument as a whole” was extensively discussed by the Supreme Court in </w:t>
      </w:r>
      <w:r>
        <w:rPr>
          <w:rFonts w:ascii="Arial" w:hAnsi="Arial"/>
          <w:i/>
          <w:sz w:val="20"/>
        </w:rPr>
        <w:t>Marks &amp; Spencer Plc v BNP Paribas Security Services Trust Co (Jersey) Ltd [2015] UKSC 72, [2016] A.C. 742</w:t>
      </w:r>
      <w:r>
        <w:rPr>
          <w:sz w:val="20"/>
        </w:rPr>
        <w:t>. Lord Neuberger (with whose judgment Lord Sumption and Lord Hodge agreed) there said (at [26]) that Lord Hoffmann’s observation</w:t>
      </w:r>
      <w:r>
        <w:rPr>
          <w:spacing w:val="-3"/>
          <w:sz w:val="20"/>
        </w:rPr>
        <w:t> </w:t>
      </w:r>
      <w:r>
        <w:rPr>
          <w:sz w:val="20"/>
        </w:rPr>
        <w:t>(quoted</w:t>
      </w:r>
      <w:r>
        <w:rPr>
          <w:spacing w:val="-3"/>
          <w:sz w:val="20"/>
        </w:rPr>
        <w:t> </w:t>
      </w:r>
      <w:r>
        <w:rPr>
          <w:sz w:val="20"/>
        </w:rPr>
        <w:t>above)</w:t>
      </w:r>
      <w:r>
        <w:rPr>
          <w:spacing w:val="-3"/>
          <w:sz w:val="20"/>
        </w:rPr>
        <w:t> </w:t>
      </w:r>
      <w:r>
        <w:rPr>
          <w:sz w:val="20"/>
        </w:rPr>
        <w:t>“could</w:t>
      </w:r>
      <w:r>
        <w:rPr>
          <w:spacing w:val="-3"/>
          <w:sz w:val="20"/>
        </w:rPr>
        <w:t> </w:t>
      </w:r>
      <w:r>
        <w:rPr>
          <w:sz w:val="20"/>
        </w:rPr>
        <w:t>obscure</w:t>
      </w:r>
      <w:r>
        <w:rPr>
          <w:spacing w:val="-3"/>
          <w:sz w:val="20"/>
        </w:rPr>
        <w:t> </w:t>
      </w:r>
      <w:r>
        <w:rPr>
          <w:sz w:val="20"/>
        </w:rPr>
        <w:t>the</w:t>
      </w:r>
      <w:r>
        <w:rPr>
          <w:spacing w:val="-3"/>
          <w:sz w:val="20"/>
        </w:rPr>
        <w:t> </w:t>
      </w:r>
      <w:r>
        <w:rPr>
          <w:sz w:val="20"/>
        </w:rPr>
        <w:t>fact</w:t>
      </w:r>
      <w:r>
        <w:rPr>
          <w:spacing w:val="-3"/>
          <w:sz w:val="20"/>
        </w:rPr>
        <w:t> </w:t>
      </w:r>
      <w:r>
        <w:rPr>
          <w:sz w:val="20"/>
        </w:rPr>
        <w:t>that</w:t>
      </w:r>
      <w:r>
        <w:rPr>
          <w:spacing w:val="-3"/>
          <w:sz w:val="20"/>
        </w:rPr>
        <w:t> </w:t>
      </w:r>
      <w:r>
        <w:rPr>
          <w:sz w:val="20"/>
        </w:rPr>
        <w:t>construing</w:t>
      </w:r>
      <w:r>
        <w:rPr>
          <w:spacing w:val="-3"/>
          <w:sz w:val="20"/>
        </w:rPr>
        <w:t> </w:t>
      </w:r>
      <w:r>
        <w:rPr>
          <w:sz w:val="20"/>
        </w:rPr>
        <w:t>the</w:t>
      </w:r>
      <w:r>
        <w:rPr>
          <w:spacing w:val="-3"/>
          <w:sz w:val="20"/>
        </w:rPr>
        <w:t> </w:t>
      </w:r>
      <w:r>
        <w:rPr>
          <w:sz w:val="20"/>
        </w:rPr>
        <w:t>words</w:t>
      </w:r>
      <w:r>
        <w:rPr>
          <w:spacing w:val="-3"/>
          <w:sz w:val="20"/>
        </w:rPr>
        <w:t> </w:t>
      </w:r>
      <w:r>
        <w:rPr>
          <w:sz w:val="20"/>
        </w:rPr>
        <w:t>used</w:t>
      </w:r>
      <w:r>
        <w:rPr>
          <w:spacing w:val="-3"/>
          <w:sz w:val="20"/>
        </w:rPr>
        <w:t> </w:t>
      </w:r>
      <w:r>
        <w:rPr>
          <w:sz w:val="20"/>
        </w:rPr>
        <w:t>and</w:t>
      </w:r>
      <w:r>
        <w:rPr>
          <w:spacing w:val="-3"/>
          <w:sz w:val="20"/>
        </w:rPr>
        <w:t> </w:t>
      </w:r>
      <w:r>
        <w:rPr>
          <w:sz w:val="20"/>
        </w:rPr>
        <w:t>implying additional words are different processes governed by different rules” and (at [31]) that they (i.e. those observations) should “henceforth be treated as a characteristically inspired discussion rather than authoritative guidance on the law of implied terms.” For the same view, see also </w:t>
      </w:r>
      <w:r>
        <w:rPr>
          <w:rFonts w:ascii="Arial" w:hAnsi="Arial"/>
          <w:i/>
          <w:sz w:val="20"/>
        </w:rPr>
        <w:t>Globe Motors Inc v TRW Varity Electric Steering Ltd [2016] EWCA Civ 396</w:t>
      </w:r>
      <w:r>
        <w:rPr>
          <w:rFonts w:ascii="Arial" w:hAnsi="Arial"/>
          <w:i/>
          <w:spacing w:val="-1"/>
          <w:sz w:val="20"/>
        </w:rPr>
        <w:t> </w:t>
      </w:r>
      <w:r>
        <w:rPr>
          <w:sz w:val="20"/>
        </w:rPr>
        <w:t>at [58], following the </w:t>
      </w:r>
      <w:r>
        <w:rPr>
          <w:rFonts w:ascii="Arial" w:hAnsi="Arial"/>
          <w:i/>
          <w:sz w:val="20"/>
        </w:rPr>
        <w:t>Marks &amp; Spencer </w:t>
      </w:r>
      <w:r>
        <w:rPr>
          <w:sz w:val="20"/>
        </w:rPr>
        <w:t>case. The majority view in the </w:t>
      </w:r>
      <w:r>
        <w:rPr>
          <w:rFonts w:ascii="Arial" w:hAnsi="Arial"/>
          <w:i/>
          <w:sz w:val="20"/>
        </w:rPr>
        <w:t>Marks &amp; Spencer </w:t>
      </w:r>
      <w:r>
        <w:rPr>
          <w:sz w:val="20"/>
        </w:rPr>
        <w:t>case was not there shared</w:t>
      </w:r>
      <w:r>
        <w:rPr>
          <w:spacing w:val="40"/>
          <w:sz w:val="20"/>
        </w:rPr>
        <w:t> </w:t>
      </w:r>
      <w:r>
        <w:rPr>
          <w:sz w:val="20"/>
        </w:rPr>
        <w:t>by Lord Carnwath (see </w:t>
      </w:r>
      <w:r>
        <w:rPr>
          <w:rFonts w:ascii="Arial" w:hAnsi="Arial"/>
          <w:i/>
          <w:sz w:val="20"/>
        </w:rPr>
        <w:t>[2015] UKSC 72 </w:t>
      </w:r>
      <w:r>
        <w:rPr>
          <w:sz w:val="20"/>
        </w:rPr>
        <w:t>at [74]); while Lord Clarke said at [76] that both processes (i.e. construction and implication) could “properly be said” to be “part of the construction of the contract in a broad sense.” The judgments in the </w:t>
      </w:r>
      <w:r>
        <w:rPr>
          <w:rFonts w:ascii="Arial" w:hAnsi="Arial"/>
          <w:i/>
          <w:sz w:val="20"/>
        </w:rPr>
        <w:t>Marks &amp; Spencer </w:t>
      </w:r>
      <w:r>
        <w:rPr>
          <w:sz w:val="20"/>
        </w:rPr>
        <w:t>case on the present point are more fully discussed in, para.14-007 above. Even before that case the scope of Lord Hoffmann’s views in the</w:t>
      </w:r>
      <w:r>
        <w:rPr>
          <w:spacing w:val="-1"/>
          <w:sz w:val="20"/>
        </w:rPr>
        <w:t> </w:t>
      </w:r>
      <w:r>
        <w:rPr>
          <w:rFonts w:ascii="Arial" w:hAnsi="Arial"/>
          <w:i/>
          <w:sz w:val="20"/>
        </w:rPr>
        <w:t>Belize </w:t>
      </w:r>
      <w:r>
        <w:rPr>
          <w:sz w:val="20"/>
        </w:rPr>
        <w:t>case had been narrowed by judicial statements to the effect that those views applied only to the implication of terms in fact, and not to the implication of terms in law: see </w:t>
      </w:r>
      <w:r>
        <w:rPr>
          <w:rFonts w:ascii="Arial" w:hAnsi="Arial"/>
          <w:i/>
          <w:sz w:val="20"/>
        </w:rPr>
        <w:t>Société Générale, London Branch v Geys [2012] UKSC 63, [2013] 1 A.C. 523 </w:t>
      </w:r>
      <w:r>
        <w:rPr>
          <w:sz w:val="20"/>
        </w:rPr>
        <w:t>at [55] per Baroness Hale and </w:t>
      </w:r>
      <w:r>
        <w:rPr>
          <w:rFonts w:ascii="Arial" w:hAnsi="Arial"/>
          <w:i/>
          <w:sz w:val="20"/>
        </w:rPr>
        <w:t>Yam Seng Ltd v International Trade Corp Ltd [2013] EWHC 111 (QB), [2013] 1 Lloyd’s Rep. 526 </w:t>
      </w:r>
      <w:r>
        <w:rPr>
          <w:sz w:val="20"/>
        </w:rPr>
        <w:t>at [131], [132], per Leggatt J.; for the difference between these two types of implied terms, see Vol.I, para.14-004.</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tabs>
          <w:tab w:pos="705" w:val="left" w:leader="none"/>
        </w:tabs>
        <w:spacing w:before="225"/>
        <w:ind w:left="165" w:right="0" w:firstLine="0"/>
        <w:jc w:val="left"/>
        <w:rPr>
          <w:rFonts w:ascii="Arial"/>
          <w:i/>
          <w:sz w:val="20"/>
        </w:rPr>
      </w:pPr>
      <w:bookmarkStart w:name="_bookmark1312" w:id="1314"/>
      <w:bookmarkEnd w:id="1314"/>
      <w:r>
        <w:rPr/>
      </w:r>
      <w:hyperlink w:history="true" w:anchor="_bookmark1151">
        <w:r>
          <w:rPr>
            <w:color w:val="005DA1"/>
            <w:spacing w:val="-4"/>
            <w:position w:val="5"/>
            <w:sz w:val="14"/>
            <w:u w:val="single" w:color="005DA1"/>
          </w:rPr>
          <w:t>635</w:t>
        </w:r>
      </w:hyperlink>
      <w:r>
        <w:rPr>
          <w:spacing w:val="-4"/>
          <w:position w:val="5"/>
          <w:sz w:val="14"/>
        </w:rPr>
        <w:t>.</w:t>
      </w:r>
      <w:r>
        <w:rPr>
          <w:position w:val="5"/>
          <w:sz w:val="14"/>
        </w:rPr>
        <w:tab/>
      </w:r>
      <w:r>
        <w:rPr>
          <w:sz w:val="20"/>
        </w:rPr>
        <w:t>Above</w:t>
      </w:r>
      <w:r>
        <w:rPr>
          <w:spacing w:val="27"/>
          <w:sz w:val="20"/>
        </w:rPr>
        <w:t> </w:t>
      </w:r>
      <w:r>
        <w:rPr>
          <w:sz w:val="20"/>
        </w:rPr>
        <w:t>paras</w:t>
      </w:r>
      <w:r>
        <w:rPr>
          <w:spacing w:val="29"/>
          <w:sz w:val="20"/>
        </w:rPr>
        <w:t> </w:t>
      </w:r>
      <w:r>
        <w:rPr>
          <w:sz w:val="20"/>
        </w:rPr>
        <w:t>18-093-18-095,</w:t>
      </w:r>
      <w:r>
        <w:rPr>
          <w:spacing w:val="29"/>
          <w:sz w:val="20"/>
        </w:rPr>
        <w:t> </w:t>
      </w:r>
      <w:r>
        <w:rPr>
          <w:sz w:val="20"/>
        </w:rPr>
        <w:t>following</w:t>
      </w:r>
      <w:r>
        <w:rPr>
          <w:spacing w:val="29"/>
          <w:sz w:val="20"/>
        </w:rPr>
        <w:t> </w:t>
      </w:r>
      <w:r>
        <w:rPr>
          <w:sz w:val="20"/>
        </w:rPr>
        <w:t>(at</w:t>
      </w:r>
      <w:r>
        <w:rPr>
          <w:spacing w:val="29"/>
          <w:sz w:val="20"/>
        </w:rPr>
        <w:t> </w:t>
      </w:r>
      <w:r>
        <w:rPr>
          <w:sz w:val="20"/>
        </w:rPr>
        <w:t>[86],</w:t>
      </w:r>
      <w:r>
        <w:rPr>
          <w:spacing w:val="29"/>
          <w:sz w:val="20"/>
        </w:rPr>
        <w:t> </w:t>
      </w:r>
      <w:r>
        <w:rPr>
          <w:sz w:val="20"/>
        </w:rPr>
        <w:t>[87])</w:t>
      </w:r>
      <w:r>
        <w:rPr>
          <w:spacing w:val="28"/>
          <w:sz w:val="20"/>
        </w:rPr>
        <w:t> </w:t>
      </w:r>
      <w:r>
        <w:rPr>
          <w:rFonts w:ascii="Arial"/>
          <w:i/>
          <w:sz w:val="20"/>
        </w:rPr>
        <w:t>Laemthong</w:t>
      </w:r>
      <w:r>
        <w:rPr>
          <w:rFonts w:ascii="Arial"/>
          <w:i/>
          <w:spacing w:val="29"/>
          <w:sz w:val="20"/>
        </w:rPr>
        <w:t> </w:t>
      </w:r>
      <w:r>
        <w:rPr>
          <w:rFonts w:ascii="Arial"/>
          <w:i/>
          <w:sz w:val="20"/>
        </w:rPr>
        <w:t>International</w:t>
      </w:r>
      <w:r>
        <w:rPr>
          <w:rFonts w:ascii="Arial"/>
          <w:i/>
          <w:spacing w:val="29"/>
          <w:sz w:val="20"/>
        </w:rPr>
        <w:t> </w:t>
      </w:r>
      <w:r>
        <w:rPr>
          <w:rFonts w:ascii="Arial"/>
          <w:i/>
          <w:sz w:val="20"/>
        </w:rPr>
        <w:t>Lines</w:t>
      </w:r>
      <w:r>
        <w:rPr>
          <w:rFonts w:ascii="Arial"/>
          <w:i/>
          <w:spacing w:val="29"/>
          <w:sz w:val="20"/>
        </w:rPr>
        <w:t> </w:t>
      </w:r>
      <w:r>
        <w:rPr>
          <w:rFonts w:ascii="Arial"/>
          <w:i/>
          <w:sz w:val="20"/>
        </w:rPr>
        <w:t>Co</w:t>
      </w:r>
      <w:r>
        <w:rPr>
          <w:rFonts w:ascii="Arial"/>
          <w:i/>
          <w:spacing w:val="29"/>
          <w:sz w:val="20"/>
        </w:rPr>
        <w:t> </w:t>
      </w:r>
      <w:r>
        <w:rPr>
          <w:rFonts w:ascii="Arial"/>
          <w:i/>
          <w:sz w:val="20"/>
        </w:rPr>
        <w:t>Ltd</w:t>
      </w:r>
      <w:r>
        <w:rPr>
          <w:rFonts w:ascii="Arial"/>
          <w:i/>
          <w:spacing w:val="29"/>
          <w:sz w:val="20"/>
        </w:rPr>
        <w:t> </w:t>
      </w:r>
      <w:r>
        <w:rPr>
          <w:rFonts w:ascii="Arial"/>
          <w:i/>
          <w:spacing w:val="-10"/>
          <w:sz w:val="20"/>
        </w:rPr>
        <w:t>v</w:t>
      </w:r>
    </w:p>
    <w:p>
      <w:pPr>
        <w:spacing w:after="0"/>
        <w:jc w:val="left"/>
        <w:rPr>
          <w:rFonts w:ascii="Arial"/>
          <w:i/>
          <w:sz w:val="20"/>
        </w:rPr>
        <w:sectPr>
          <w:type w:val="continuous"/>
          <w:pgSz w:w="11900" w:h="16840"/>
          <w:pgMar w:header="971" w:footer="0" w:top="1160" w:bottom="280" w:left="1275" w:right="1275"/>
        </w:sectPr>
      </w:pPr>
    </w:p>
    <w:p>
      <w:pPr>
        <w:pStyle w:val="BodyText"/>
        <w:spacing w:before="21"/>
        <w:rPr>
          <w:rFonts w:ascii="Arial"/>
          <w:i/>
        </w:rPr>
      </w:pPr>
    </w:p>
    <w:p>
      <w:pPr>
        <w:spacing w:before="0"/>
        <w:ind w:left="705" w:right="0" w:firstLine="0"/>
        <w:jc w:val="left"/>
        <w:rPr>
          <w:sz w:val="20"/>
        </w:rPr>
      </w:pPr>
      <w:r>
        <w:rPr>
          <w:rFonts w:ascii="Arial" w:hAnsi="Arial"/>
          <w:i/>
          <w:sz w:val="20"/>
        </w:rPr>
        <w:t>Artis (The Laemthong Glory) (No.2) [2005] EWCA Civ 519, [2005] 1 Lloyd’s Rep. </w:t>
      </w:r>
      <w:r>
        <w:rPr>
          <w:rFonts w:ascii="Arial" w:hAnsi="Arial"/>
          <w:i/>
          <w:spacing w:val="-4"/>
          <w:sz w:val="20"/>
        </w:rPr>
        <w:t>632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13" w:id="1315"/>
      <w:bookmarkEnd w:id="1315"/>
      <w:r>
        <w:rPr/>
      </w:r>
      <w:hyperlink w:history="true" w:anchor="_bookmark1151">
        <w:r>
          <w:rPr>
            <w:color w:val="005DA1"/>
            <w:spacing w:val="-4"/>
            <w:position w:val="5"/>
            <w:sz w:val="14"/>
            <w:u w:val="single" w:color="005DA1"/>
          </w:rPr>
          <w:t>636</w:t>
        </w:r>
      </w:hyperlink>
      <w:r>
        <w:rPr>
          <w:spacing w:val="-4"/>
          <w:position w:val="5"/>
          <w:sz w:val="14"/>
        </w:rPr>
        <w:t>.</w:t>
      </w:r>
      <w:r>
        <w:rPr>
          <w:position w:val="5"/>
          <w:sz w:val="14"/>
        </w:rPr>
        <w:tab/>
      </w:r>
      <w:r>
        <w:rPr>
          <w:sz w:val="20"/>
        </w:rPr>
        <w:t>See</w:t>
      </w:r>
      <w:r>
        <w:rPr>
          <w:spacing w:val="-1"/>
          <w:sz w:val="20"/>
        </w:rPr>
        <w:t> </w:t>
      </w:r>
      <w:r>
        <w:rPr>
          <w:rFonts w:ascii="Arial"/>
          <w:i/>
          <w:sz w:val="20"/>
        </w:rPr>
        <w:t>[2014] EWHC 3068 (Comm)</w:t>
      </w:r>
      <w:r>
        <w:rPr>
          <w:rFonts w:ascii="Arial"/>
          <w:i/>
          <w:spacing w:val="-1"/>
          <w:sz w:val="20"/>
        </w:rPr>
        <w:t> </w:t>
      </w:r>
      <w:r>
        <w:rPr>
          <w:sz w:val="20"/>
        </w:rPr>
        <w:t>at [88], and below at </w:t>
      </w:r>
      <w:r>
        <w:rPr>
          <w:spacing w:val="-2"/>
          <w:sz w:val="20"/>
        </w:rPr>
        <w:t>n.618.</w:t>
      </w:r>
    </w:p>
    <w:p>
      <w:pPr>
        <w:pStyle w:val="BodyText"/>
        <w:spacing w:before="5"/>
      </w:pPr>
    </w:p>
    <w:p>
      <w:pPr>
        <w:tabs>
          <w:tab w:pos="705" w:val="left" w:leader="none"/>
        </w:tabs>
        <w:spacing w:before="0"/>
        <w:ind w:left="165" w:right="0" w:firstLine="0"/>
        <w:jc w:val="left"/>
        <w:rPr>
          <w:sz w:val="20"/>
        </w:rPr>
      </w:pPr>
      <w:bookmarkStart w:name="_bookmark1314" w:id="1316"/>
      <w:bookmarkEnd w:id="1316"/>
      <w:r>
        <w:rPr/>
      </w:r>
      <w:hyperlink w:history="true" w:anchor="_bookmark1152">
        <w:r>
          <w:rPr>
            <w:color w:val="005DA1"/>
            <w:spacing w:val="-4"/>
            <w:position w:val="5"/>
            <w:sz w:val="14"/>
            <w:u w:val="single" w:color="005DA1"/>
          </w:rPr>
          <w:t>637</w:t>
        </w:r>
      </w:hyperlink>
      <w:r>
        <w:rPr>
          <w:spacing w:val="-4"/>
          <w:position w:val="5"/>
          <w:sz w:val="14"/>
        </w:rPr>
        <w:t>.</w:t>
      </w:r>
      <w:r>
        <w:rPr>
          <w:position w:val="5"/>
          <w:sz w:val="14"/>
        </w:rPr>
        <w:tab/>
      </w:r>
      <w:r>
        <w:rPr>
          <w:rFonts w:ascii="Arial"/>
          <w:i/>
          <w:sz w:val="20"/>
        </w:rPr>
        <w:t>[2014] EWHC 3068 (Comm)</w:t>
      </w:r>
      <w:r>
        <w:rPr>
          <w:rFonts w:ascii="Arial"/>
          <w:i/>
          <w:spacing w:val="-1"/>
          <w:sz w:val="20"/>
        </w:rPr>
        <w:t> </w:t>
      </w:r>
      <w:r>
        <w:rPr>
          <w:sz w:val="20"/>
        </w:rPr>
        <w:t>at </w:t>
      </w:r>
      <w:r>
        <w:rPr>
          <w:spacing w:val="-2"/>
          <w:sz w:val="20"/>
        </w:rPr>
        <w:t>[88].</w:t>
      </w:r>
    </w:p>
    <w:p>
      <w:pPr>
        <w:pStyle w:val="BodyText"/>
        <w:spacing w:before="5"/>
      </w:pPr>
    </w:p>
    <w:p>
      <w:pPr>
        <w:tabs>
          <w:tab w:pos="705" w:val="left" w:leader="none"/>
        </w:tabs>
        <w:spacing w:before="0"/>
        <w:ind w:left="165" w:right="0" w:firstLine="0"/>
        <w:jc w:val="left"/>
        <w:rPr>
          <w:sz w:val="20"/>
        </w:rPr>
      </w:pPr>
      <w:bookmarkStart w:name="_bookmark1315" w:id="1317"/>
      <w:bookmarkEnd w:id="1317"/>
      <w:r>
        <w:rPr/>
      </w:r>
      <w:hyperlink w:history="true" w:anchor="_bookmark1153">
        <w:r>
          <w:rPr>
            <w:color w:val="005DA1"/>
            <w:spacing w:val="-4"/>
            <w:position w:val="5"/>
            <w:sz w:val="14"/>
            <w:u w:val="single" w:color="005DA1"/>
          </w:rPr>
          <w:t>638</w:t>
        </w:r>
      </w:hyperlink>
      <w:r>
        <w:rPr>
          <w:spacing w:val="-4"/>
          <w:position w:val="5"/>
          <w:sz w:val="14"/>
        </w:rPr>
        <w:t>.</w:t>
      </w:r>
      <w:r>
        <w:rPr>
          <w:position w:val="5"/>
          <w:sz w:val="14"/>
        </w:rPr>
        <w:tab/>
      </w:r>
      <w:r>
        <w:rPr>
          <w:spacing w:val="-2"/>
          <w:sz w:val="20"/>
        </w:rPr>
        <w:t>ibid.</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0864">
            <wp:simplePos x="0" y="0"/>
            <wp:positionH relativeFrom="page">
              <wp:posOffset>1257846</wp:posOffset>
            </wp:positionH>
            <wp:positionV relativeFrom="paragraph">
              <wp:posOffset>160262</wp:posOffset>
            </wp:positionV>
            <wp:extent cx="107988" cy="107988"/>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16" w:id="1318"/>
      <w:bookmarkEnd w:id="1318"/>
      <w:r>
        <w:rPr/>
      </w:r>
      <w:hyperlink w:history="true" w:anchor="_bookmark1154">
        <w:r>
          <w:rPr>
            <w:color w:val="005DA1"/>
            <w:spacing w:val="-4"/>
            <w:sz w:val="14"/>
            <w:u w:val="single" w:color="005DA1"/>
          </w:rPr>
          <w:t>639</w:t>
        </w:r>
      </w:hyperlink>
      <w:r>
        <w:rPr>
          <w:spacing w:val="-4"/>
          <w:sz w:val="14"/>
        </w:rPr>
        <w:t>.</w:t>
      </w:r>
    </w:p>
    <w:p>
      <w:pPr>
        <w:pStyle w:val="BodyText"/>
        <w:spacing w:line="235" w:lineRule="auto" w:before="212"/>
        <w:ind w:left="165" w:right="167" w:firstLine="170"/>
      </w:pPr>
      <w:r>
        <w:rPr/>
        <w:br w:type="column"/>
      </w:r>
      <w:r>
        <w:rPr>
          <w:rFonts w:ascii="Arial" w:hAnsi="Arial"/>
          <w:i/>
        </w:rPr>
        <w:t>[1992] 3 S.C.R. 299</w:t>
      </w:r>
      <w:r>
        <w:rPr/>
        <w:t>; more fully discussed in Carver on Bills of Lading, 4th ed. (2017), </w:t>
      </w:r>
      <w:r>
        <w:rPr/>
        <w:t>paras</w:t>
      </w:r>
      <w:r>
        <w:rPr>
          <w:spacing w:val="40"/>
        </w:rPr>
        <w:t> </w:t>
      </w:r>
      <w:r>
        <w:rPr>
          <w:spacing w:val="-2"/>
        </w:rPr>
        <w:t>7-019—7-021.</w:t>
      </w:r>
    </w:p>
    <w:p>
      <w:pPr>
        <w:pStyle w:val="BodyText"/>
        <w:spacing w:after="0" w:line="235" w:lineRule="auto"/>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317" w:id="1319"/>
      <w:bookmarkEnd w:id="1319"/>
      <w:r>
        <w:rPr/>
      </w:r>
      <w:hyperlink w:history="true" w:anchor="_bookmark1155">
        <w:r>
          <w:rPr>
            <w:color w:val="005DA1"/>
            <w:spacing w:val="-4"/>
            <w:position w:val="5"/>
            <w:sz w:val="14"/>
            <w:u w:val="single" w:color="005DA1"/>
          </w:rPr>
          <w:t>640</w:t>
        </w:r>
      </w:hyperlink>
      <w:r>
        <w:rPr>
          <w:spacing w:val="-4"/>
          <w:position w:val="5"/>
          <w:sz w:val="14"/>
        </w:rPr>
        <w:t>.</w:t>
      </w:r>
      <w:r>
        <w:rPr>
          <w:position w:val="5"/>
          <w:sz w:val="14"/>
        </w:rPr>
        <w:tab/>
      </w:r>
      <w:r>
        <w:rPr>
          <w:rFonts w:ascii="Arial"/>
          <w:i/>
          <w:sz w:val="20"/>
        </w:rPr>
        <w:t>[1992]</w:t>
      </w:r>
      <w:r>
        <w:rPr>
          <w:rFonts w:ascii="Arial"/>
          <w:i/>
          <w:spacing w:val="-2"/>
          <w:sz w:val="20"/>
        </w:rPr>
        <w:t> </w:t>
      </w:r>
      <w:r>
        <w:rPr>
          <w:rFonts w:ascii="Arial"/>
          <w:i/>
          <w:sz w:val="20"/>
        </w:rPr>
        <w:t>3 S.C.R. 299</w:t>
      </w:r>
      <w:r>
        <w:rPr>
          <w:rFonts w:ascii="Arial"/>
          <w:i/>
          <w:spacing w:val="-1"/>
          <w:sz w:val="20"/>
        </w:rPr>
        <w:t> </w:t>
      </w:r>
      <w:r>
        <w:rPr>
          <w:sz w:val="20"/>
        </w:rPr>
        <w:t>at </w:t>
      </w:r>
      <w:r>
        <w:rPr>
          <w:spacing w:val="-4"/>
          <w:sz w:val="20"/>
        </w:rPr>
        <w:t>451.</w:t>
      </w:r>
    </w:p>
    <w:p>
      <w:pPr>
        <w:pStyle w:val="BodyText"/>
        <w:spacing w:before="5"/>
      </w:pPr>
    </w:p>
    <w:p>
      <w:pPr>
        <w:pStyle w:val="BodyText"/>
        <w:tabs>
          <w:tab w:pos="705" w:val="left" w:leader="none"/>
        </w:tabs>
        <w:ind w:left="165"/>
      </w:pPr>
      <w:bookmarkStart w:name="_bookmark1318" w:id="1320"/>
      <w:bookmarkEnd w:id="1320"/>
      <w:r>
        <w:rPr/>
      </w:r>
      <w:hyperlink w:history="true" w:anchor="_bookmark1155">
        <w:r>
          <w:rPr>
            <w:color w:val="005DA1"/>
            <w:spacing w:val="-4"/>
            <w:position w:val="5"/>
            <w:sz w:val="14"/>
            <w:u w:val="single" w:color="005DA1"/>
          </w:rPr>
          <w:t>641</w:t>
        </w:r>
      </w:hyperlink>
      <w:r>
        <w:rPr>
          <w:spacing w:val="-4"/>
          <w:position w:val="5"/>
          <w:sz w:val="14"/>
        </w:rPr>
        <w:t>.</w:t>
      </w:r>
      <w:r>
        <w:rPr>
          <w:position w:val="5"/>
          <w:sz w:val="14"/>
        </w:rPr>
        <w:tab/>
      </w:r>
      <w:r>
        <w:rPr/>
        <w:t>See above, para.18-022 </w:t>
      </w:r>
      <w:r>
        <w:rPr>
          <w:spacing w:val="-2"/>
        </w:rPr>
        <w:t>n.124.</w:t>
      </w:r>
    </w:p>
    <w:p>
      <w:pPr>
        <w:pStyle w:val="BodyText"/>
        <w:spacing w:before="5"/>
      </w:pPr>
    </w:p>
    <w:p>
      <w:pPr>
        <w:tabs>
          <w:tab w:pos="705" w:val="left" w:leader="none"/>
        </w:tabs>
        <w:spacing w:before="0"/>
        <w:ind w:left="165" w:right="0" w:firstLine="0"/>
        <w:jc w:val="left"/>
        <w:rPr>
          <w:sz w:val="20"/>
        </w:rPr>
      </w:pPr>
      <w:bookmarkStart w:name="_bookmark1319" w:id="1321"/>
      <w:bookmarkEnd w:id="1321"/>
      <w:r>
        <w:rPr/>
      </w:r>
      <w:hyperlink w:history="true" w:anchor="_bookmark1156">
        <w:r>
          <w:rPr>
            <w:color w:val="005DA1"/>
            <w:spacing w:val="-4"/>
            <w:position w:val="5"/>
            <w:sz w:val="14"/>
            <w:u w:val="single" w:color="005DA1"/>
          </w:rPr>
          <w:t>642</w:t>
        </w:r>
      </w:hyperlink>
      <w:r>
        <w:rPr>
          <w:spacing w:val="-4"/>
          <w:position w:val="5"/>
          <w:sz w:val="14"/>
        </w:rPr>
        <w:t>.</w:t>
      </w:r>
      <w:r>
        <w:rPr>
          <w:position w:val="5"/>
          <w:sz w:val="14"/>
        </w:rPr>
        <w:tab/>
      </w:r>
      <w:r>
        <w:rPr>
          <w:rFonts w:ascii="Arial"/>
          <w:i/>
          <w:sz w:val="20"/>
        </w:rPr>
        <w:t>[1992]</w:t>
      </w:r>
      <w:r>
        <w:rPr>
          <w:rFonts w:ascii="Arial"/>
          <w:i/>
          <w:spacing w:val="-2"/>
          <w:sz w:val="20"/>
        </w:rPr>
        <w:t> </w:t>
      </w:r>
      <w:r>
        <w:rPr>
          <w:rFonts w:ascii="Arial"/>
          <w:i/>
          <w:sz w:val="20"/>
        </w:rPr>
        <w:t>3 S.C.R. 299</w:t>
      </w:r>
      <w:r>
        <w:rPr>
          <w:rFonts w:ascii="Arial"/>
          <w:i/>
          <w:spacing w:val="-1"/>
          <w:sz w:val="20"/>
        </w:rPr>
        <w:t> </w:t>
      </w:r>
      <w:r>
        <w:rPr>
          <w:sz w:val="20"/>
        </w:rPr>
        <w:t>at </w:t>
      </w:r>
      <w:r>
        <w:rPr>
          <w:spacing w:val="-4"/>
          <w:sz w:val="20"/>
        </w:rPr>
        <w:t>449.</w:t>
      </w:r>
    </w:p>
    <w:p>
      <w:pPr>
        <w:pStyle w:val="BodyText"/>
        <w:spacing w:before="5"/>
      </w:pPr>
    </w:p>
    <w:p>
      <w:pPr>
        <w:tabs>
          <w:tab w:pos="705" w:val="left" w:leader="none"/>
        </w:tabs>
        <w:spacing w:before="0"/>
        <w:ind w:left="165" w:right="0" w:firstLine="0"/>
        <w:jc w:val="left"/>
        <w:rPr>
          <w:sz w:val="20"/>
        </w:rPr>
      </w:pPr>
      <w:bookmarkStart w:name="_bookmark1320" w:id="1322"/>
      <w:bookmarkEnd w:id="1322"/>
      <w:r>
        <w:rPr/>
      </w:r>
      <w:hyperlink w:history="true" w:anchor="_bookmark1156">
        <w:r>
          <w:rPr>
            <w:color w:val="005DA1"/>
            <w:spacing w:val="-4"/>
            <w:position w:val="5"/>
            <w:sz w:val="14"/>
            <w:u w:val="single" w:color="005DA1"/>
          </w:rPr>
          <w:t>643</w:t>
        </w:r>
      </w:hyperlink>
      <w:r>
        <w:rPr>
          <w:spacing w:val="-4"/>
          <w:position w:val="5"/>
          <w:sz w:val="14"/>
        </w:rPr>
        <w:t>.</w:t>
      </w:r>
      <w:r>
        <w:rPr>
          <w:position w:val="5"/>
          <w:sz w:val="14"/>
        </w:rPr>
        <w:tab/>
      </w:r>
      <w:r>
        <w:rPr>
          <w:sz w:val="20"/>
        </w:rPr>
        <w:t>ibid., at </w:t>
      </w:r>
      <w:r>
        <w:rPr>
          <w:spacing w:val="-4"/>
          <w:sz w:val="20"/>
        </w:rPr>
        <w:t>451.</w:t>
      </w:r>
    </w:p>
    <w:p>
      <w:pPr>
        <w:pStyle w:val="BodyText"/>
        <w:spacing w:before="5"/>
      </w:pPr>
    </w:p>
    <w:p>
      <w:pPr>
        <w:tabs>
          <w:tab w:pos="705" w:val="left" w:leader="none"/>
        </w:tabs>
        <w:spacing w:before="0"/>
        <w:ind w:left="165" w:right="0" w:firstLine="0"/>
        <w:jc w:val="left"/>
        <w:rPr>
          <w:sz w:val="20"/>
        </w:rPr>
      </w:pPr>
      <w:bookmarkStart w:name="_bookmark1321" w:id="1323"/>
      <w:bookmarkEnd w:id="1323"/>
      <w:r>
        <w:rPr/>
      </w:r>
      <w:hyperlink w:history="true" w:anchor="_bookmark1157">
        <w:r>
          <w:rPr>
            <w:color w:val="005DA1"/>
            <w:spacing w:val="-4"/>
            <w:position w:val="5"/>
            <w:sz w:val="14"/>
            <w:u w:val="single" w:color="005DA1"/>
          </w:rPr>
          <w:t>644</w:t>
        </w:r>
      </w:hyperlink>
      <w:r>
        <w:rPr>
          <w:spacing w:val="-4"/>
          <w:position w:val="5"/>
          <w:sz w:val="14"/>
        </w:rPr>
        <w:t>.</w:t>
      </w:r>
      <w:r>
        <w:rPr>
          <w:position w:val="5"/>
          <w:sz w:val="14"/>
        </w:rPr>
        <w:tab/>
      </w:r>
      <w:r>
        <w:rPr>
          <w:spacing w:val="-2"/>
          <w:sz w:val="20"/>
        </w:rPr>
        <w:t>ibid.</w:t>
      </w:r>
    </w:p>
    <w:p>
      <w:pPr>
        <w:pStyle w:val="BodyText"/>
        <w:spacing w:before="5"/>
      </w:pPr>
    </w:p>
    <w:p>
      <w:pPr>
        <w:tabs>
          <w:tab w:pos="705" w:val="left" w:leader="none"/>
        </w:tabs>
        <w:spacing w:before="1"/>
        <w:ind w:left="165" w:right="0" w:firstLine="0"/>
        <w:jc w:val="left"/>
        <w:rPr>
          <w:sz w:val="20"/>
        </w:rPr>
      </w:pPr>
      <w:bookmarkStart w:name="_bookmark1322" w:id="1324"/>
      <w:bookmarkEnd w:id="1324"/>
      <w:r>
        <w:rPr/>
      </w:r>
      <w:hyperlink w:history="true" w:anchor="_bookmark1158">
        <w:r>
          <w:rPr>
            <w:color w:val="005DA1"/>
            <w:spacing w:val="-4"/>
            <w:position w:val="5"/>
            <w:sz w:val="14"/>
            <w:u w:val="single" w:color="005DA1"/>
          </w:rPr>
          <w:t>645</w:t>
        </w:r>
      </w:hyperlink>
      <w:r>
        <w:rPr>
          <w:spacing w:val="-4"/>
          <w:position w:val="5"/>
          <w:sz w:val="14"/>
        </w:rPr>
        <w:t>.</w:t>
      </w:r>
      <w:r>
        <w:rPr>
          <w:position w:val="5"/>
          <w:sz w:val="14"/>
        </w:rPr>
        <w:tab/>
      </w:r>
      <w:r>
        <w:rPr>
          <w:rFonts w:ascii="Arial"/>
          <w:i/>
          <w:sz w:val="20"/>
        </w:rPr>
        <w:t>[2014] EWHC 3068 (Comm)</w:t>
      </w:r>
      <w:r>
        <w:rPr>
          <w:rFonts w:ascii="Arial"/>
          <w:i/>
          <w:spacing w:val="-1"/>
          <w:sz w:val="20"/>
        </w:rPr>
        <w:t> </w:t>
      </w:r>
      <w:r>
        <w:rPr>
          <w:sz w:val="20"/>
        </w:rPr>
        <w:t>at </w:t>
      </w:r>
      <w:r>
        <w:rPr>
          <w:spacing w:val="-2"/>
          <w:sz w:val="20"/>
        </w:rPr>
        <w:t>[88].</w:t>
      </w:r>
    </w:p>
    <w:p>
      <w:pPr>
        <w:pStyle w:val="BodyText"/>
        <w:spacing w:before="4"/>
      </w:pPr>
    </w:p>
    <w:p>
      <w:pPr>
        <w:tabs>
          <w:tab w:pos="705" w:val="left" w:leader="none"/>
        </w:tabs>
        <w:spacing w:before="1"/>
        <w:ind w:left="165" w:right="0" w:firstLine="0"/>
        <w:jc w:val="left"/>
        <w:rPr>
          <w:sz w:val="20"/>
        </w:rPr>
      </w:pPr>
      <w:bookmarkStart w:name="_bookmark1323" w:id="1325"/>
      <w:bookmarkEnd w:id="1325"/>
      <w:r>
        <w:rPr/>
      </w:r>
      <w:hyperlink w:history="true" w:anchor="_bookmark1159">
        <w:r>
          <w:rPr>
            <w:color w:val="005DA1"/>
            <w:spacing w:val="-4"/>
            <w:position w:val="5"/>
            <w:sz w:val="14"/>
            <w:u w:val="single" w:color="005DA1"/>
          </w:rPr>
          <w:t>646</w:t>
        </w:r>
      </w:hyperlink>
      <w:r>
        <w:rPr>
          <w:spacing w:val="-4"/>
          <w:position w:val="5"/>
          <w:sz w:val="14"/>
        </w:rPr>
        <w:t>.</w:t>
      </w:r>
      <w:r>
        <w:rPr>
          <w:position w:val="5"/>
          <w:sz w:val="14"/>
        </w:rPr>
        <w:tab/>
      </w:r>
      <w:r>
        <w:rPr>
          <w:spacing w:val="-2"/>
          <w:sz w:val="20"/>
        </w:rPr>
        <w:t>ibid.</w:t>
      </w:r>
    </w:p>
    <w:p>
      <w:pPr>
        <w:pStyle w:val="BodyText"/>
        <w:spacing w:before="4"/>
      </w:pPr>
    </w:p>
    <w:p>
      <w:pPr>
        <w:pStyle w:val="BodyText"/>
        <w:tabs>
          <w:tab w:pos="705" w:val="left" w:leader="none"/>
        </w:tabs>
        <w:spacing w:before="1"/>
        <w:ind w:left="165"/>
      </w:pPr>
      <w:bookmarkStart w:name="_bookmark1324" w:id="1326"/>
      <w:bookmarkEnd w:id="1326"/>
      <w:r>
        <w:rPr/>
      </w:r>
      <w:hyperlink w:history="true" w:anchor="_bookmark1160">
        <w:r>
          <w:rPr>
            <w:color w:val="005DA1"/>
            <w:spacing w:val="-4"/>
            <w:position w:val="5"/>
            <w:sz w:val="14"/>
            <w:u w:val="single" w:color="005DA1"/>
          </w:rPr>
          <w:t>647</w:t>
        </w:r>
      </w:hyperlink>
      <w:r>
        <w:rPr>
          <w:spacing w:val="-4"/>
          <w:position w:val="5"/>
          <w:sz w:val="14"/>
        </w:rPr>
        <w:t>.</w:t>
      </w:r>
      <w:r>
        <w:rPr>
          <w:position w:val="5"/>
          <w:sz w:val="14"/>
        </w:rPr>
        <w:tab/>
      </w:r>
      <w:r>
        <w:rPr/>
        <w:t>For these requirements, see above, paras 18-093-18-</w:t>
      </w:r>
      <w:r>
        <w:rPr>
          <w:spacing w:val="-4"/>
        </w:rPr>
        <w:t>095.</w:t>
      </w:r>
    </w:p>
    <w:p>
      <w:pPr>
        <w:pStyle w:val="BodyText"/>
        <w:spacing w:before="4"/>
      </w:pPr>
    </w:p>
    <w:p>
      <w:pPr>
        <w:tabs>
          <w:tab w:pos="705" w:val="left" w:leader="none"/>
        </w:tabs>
        <w:spacing w:before="1"/>
        <w:ind w:left="165" w:right="0" w:firstLine="0"/>
        <w:jc w:val="left"/>
        <w:rPr>
          <w:sz w:val="20"/>
        </w:rPr>
      </w:pPr>
      <w:bookmarkStart w:name="_bookmark1325" w:id="1327"/>
      <w:bookmarkEnd w:id="1327"/>
      <w:r>
        <w:rPr/>
      </w:r>
      <w:hyperlink w:history="true" w:anchor="_bookmark1160">
        <w:r>
          <w:rPr>
            <w:color w:val="005DA1"/>
            <w:spacing w:val="-4"/>
            <w:position w:val="5"/>
            <w:sz w:val="14"/>
            <w:u w:val="single" w:color="005DA1"/>
          </w:rPr>
          <w:t>648</w:t>
        </w:r>
      </w:hyperlink>
      <w:r>
        <w:rPr>
          <w:spacing w:val="-4"/>
          <w:position w:val="5"/>
          <w:sz w:val="14"/>
        </w:rPr>
        <w:t>.</w:t>
      </w:r>
      <w:r>
        <w:rPr>
          <w:position w:val="5"/>
          <w:sz w:val="14"/>
        </w:rPr>
        <w:tab/>
      </w:r>
      <w:r>
        <w:rPr>
          <w:rFonts w:ascii="Arial"/>
          <w:i/>
          <w:sz w:val="20"/>
        </w:rPr>
        <w:t>[2014] EWHC 3068 (Comm)</w:t>
      </w:r>
      <w:r>
        <w:rPr>
          <w:rFonts w:ascii="Arial"/>
          <w:i/>
          <w:spacing w:val="-1"/>
          <w:sz w:val="20"/>
        </w:rPr>
        <w:t> </w:t>
      </w:r>
      <w:r>
        <w:rPr>
          <w:sz w:val="20"/>
        </w:rPr>
        <w:t>at </w:t>
      </w:r>
      <w:r>
        <w:rPr>
          <w:spacing w:val="-2"/>
          <w:sz w:val="20"/>
        </w:rPr>
        <w:t>[87].</w:t>
      </w:r>
    </w:p>
    <w:p>
      <w:pPr>
        <w:pStyle w:val="BodyText"/>
        <w:spacing w:before="5"/>
      </w:pPr>
    </w:p>
    <w:p>
      <w:pPr>
        <w:pStyle w:val="BodyText"/>
        <w:tabs>
          <w:tab w:pos="705" w:val="left" w:leader="none"/>
        </w:tabs>
        <w:spacing w:line="227" w:lineRule="exact"/>
        <w:ind w:left="165"/>
        <w:rPr>
          <w:rFonts w:ascii="Arial" w:hAnsi="Arial"/>
          <w:i/>
        </w:rPr>
      </w:pPr>
      <w:bookmarkStart w:name="_bookmark1326" w:id="1328"/>
      <w:bookmarkEnd w:id="1328"/>
      <w:r>
        <w:rPr/>
      </w:r>
      <w:hyperlink w:history="true" w:anchor="_bookmark1161">
        <w:r>
          <w:rPr>
            <w:color w:val="005DA1"/>
            <w:spacing w:val="-4"/>
            <w:position w:val="5"/>
            <w:sz w:val="14"/>
            <w:u w:val="single" w:color="005DA1"/>
          </w:rPr>
          <w:t>649</w:t>
        </w:r>
      </w:hyperlink>
      <w:r>
        <w:rPr>
          <w:spacing w:val="-4"/>
          <w:position w:val="5"/>
          <w:sz w:val="14"/>
        </w:rPr>
        <w:t>.</w:t>
      </w:r>
      <w:r>
        <w:rPr>
          <w:position w:val="5"/>
          <w:sz w:val="14"/>
        </w:rPr>
        <w:tab/>
      </w:r>
      <w:r>
        <w:rPr/>
        <w:t>See</w:t>
      </w:r>
      <w:r>
        <w:rPr>
          <w:spacing w:val="12"/>
        </w:rPr>
        <w:t> </w:t>
      </w:r>
      <w:r>
        <w:rPr/>
        <w:t>the</w:t>
      </w:r>
      <w:r>
        <w:rPr>
          <w:spacing w:val="15"/>
        </w:rPr>
        <w:t> </w:t>
      </w:r>
      <w:r>
        <w:rPr/>
        <w:t>Explanatory</w:t>
      </w:r>
      <w:r>
        <w:rPr>
          <w:spacing w:val="15"/>
        </w:rPr>
        <w:t> </w:t>
      </w:r>
      <w:r>
        <w:rPr/>
        <w:t>notes</w:t>
      </w:r>
      <w:r>
        <w:rPr>
          <w:spacing w:val="15"/>
        </w:rPr>
        <w:t> </w:t>
      </w:r>
      <w:r>
        <w:rPr/>
        <w:t>to</w:t>
      </w:r>
      <w:r>
        <w:rPr>
          <w:spacing w:val="15"/>
        </w:rPr>
        <w:t> </w:t>
      </w:r>
      <w:r>
        <w:rPr/>
        <w:t>Clause</w:t>
      </w:r>
      <w:r>
        <w:rPr>
          <w:spacing w:val="14"/>
        </w:rPr>
        <w:t> </w:t>
      </w:r>
      <w:r>
        <w:rPr/>
        <w:t>1</w:t>
      </w:r>
      <w:r>
        <w:rPr>
          <w:spacing w:val="15"/>
        </w:rPr>
        <w:t> </w:t>
      </w:r>
      <w:r>
        <w:rPr/>
        <w:t>of</w:t>
      </w:r>
      <w:r>
        <w:rPr>
          <w:spacing w:val="15"/>
        </w:rPr>
        <w:t> </w:t>
      </w:r>
      <w:r>
        <w:rPr/>
        <w:t>the</w:t>
      </w:r>
      <w:r>
        <w:rPr>
          <w:spacing w:val="15"/>
        </w:rPr>
        <w:t> </w:t>
      </w:r>
      <w:r>
        <w:rPr/>
        <w:t>Bill</w:t>
      </w:r>
      <w:r>
        <w:rPr>
          <w:spacing w:val="15"/>
        </w:rPr>
        <w:t> </w:t>
      </w:r>
      <w:r>
        <w:rPr/>
        <w:t>appended</w:t>
      </w:r>
      <w:r>
        <w:rPr>
          <w:spacing w:val="14"/>
        </w:rPr>
        <w:t> </w:t>
      </w:r>
      <w:r>
        <w:rPr/>
        <w:t>to</w:t>
      </w:r>
      <w:r>
        <w:rPr>
          <w:spacing w:val="15"/>
        </w:rPr>
        <w:t> </w:t>
      </w:r>
      <w:r>
        <w:rPr/>
        <w:t>Law</w:t>
      </w:r>
      <w:r>
        <w:rPr>
          <w:spacing w:val="15"/>
        </w:rPr>
        <w:t> </w:t>
      </w:r>
      <w:r>
        <w:rPr/>
        <w:t>Com.</w:t>
      </w:r>
      <w:r>
        <w:rPr>
          <w:spacing w:val="15"/>
        </w:rPr>
        <w:t> </w:t>
      </w:r>
      <w:r>
        <w:rPr/>
        <w:t>No.242</w:t>
      </w:r>
      <w:r>
        <w:rPr>
          <w:spacing w:val="15"/>
        </w:rPr>
        <w:t> </w:t>
      </w:r>
      <w:r>
        <w:rPr/>
        <w:t>(“</w:t>
      </w:r>
      <w:r>
        <w:rPr>
          <w:rFonts w:ascii="Arial" w:hAnsi="Arial"/>
          <w:i/>
        </w:rPr>
        <w:t>In</w:t>
      </w:r>
      <w:r>
        <w:rPr>
          <w:rFonts w:ascii="Arial" w:hAnsi="Arial"/>
          <w:i/>
          <w:spacing w:val="15"/>
        </w:rPr>
        <w:t> </w:t>
      </w:r>
      <w:r>
        <w:rPr>
          <w:rFonts w:ascii="Arial" w:hAnsi="Arial"/>
          <w:i/>
          <w:spacing w:val="-2"/>
        </w:rPr>
        <w:t>addition</w:t>
      </w:r>
    </w:p>
    <w:p>
      <w:pPr>
        <w:pStyle w:val="BodyText"/>
        <w:spacing w:line="227" w:lineRule="exact"/>
        <w:ind w:left="705"/>
      </w:pPr>
      <w:r>
        <w:rPr/>
        <w:t>… clause 1(3) requires that the third party be expressly identified …”; italics </w:t>
      </w:r>
      <w:r>
        <w:rPr>
          <w:spacing w:val="-2"/>
        </w:rPr>
        <w:t>supplied).</w:t>
      </w:r>
    </w:p>
    <w:p>
      <w:pPr>
        <w:pStyle w:val="BodyText"/>
        <w:spacing w:before="5"/>
      </w:pPr>
    </w:p>
    <w:p>
      <w:pPr>
        <w:tabs>
          <w:tab w:pos="705" w:val="left" w:leader="none"/>
        </w:tabs>
        <w:spacing w:before="0"/>
        <w:ind w:left="165" w:right="0" w:firstLine="0"/>
        <w:jc w:val="left"/>
        <w:rPr>
          <w:sz w:val="20"/>
        </w:rPr>
      </w:pPr>
      <w:bookmarkStart w:name="_bookmark1327" w:id="1329"/>
      <w:bookmarkEnd w:id="1329"/>
      <w:r>
        <w:rPr/>
      </w:r>
      <w:hyperlink w:history="true" w:anchor="_bookmark1162">
        <w:r>
          <w:rPr>
            <w:color w:val="005DA1"/>
            <w:spacing w:val="-4"/>
            <w:position w:val="5"/>
            <w:sz w:val="14"/>
            <w:u w:val="single" w:color="005DA1"/>
          </w:rPr>
          <w:t>650</w:t>
        </w:r>
      </w:hyperlink>
      <w:r>
        <w:rPr>
          <w:spacing w:val="-4"/>
          <w:position w:val="5"/>
          <w:sz w:val="14"/>
        </w:rPr>
        <w:t>.</w:t>
      </w:r>
      <w:r>
        <w:rPr>
          <w:position w:val="5"/>
          <w:sz w:val="14"/>
        </w:rPr>
        <w:tab/>
      </w:r>
      <w:r>
        <w:rPr>
          <w:sz w:val="20"/>
        </w:rPr>
        <w:t>As, for example, in</w:t>
      </w:r>
      <w:r>
        <w:rPr>
          <w:spacing w:val="-1"/>
          <w:sz w:val="20"/>
        </w:rPr>
        <w:t> </w:t>
      </w:r>
      <w:r>
        <w:rPr>
          <w:rFonts w:ascii="Arial"/>
          <w:i/>
          <w:sz w:val="20"/>
        </w:rPr>
        <w:t>Adler v Dickson [1955] 1 QB </w:t>
      </w:r>
      <w:r>
        <w:rPr>
          <w:rFonts w:ascii="Arial"/>
          <w:i/>
          <w:spacing w:val="-4"/>
          <w:sz w:val="20"/>
        </w:rPr>
        <w:t>158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28" w:id="1330"/>
      <w:bookmarkEnd w:id="1330"/>
      <w:r>
        <w:rPr/>
      </w:r>
      <w:hyperlink w:history="true" w:anchor="_bookmark1163">
        <w:r>
          <w:rPr>
            <w:color w:val="005DA1"/>
            <w:spacing w:val="-4"/>
            <w:position w:val="5"/>
            <w:sz w:val="14"/>
            <w:u w:val="single" w:color="005DA1"/>
          </w:rPr>
          <w:t>651</w:t>
        </w:r>
      </w:hyperlink>
      <w:r>
        <w:rPr>
          <w:spacing w:val="-4"/>
          <w:position w:val="5"/>
          <w:sz w:val="14"/>
        </w:rPr>
        <w:t>.</w:t>
      </w:r>
      <w:r>
        <w:rPr>
          <w:position w:val="5"/>
          <w:sz w:val="14"/>
        </w:rPr>
        <w:tab/>
      </w:r>
      <w:r>
        <w:rPr>
          <w:rFonts w:ascii="Arial"/>
          <w:i/>
          <w:sz w:val="20"/>
        </w:rPr>
        <w:t>Midland</w:t>
      </w:r>
      <w:r>
        <w:rPr>
          <w:rFonts w:ascii="Arial"/>
          <w:i/>
          <w:spacing w:val="-1"/>
          <w:sz w:val="20"/>
        </w:rPr>
        <w:t> </w:t>
      </w:r>
      <w:r>
        <w:rPr>
          <w:rFonts w:ascii="Arial"/>
          <w:i/>
          <w:sz w:val="20"/>
        </w:rPr>
        <w:t>Silicones Ltd v Scruttons Ltd [1962] A.C. 446</w:t>
      </w:r>
      <w:r>
        <w:rPr>
          <w:sz w:val="20"/>
        </w:rPr>
        <w:t>; above, para.15-</w:t>
      </w:r>
      <w:r>
        <w:rPr>
          <w:spacing w:val="-4"/>
          <w:sz w:val="20"/>
        </w:rPr>
        <w:t>045.</w:t>
      </w:r>
    </w:p>
    <w:p>
      <w:pPr>
        <w:pStyle w:val="BodyText"/>
        <w:spacing w:before="5"/>
      </w:pPr>
    </w:p>
    <w:p>
      <w:pPr>
        <w:pStyle w:val="BodyText"/>
        <w:tabs>
          <w:tab w:pos="705" w:val="left" w:leader="none"/>
        </w:tabs>
        <w:ind w:left="165"/>
      </w:pPr>
      <w:bookmarkStart w:name="_bookmark1329" w:id="1331"/>
      <w:bookmarkEnd w:id="1331"/>
      <w:r>
        <w:rPr/>
      </w:r>
      <w:hyperlink w:history="true" w:anchor="_bookmark1164">
        <w:r>
          <w:rPr>
            <w:color w:val="005DA1"/>
            <w:spacing w:val="-4"/>
            <w:position w:val="5"/>
            <w:sz w:val="14"/>
            <w:u w:val="single" w:color="005DA1"/>
          </w:rPr>
          <w:t>652</w:t>
        </w:r>
      </w:hyperlink>
      <w:r>
        <w:rPr>
          <w:spacing w:val="-4"/>
          <w:position w:val="5"/>
          <w:sz w:val="14"/>
        </w:rPr>
        <w:t>.</w:t>
      </w:r>
      <w:r>
        <w:rPr>
          <w:position w:val="5"/>
          <w:sz w:val="14"/>
        </w:rPr>
        <w:tab/>
      </w:r>
      <w:r>
        <w:rPr/>
        <w:t>See s.1(6), above, para.18-</w:t>
      </w:r>
      <w:r>
        <w:rPr>
          <w:spacing w:val="-4"/>
        </w:rPr>
        <w:t>092.</w:t>
      </w:r>
    </w:p>
    <w:p>
      <w:pPr>
        <w:pStyle w:val="BodyText"/>
        <w:spacing w:before="8"/>
      </w:pPr>
    </w:p>
    <w:p>
      <w:pPr>
        <w:pStyle w:val="BodyText"/>
        <w:spacing w:line="235" w:lineRule="auto" w:before="1"/>
        <w:ind w:left="705" w:right="167" w:hanging="541"/>
        <w:jc w:val="both"/>
      </w:pPr>
      <w:bookmarkStart w:name="_bookmark1330" w:id="1332"/>
      <w:bookmarkEnd w:id="1332"/>
      <w:r>
        <w:rPr/>
      </w:r>
      <w:hyperlink w:history="true" w:anchor="_bookmark1165">
        <w:r>
          <w:rPr>
            <w:color w:val="005DA1"/>
            <w:position w:val="5"/>
            <w:sz w:val="14"/>
            <w:u w:val="single" w:color="005DA1"/>
          </w:rPr>
          <w:t>653</w:t>
        </w:r>
      </w:hyperlink>
      <w:r>
        <w:rPr>
          <w:position w:val="5"/>
          <w:sz w:val="14"/>
        </w:rPr>
        <w:t>.</w:t>
      </w:r>
      <w:r>
        <w:rPr>
          <w:spacing w:val="80"/>
          <w:w w:val="150"/>
          <w:position w:val="5"/>
          <w:sz w:val="14"/>
        </w:rPr>
        <w:t> </w:t>
      </w:r>
      <w:r>
        <w:rPr/>
        <w:t>Such a question could arise on facts such as those in </w:t>
      </w:r>
      <w:r>
        <w:rPr>
          <w:rFonts w:ascii="Arial" w:hAnsi="Arial"/>
          <w:i/>
        </w:rPr>
        <w:t>Elder Dempster &amp; Co Ltd v Paterson Zochonis &amp; Co Ltd [1924] A.C. 522</w:t>
      </w:r>
      <w:r>
        <w:rPr/>
        <w:t>, where the form of bill of lading used seems to have been based on the assumption that the goods would be carried by B but they were in fact carried by</w:t>
      </w:r>
      <w:r>
        <w:rPr>
          <w:spacing w:val="40"/>
        </w:rPr>
        <w:t> </w:t>
      </w:r>
      <w:r>
        <w:rPr/>
        <w:t>C and the words of the exemption clause in the bill happened to be apt to refer also to C. In the </w:t>
      </w:r>
      <w:r>
        <w:rPr>
          <w:rFonts w:ascii="Arial" w:hAnsi="Arial"/>
          <w:i/>
        </w:rPr>
        <w:t>Avraamides </w:t>
      </w:r>
      <w:r>
        <w:rPr/>
        <w:t>case, above n.603, A’s promise to B to “complete outstanding customer </w:t>
      </w:r>
      <w:r>
        <w:rPr/>
        <w:t>orders” seems to have been intended for the benefit of B rather than of any of B’s customers.</w:t>
      </w:r>
    </w:p>
    <w:p>
      <w:pPr>
        <w:pStyle w:val="BodyText"/>
        <w:spacing w:before="3"/>
      </w:pPr>
    </w:p>
    <w:p>
      <w:pPr>
        <w:pStyle w:val="BodyText"/>
        <w:tabs>
          <w:tab w:pos="705" w:val="left" w:leader="none"/>
        </w:tabs>
        <w:spacing w:before="1"/>
        <w:ind w:left="165"/>
      </w:pPr>
      <w:bookmarkStart w:name="_bookmark1331" w:id="1333"/>
      <w:bookmarkEnd w:id="1333"/>
      <w:r>
        <w:rPr/>
      </w:r>
      <w:hyperlink w:history="true" w:anchor="_bookmark1166">
        <w:r>
          <w:rPr>
            <w:color w:val="005DA1"/>
            <w:spacing w:val="-4"/>
            <w:position w:val="5"/>
            <w:sz w:val="14"/>
            <w:u w:val="single" w:color="005DA1"/>
          </w:rPr>
          <w:t>654</w:t>
        </w:r>
      </w:hyperlink>
      <w:r>
        <w:rPr>
          <w:spacing w:val="-4"/>
          <w:position w:val="5"/>
          <w:sz w:val="14"/>
        </w:rPr>
        <w:t>.</w:t>
      </w:r>
      <w:r>
        <w:rPr>
          <w:position w:val="5"/>
          <w:sz w:val="14"/>
        </w:rPr>
        <w:tab/>
      </w:r>
      <w:r>
        <w:rPr/>
        <w:t>Report, para.8.8; and see n.628 </w:t>
      </w:r>
      <w:r>
        <w:rPr>
          <w:spacing w:val="-2"/>
        </w:rPr>
        <w:t>below.</w:t>
      </w:r>
    </w:p>
    <w:p>
      <w:pPr>
        <w:pStyle w:val="BodyText"/>
        <w:spacing w:before="8"/>
      </w:pPr>
    </w:p>
    <w:p>
      <w:pPr>
        <w:pStyle w:val="BodyText"/>
        <w:spacing w:line="235" w:lineRule="auto"/>
        <w:ind w:left="705" w:right="167" w:hanging="541"/>
        <w:jc w:val="both"/>
      </w:pPr>
      <w:bookmarkStart w:name="_bookmark1332" w:id="1334"/>
      <w:bookmarkEnd w:id="1334"/>
      <w:r>
        <w:rPr/>
      </w:r>
      <w:hyperlink w:history="true" w:anchor="_bookmark1167">
        <w:r>
          <w:rPr>
            <w:color w:val="005DA1"/>
            <w:position w:val="5"/>
            <w:sz w:val="14"/>
            <w:u w:val="single" w:color="005DA1"/>
          </w:rPr>
          <w:t>655</w:t>
        </w:r>
      </w:hyperlink>
      <w:r>
        <w:rPr>
          <w:position w:val="5"/>
          <w:sz w:val="14"/>
        </w:rPr>
        <w:t>.</w:t>
      </w:r>
      <w:r>
        <w:rPr>
          <w:spacing w:val="80"/>
          <w:position w:val="5"/>
          <w:sz w:val="14"/>
        </w:rPr>
        <w:t>  </w:t>
      </w:r>
      <w:r>
        <w:rPr/>
        <w:t>A company which did not at the time of the contract exist could, on coming into existence, by virtue of s.1(3) </w:t>
      </w:r>
      <w:r>
        <w:rPr>
          <w:rFonts w:ascii="Arial"/>
          <w:i/>
        </w:rPr>
        <w:t>enforce </w:t>
      </w:r>
      <w:r>
        <w:rPr/>
        <w:t>a term made for its benefit (within s.1(1)); but the rules relating </w:t>
      </w:r>
      <w:r>
        <w:rPr/>
        <w:t>to contracts</w:t>
      </w:r>
      <w:r>
        <w:rPr>
          <w:spacing w:val="-2"/>
        </w:rPr>
        <w:t> </w:t>
      </w:r>
      <w:r>
        <w:rPr/>
        <w:t>made</w:t>
      </w:r>
      <w:r>
        <w:rPr>
          <w:spacing w:val="-2"/>
        </w:rPr>
        <w:t> </w:t>
      </w:r>
      <w:r>
        <w:rPr/>
        <w:t>on</w:t>
      </w:r>
      <w:r>
        <w:rPr>
          <w:spacing w:val="-2"/>
        </w:rPr>
        <w:t> </w:t>
      </w:r>
      <w:r>
        <w:rPr/>
        <w:t>behalf</w:t>
      </w:r>
      <w:r>
        <w:rPr>
          <w:spacing w:val="-2"/>
        </w:rPr>
        <w:t> </w:t>
      </w:r>
      <w:r>
        <w:rPr/>
        <w:t>of</w:t>
      </w:r>
      <w:r>
        <w:rPr>
          <w:spacing w:val="-2"/>
        </w:rPr>
        <w:t> </w:t>
      </w:r>
      <w:r>
        <w:rPr/>
        <w:t>such</w:t>
      </w:r>
      <w:r>
        <w:rPr>
          <w:spacing w:val="-2"/>
        </w:rPr>
        <w:t> </w:t>
      </w:r>
      <w:r>
        <w:rPr/>
        <w:t>a</w:t>
      </w:r>
      <w:r>
        <w:rPr>
          <w:spacing w:val="-2"/>
        </w:rPr>
        <w:t> </w:t>
      </w:r>
      <w:r>
        <w:rPr/>
        <w:t>company</w:t>
      </w:r>
      <w:r>
        <w:rPr>
          <w:spacing w:val="-2"/>
        </w:rPr>
        <w:t> </w:t>
      </w:r>
      <w:r>
        <w:rPr/>
        <w:t>would</w:t>
      </w:r>
      <w:r>
        <w:rPr>
          <w:spacing w:val="-2"/>
        </w:rPr>
        <w:t> </w:t>
      </w:r>
      <w:r>
        <w:rPr/>
        <w:t>continue</w:t>
      </w:r>
      <w:r>
        <w:rPr>
          <w:spacing w:val="-2"/>
        </w:rPr>
        <w:t> </w:t>
      </w:r>
      <w:r>
        <w:rPr/>
        <w:t>to</w:t>
      </w:r>
      <w:r>
        <w:rPr>
          <w:spacing w:val="-2"/>
        </w:rPr>
        <w:t> </w:t>
      </w:r>
      <w:r>
        <w:rPr/>
        <w:t>govern</w:t>
      </w:r>
      <w:r>
        <w:rPr>
          <w:spacing w:val="-2"/>
        </w:rPr>
        <w:t> </w:t>
      </w:r>
      <w:r>
        <w:rPr/>
        <w:t>the</w:t>
      </w:r>
      <w:r>
        <w:rPr>
          <w:spacing w:val="-2"/>
        </w:rPr>
        <w:t> </w:t>
      </w:r>
      <w:r>
        <w:rPr/>
        <w:t>extent</w:t>
      </w:r>
      <w:r>
        <w:rPr>
          <w:spacing w:val="-2"/>
        </w:rPr>
        <w:t> </w:t>
      </w:r>
      <w:r>
        <w:rPr/>
        <w:t>to</w:t>
      </w:r>
      <w:r>
        <w:rPr>
          <w:spacing w:val="-2"/>
        </w:rPr>
        <w:t> </w:t>
      </w:r>
      <w:r>
        <w:rPr/>
        <w:t>which</w:t>
      </w:r>
      <w:r>
        <w:rPr>
          <w:spacing w:val="-2"/>
        </w:rPr>
        <w:t> </w:t>
      </w:r>
      <w:r>
        <w:rPr/>
        <w:t>such a company could be </w:t>
      </w:r>
      <w:r>
        <w:rPr>
          <w:rFonts w:ascii="Arial"/>
          <w:i/>
        </w:rPr>
        <w:t>bound </w:t>
      </w:r>
      <w:r>
        <w:rPr/>
        <w:t>by a contract made on its behalf: Report, paras 8.9 to 8.16; Companies Act 1985, s.36C (referred to in Report, para.8.9) has been replaced by Companies Act 2006, s.51.</w:t>
      </w:r>
    </w:p>
    <w:p>
      <w:pPr>
        <w:pStyle w:val="BodyText"/>
        <w:spacing w:before="4"/>
      </w:pPr>
    </w:p>
    <w:p>
      <w:pPr>
        <w:pStyle w:val="BodyText"/>
        <w:tabs>
          <w:tab w:pos="705" w:val="left" w:leader="none"/>
        </w:tabs>
        <w:ind w:left="165"/>
      </w:pPr>
      <w:bookmarkStart w:name="_bookmark1333" w:id="1335"/>
      <w:bookmarkEnd w:id="1335"/>
      <w:r>
        <w:rPr/>
      </w:r>
      <w:hyperlink w:history="true" w:anchor="_bookmark1168">
        <w:r>
          <w:rPr>
            <w:color w:val="005DA1"/>
            <w:spacing w:val="-4"/>
            <w:position w:val="5"/>
            <w:sz w:val="14"/>
            <w:u w:val="single" w:color="005DA1"/>
          </w:rPr>
          <w:t>656</w:t>
        </w:r>
      </w:hyperlink>
      <w:r>
        <w:rPr>
          <w:spacing w:val="-4"/>
          <w:position w:val="5"/>
          <w:sz w:val="14"/>
        </w:rPr>
        <w:t>.</w:t>
      </w:r>
      <w:r>
        <w:rPr>
          <w:position w:val="5"/>
          <w:sz w:val="14"/>
        </w:rPr>
        <w:tab/>
      </w:r>
      <w:r>
        <w:rPr/>
        <w:t>For examples, see Report, </w:t>
      </w:r>
      <w:r>
        <w:rPr>
          <w:spacing w:val="-2"/>
        </w:rPr>
        <w:t>para.8.5.</w:t>
      </w:r>
    </w:p>
    <w:p>
      <w:pPr>
        <w:pStyle w:val="BodyText"/>
        <w:spacing w:before="9"/>
      </w:pPr>
    </w:p>
    <w:p>
      <w:pPr>
        <w:pStyle w:val="BodyText"/>
        <w:spacing w:line="235" w:lineRule="auto"/>
        <w:ind w:left="705" w:right="167" w:hanging="541"/>
        <w:jc w:val="both"/>
      </w:pPr>
      <w:bookmarkStart w:name="_bookmark1334" w:id="1336"/>
      <w:bookmarkEnd w:id="1336"/>
      <w:r>
        <w:rPr/>
      </w:r>
      <w:hyperlink w:history="true" w:anchor="_bookmark1169">
        <w:r>
          <w:rPr>
            <w:color w:val="005DA1"/>
            <w:position w:val="5"/>
            <w:sz w:val="14"/>
            <w:u w:val="single" w:color="005DA1"/>
          </w:rPr>
          <w:t>657</w:t>
        </w:r>
      </w:hyperlink>
      <w:r>
        <w:rPr>
          <w:position w:val="5"/>
          <w:sz w:val="14"/>
        </w:rPr>
        <w:t>.</w:t>
      </w:r>
      <w:r>
        <w:rPr>
          <w:spacing w:val="80"/>
          <w:w w:val="150"/>
          <w:position w:val="5"/>
          <w:sz w:val="14"/>
        </w:rPr>
        <w:t> </w:t>
      </w:r>
      <w:r>
        <w:rPr/>
        <w:t>1999 Act, s.7(4), below, para.18-122. Section 7(4) refers only to other legislation, but </w:t>
      </w:r>
      <w:r>
        <w:rPr/>
        <w:t>the</w:t>
      </w:r>
      <w:r>
        <w:rPr>
          <w:spacing w:val="40"/>
        </w:rPr>
        <w:t> </w:t>
      </w:r>
      <w:r>
        <w:rPr/>
        <w:t>principle that C is not to be treated as a party to the contract appears also to apply for the purpose of rules of common law: see below, para.18-102.</w:t>
      </w:r>
    </w:p>
    <w:p>
      <w:pPr>
        <w:pStyle w:val="BodyText"/>
        <w:spacing w:after="0" w:line="235" w:lineRule="auto"/>
        <w:jc w:val="both"/>
        <w:sectPr>
          <w:type w:val="continuous"/>
          <w:pgSz w:w="11900" w:h="16840"/>
          <w:pgMar w:header="971" w:footer="0" w:top="1160" w:bottom="280" w:left="1275" w:right="1275"/>
        </w:sectPr>
      </w:pPr>
    </w:p>
    <w:p>
      <w:pPr>
        <w:pStyle w:val="BodyText"/>
        <w:spacing w:before="84"/>
      </w:pPr>
    </w:p>
    <w:p>
      <w:pPr>
        <w:pStyle w:val="BodyText"/>
        <w:spacing w:line="235" w:lineRule="auto" w:before="1"/>
        <w:ind w:left="705" w:right="167" w:hanging="541"/>
        <w:jc w:val="both"/>
      </w:pPr>
      <w:hyperlink w:history="true" w:anchor="_bookmark1170">
        <w:r>
          <w:rPr>
            <w:color w:val="005DA1"/>
            <w:position w:val="5"/>
            <w:sz w:val="14"/>
            <w:u w:val="single" w:color="005DA1"/>
          </w:rPr>
          <w:t>658</w:t>
        </w:r>
      </w:hyperlink>
      <w:r>
        <w:rPr>
          <w:position w:val="5"/>
          <w:sz w:val="14"/>
        </w:rPr>
        <w:t>.</w:t>
      </w:r>
      <w:r>
        <w:rPr>
          <w:spacing w:val="80"/>
          <w:w w:val="150"/>
          <w:position w:val="5"/>
          <w:sz w:val="14"/>
        </w:rPr>
        <w:t> </w:t>
      </w:r>
      <w:r>
        <w:rPr/>
        <w:t>It also makes use of the above fiction for a number of other purposes relating to defences available to A against C: see s.3(4) and (6), below, para.18-114; and to arbitration provisions: see s.8, below, para.18-101.</w:t>
      </w:r>
    </w:p>
    <w:p>
      <w:pPr>
        <w:pStyle w:val="BodyText"/>
        <w:spacing w:before="5"/>
      </w:pPr>
    </w:p>
    <w:p>
      <w:pPr>
        <w:pStyle w:val="BodyText"/>
        <w:tabs>
          <w:tab w:pos="705" w:val="left" w:leader="none"/>
        </w:tabs>
        <w:ind w:left="165"/>
      </w:pPr>
      <w:bookmarkStart w:name="_bookmark1335" w:id="1337"/>
      <w:bookmarkEnd w:id="1337"/>
      <w:r>
        <w:rPr/>
      </w:r>
      <w:hyperlink w:history="true" w:anchor="_bookmark1171">
        <w:r>
          <w:rPr>
            <w:color w:val="005DA1"/>
            <w:spacing w:val="-4"/>
            <w:position w:val="5"/>
            <w:sz w:val="14"/>
            <w:u w:val="single" w:color="005DA1"/>
          </w:rPr>
          <w:t>659</w:t>
        </w:r>
      </w:hyperlink>
      <w:r>
        <w:rPr>
          <w:spacing w:val="-4"/>
          <w:position w:val="5"/>
          <w:sz w:val="14"/>
        </w:rPr>
        <w:t>.</w:t>
      </w:r>
      <w:r>
        <w:rPr>
          <w:position w:val="5"/>
          <w:sz w:val="14"/>
        </w:rPr>
        <w:tab/>
      </w:r>
      <w:r>
        <w:rPr/>
        <w:t>Report, paras 3.32, </w:t>
      </w:r>
      <w:r>
        <w:rPr>
          <w:spacing w:val="-2"/>
        </w:rPr>
        <w:t>3.33.</w:t>
      </w:r>
    </w:p>
    <w:p>
      <w:pPr>
        <w:pStyle w:val="BodyText"/>
        <w:spacing w:before="5"/>
      </w:pPr>
    </w:p>
    <w:p>
      <w:pPr>
        <w:pStyle w:val="BodyText"/>
        <w:tabs>
          <w:tab w:pos="705" w:val="left" w:leader="none"/>
        </w:tabs>
        <w:ind w:left="165"/>
      </w:pPr>
      <w:bookmarkStart w:name="_bookmark1336" w:id="1338"/>
      <w:bookmarkEnd w:id="1338"/>
      <w:r>
        <w:rPr/>
      </w:r>
      <w:hyperlink w:history="true" w:anchor="_bookmark1172">
        <w:r>
          <w:rPr>
            <w:color w:val="005DA1"/>
            <w:spacing w:val="-4"/>
            <w:position w:val="5"/>
            <w:sz w:val="14"/>
            <w:u w:val="single" w:color="005DA1"/>
          </w:rPr>
          <w:t>660</w:t>
        </w:r>
      </w:hyperlink>
      <w:r>
        <w:rPr>
          <w:spacing w:val="-4"/>
          <w:position w:val="5"/>
          <w:sz w:val="14"/>
        </w:rPr>
        <w:t>.</w:t>
      </w:r>
      <w:r>
        <w:rPr>
          <w:position w:val="5"/>
          <w:sz w:val="14"/>
        </w:rPr>
        <w:tab/>
      </w:r>
      <w:r>
        <w:rPr/>
        <w:t>Below,</w:t>
      </w:r>
      <w:r>
        <w:rPr>
          <w:spacing w:val="-2"/>
        </w:rPr>
        <w:t> </w:t>
      </w:r>
      <w:r>
        <w:rPr/>
        <w:t>Vol.II, para.32-</w:t>
      </w:r>
      <w:r>
        <w:rPr>
          <w:spacing w:val="-4"/>
        </w:rPr>
        <w:t>044.</w:t>
      </w:r>
    </w:p>
    <w:p>
      <w:pPr>
        <w:pStyle w:val="BodyText"/>
        <w:spacing w:before="8"/>
      </w:pPr>
    </w:p>
    <w:p>
      <w:pPr>
        <w:spacing w:line="235" w:lineRule="auto" w:before="1"/>
        <w:ind w:left="705" w:right="167" w:hanging="541"/>
        <w:jc w:val="both"/>
        <w:rPr>
          <w:rFonts w:ascii="Arial" w:hAnsi="Arial"/>
          <w:i/>
          <w:sz w:val="20"/>
        </w:rPr>
      </w:pPr>
      <w:bookmarkStart w:name="_bookmark1337" w:id="1339"/>
      <w:bookmarkEnd w:id="1339"/>
      <w:r>
        <w:rPr/>
      </w:r>
      <w:hyperlink w:history="true" w:anchor="_bookmark1173">
        <w:r>
          <w:rPr>
            <w:color w:val="005DA1"/>
            <w:position w:val="5"/>
            <w:sz w:val="14"/>
            <w:u w:val="single" w:color="005DA1"/>
          </w:rPr>
          <w:t>661</w:t>
        </w:r>
      </w:hyperlink>
      <w:r>
        <w:rPr>
          <w:position w:val="5"/>
          <w:sz w:val="14"/>
        </w:rPr>
        <w:t>.</w:t>
      </w:r>
      <w:r>
        <w:rPr>
          <w:spacing w:val="80"/>
          <w:position w:val="5"/>
          <w:sz w:val="14"/>
        </w:rPr>
        <w:t>  </w:t>
      </w:r>
      <w:r>
        <w:rPr>
          <w:sz w:val="20"/>
        </w:rPr>
        <w:t>1999 Act, s.8(1); e.g. </w:t>
      </w:r>
      <w:r>
        <w:rPr>
          <w:rFonts w:ascii="Arial" w:hAnsi="Arial"/>
          <w:i/>
          <w:sz w:val="20"/>
        </w:rPr>
        <w:t>Nisshin Shipping Co Ltd v Cleaves &amp; Co Ltd [2003] EWHC 2602, [2004] 1 All E.R. (Comm) 481</w:t>
      </w:r>
      <w:r>
        <w:rPr>
          <w:sz w:val="20"/>
        </w:rPr>
        <w:t>. Section 8(1) has been said to illustrate the principle of “conditional</w:t>
      </w:r>
      <w:r>
        <w:rPr>
          <w:spacing w:val="40"/>
          <w:sz w:val="20"/>
        </w:rPr>
        <w:t> </w:t>
      </w:r>
      <w:r>
        <w:rPr>
          <w:sz w:val="20"/>
        </w:rPr>
        <w:t>benefit” (reflected in s.1(4) of the 1999 Act and described in para.18-139 n.779 below):</w:t>
      </w:r>
      <w:r>
        <w:rPr>
          <w:spacing w:val="-1"/>
          <w:sz w:val="20"/>
        </w:rPr>
        <w:t> </w:t>
      </w:r>
      <w:r>
        <w:rPr>
          <w:rFonts w:ascii="Arial" w:hAnsi="Arial"/>
          <w:i/>
          <w:sz w:val="20"/>
        </w:rPr>
        <w:t>Fortress Value Recovery Fund I LLC v Blue Sky Special Opportunities Fund LP [2013] EWCA Civ 367, [2013]</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606</w:t>
      </w:r>
      <w:r>
        <w:rPr>
          <w:rFonts w:ascii="Arial" w:hAnsi="Arial"/>
          <w:i/>
          <w:spacing w:val="-4"/>
          <w:sz w:val="20"/>
        </w:rPr>
        <w:t> </w:t>
      </w:r>
      <w:r>
        <w:rPr>
          <w:sz w:val="20"/>
        </w:rPr>
        <w:t>at</w:t>
      </w:r>
      <w:r>
        <w:rPr>
          <w:spacing w:val="-3"/>
          <w:sz w:val="20"/>
        </w:rPr>
        <w:t> </w:t>
      </w:r>
      <w:r>
        <w:rPr>
          <w:sz w:val="20"/>
        </w:rPr>
        <w:t>[42]</w:t>
      </w:r>
      <w:r>
        <w:rPr>
          <w:spacing w:val="-3"/>
          <w:sz w:val="20"/>
        </w:rPr>
        <w:t> </w:t>
      </w:r>
      <w:r>
        <w:rPr>
          <w:sz w:val="20"/>
        </w:rPr>
        <w:t>per</w:t>
      </w:r>
      <w:r>
        <w:rPr>
          <w:spacing w:val="-3"/>
          <w:sz w:val="20"/>
        </w:rPr>
        <w:t> </w:t>
      </w:r>
      <w:r>
        <w:rPr>
          <w:sz w:val="20"/>
        </w:rPr>
        <w:t>Toulson</w:t>
      </w:r>
      <w:r>
        <w:rPr>
          <w:spacing w:val="-3"/>
          <w:sz w:val="20"/>
        </w:rPr>
        <w:t> </w:t>
      </w:r>
      <w:r>
        <w:rPr>
          <w:sz w:val="20"/>
        </w:rPr>
        <w:t>L.J.</w:t>
      </w:r>
      <w:r>
        <w:rPr>
          <w:spacing w:val="-3"/>
          <w:sz w:val="20"/>
        </w:rPr>
        <w:t> </w:t>
      </w:r>
      <w:r>
        <w:rPr>
          <w:sz w:val="20"/>
        </w:rPr>
        <w:t>(“a</w:t>
      </w:r>
      <w:r>
        <w:rPr>
          <w:spacing w:val="-3"/>
          <w:sz w:val="20"/>
        </w:rPr>
        <w:t> </w:t>
      </w:r>
      <w:r>
        <w:rPr>
          <w:sz w:val="20"/>
        </w:rPr>
        <w:t>substantive</w:t>
      </w:r>
      <w:r>
        <w:rPr>
          <w:spacing w:val="-3"/>
          <w:sz w:val="20"/>
        </w:rPr>
        <w:t> </w:t>
      </w:r>
      <w:r>
        <w:rPr>
          <w:sz w:val="20"/>
        </w:rPr>
        <w:t>benefit</w:t>
      </w:r>
      <w:r>
        <w:rPr>
          <w:spacing w:val="-3"/>
          <w:sz w:val="20"/>
        </w:rPr>
        <w:t> </w:t>
      </w:r>
      <w:r>
        <w:rPr>
          <w:sz w:val="20"/>
        </w:rPr>
        <w:t>subject</w:t>
      </w:r>
      <w:r>
        <w:rPr>
          <w:spacing w:val="-3"/>
          <w:sz w:val="20"/>
        </w:rPr>
        <w:t> </w:t>
      </w:r>
      <w:r>
        <w:rPr>
          <w:sz w:val="20"/>
        </w:rPr>
        <w:t>to</w:t>
      </w:r>
      <w:r>
        <w:rPr>
          <w:spacing w:val="-3"/>
          <w:sz w:val="20"/>
        </w:rPr>
        <w:t> </w:t>
      </w:r>
      <w:r>
        <w:rPr>
          <w:sz w:val="20"/>
        </w:rPr>
        <w:t>a</w:t>
      </w:r>
      <w:r>
        <w:rPr>
          <w:spacing w:val="-3"/>
          <w:sz w:val="20"/>
        </w:rPr>
        <w:t> </w:t>
      </w:r>
      <w:r>
        <w:rPr>
          <w:sz w:val="20"/>
        </w:rPr>
        <w:t>procedural condition”);</w:t>
      </w:r>
      <w:r>
        <w:rPr>
          <w:spacing w:val="5"/>
          <w:sz w:val="20"/>
        </w:rPr>
        <w:t> </w:t>
      </w:r>
      <w:r>
        <w:rPr>
          <w:rFonts w:ascii="Arial" w:hAnsi="Arial"/>
          <w:i/>
          <w:sz w:val="20"/>
        </w:rPr>
        <w:t>Hurley</w:t>
      </w:r>
      <w:r>
        <w:rPr>
          <w:rFonts w:ascii="Arial" w:hAnsi="Arial"/>
          <w:i/>
          <w:spacing w:val="5"/>
          <w:sz w:val="20"/>
        </w:rPr>
        <w:t> </w:t>
      </w:r>
      <w:r>
        <w:rPr>
          <w:rFonts w:ascii="Arial" w:hAnsi="Arial"/>
          <w:i/>
          <w:sz w:val="20"/>
        </w:rPr>
        <w:t>Palmer</w:t>
      </w:r>
      <w:r>
        <w:rPr>
          <w:rFonts w:ascii="Arial" w:hAnsi="Arial"/>
          <w:i/>
          <w:spacing w:val="5"/>
          <w:sz w:val="20"/>
        </w:rPr>
        <w:t> </w:t>
      </w:r>
      <w:r>
        <w:rPr>
          <w:rFonts w:ascii="Arial" w:hAnsi="Arial"/>
          <w:i/>
          <w:sz w:val="20"/>
        </w:rPr>
        <w:t>Flatt</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Barclays</w:t>
      </w:r>
      <w:r>
        <w:rPr>
          <w:rFonts w:ascii="Arial" w:hAnsi="Arial"/>
          <w:i/>
          <w:spacing w:val="5"/>
          <w:sz w:val="20"/>
        </w:rPr>
        <w:t> </w:t>
      </w:r>
      <w:r>
        <w:rPr>
          <w:rFonts w:ascii="Arial" w:hAnsi="Arial"/>
          <w:i/>
          <w:sz w:val="20"/>
        </w:rPr>
        <w:t>Bank</w:t>
      </w:r>
      <w:r>
        <w:rPr>
          <w:rFonts w:ascii="Arial" w:hAnsi="Arial"/>
          <w:i/>
          <w:spacing w:val="5"/>
          <w:sz w:val="20"/>
        </w:rPr>
        <w:t> </w:t>
      </w:r>
      <w:r>
        <w:rPr>
          <w:rFonts w:ascii="Arial" w:hAnsi="Arial"/>
          <w:i/>
          <w:sz w:val="20"/>
        </w:rPr>
        <w:t>plc</w:t>
      </w:r>
      <w:r>
        <w:rPr>
          <w:rFonts w:ascii="Arial" w:hAnsi="Arial"/>
          <w:i/>
          <w:spacing w:val="5"/>
          <w:sz w:val="20"/>
        </w:rPr>
        <w:t> </w:t>
      </w:r>
      <w:r>
        <w:rPr>
          <w:rFonts w:ascii="Arial" w:hAnsi="Arial"/>
          <w:i/>
          <w:sz w:val="20"/>
        </w:rPr>
        <w:t>[2014]</w:t>
      </w:r>
      <w:r>
        <w:rPr>
          <w:rFonts w:ascii="Arial" w:hAnsi="Arial"/>
          <w:i/>
          <w:spacing w:val="5"/>
          <w:sz w:val="20"/>
        </w:rPr>
        <w:t> </w:t>
      </w:r>
      <w:r>
        <w:rPr>
          <w:rFonts w:ascii="Arial" w:hAnsi="Arial"/>
          <w:i/>
          <w:sz w:val="20"/>
        </w:rPr>
        <w:t>EWHC</w:t>
      </w:r>
      <w:r>
        <w:rPr>
          <w:rFonts w:ascii="Arial" w:hAnsi="Arial"/>
          <w:i/>
          <w:spacing w:val="5"/>
          <w:sz w:val="20"/>
        </w:rPr>
        <w:t> </w:t>
      </w:r>
      <w:r>
        <w:rPr>
          <w:rFonts w:ascii="Arial" w:hAnsi="Arial"/>
          <w:i/>
          <w:sz w:val="20"/>
        </w:rPr>
        <w:t>3042</w:t>
      </w:r>
      <w:r>
        <w:rPr>
          <w:rFonts w:ascii="Arial" w:hAnsi="Arial"/>
          <w:i/>
          <w:spacing w:val="5"/>
          <w:sz w:val="20"/>
        </w:rPr>
        <w:t> </w:t>
      </w:r>
      <w:r>
        <w:rPr>
          <w:rFonts w:ascii="Arial" w:hAnsi="Arial"/>
          <w:i/>
          <w:sz w:val="20"/>
        </w:rPr>
        <w:t>(TCC),</w:t>
      </w:r>
      <w:r>
        <w:rPr>
          <w:rFonts w:ascii="Arial" w:hAnsi="Arial"/>
          <w:i/>
          <w:spacing w:val="5"/>
          <w:sz w:val="20"/>
        </w:rPr>
        <w:t> </w:t>
      </w:r>
      <w:r>
        <w:rPr>
          <w:rFonts w:ascii="Arial" w:hAnsi="Arial"/>
          <w:i/>
          <w:sz w:val="20"/>
        </w:rPr>
        <w:t>[2015]</w:t>
      </w:r>
      <w:r>
        <w:rPr>
          <w:rFonts w:ascii="Arial" w:hAnsi="Arial"/>
          <w:i/>
          <w:spacing w:val="5"/>
          <w:sz w:val="20"/>
        </w:rPr>
        <w:t> </w:t>
      </w:r>
      <w:r>
        <w:rPr>
          <w:rFonts w:ascii="Arial" w:hAnsi="Arial"/>
          <w:i/>
          <w:spacing w:val="-4"/>
          <w:sz w:val="20"/>
        </w:rPr>
        <w:t>Bus.</w:t>
      </w:r>
    </w:p>
    <w:p>
      <w:pPr>
        <w:pStyle w:val="BodyText"/>
        <w:spacing w:line="235" w:lineRule="auto"/>
        <w:ind w:left="705" w:right="167"/>
        <w:jc w:val="both"/>
      </w:pPr>
      <w:r>
        <w:rPr>
          <w:rFonts w:ascii="Arial" w:hAnsi="Arial"/>
          <w:i/>
        </w:rPr>
        <w:t>L.R. 106 </w:t>
      </w:r>
      <w:r>
        <w:rPr/>
        <w:t>at [35]. But, as an arbitration clause could carry with it a “</w:t>
      </w:r>
      <w:r>
        <w:rPr>
          <w:spacing w:val="-14"/>
        </w:rPr>
        <w:t> </w:t>
      </w:r>
      <w:r>
        <w:rPr>
          <w:rFonts w:ascii="Arial" w:hAnsi="Arial"/>
          <w:i/>
        </w:rPr>
        <w:t>duty </w:t>
      </w:r>
      <w:r>
        <w:rPr/>
        <w:t>on the third party to submit to arbitration”, s.1(4) would not suffice to make the arbitration agreement binding on </w:t>
      </w:r>
      <w:r>
        <w:rPr/>
        <w:t>the third party: this is the reason why it was “necessary to incorporate sections 8(1) and 8(2) in the 1999 Act”: ibid., at [34].</w:t>
      </w:r>
    </w:p>
    <w:p>
      <w:pPr>
        <w:pStyle w:val="BodyText"/>
        <w:spacing w:before="6"/>
      </w:pPr>
    </w:p>
    <w:p>
      <w:pPr>
        <w:pStyle w:val="BodyText"/>
        <w:spacing w:line="235" w:lineRule="auto"/>
        <w:ind w:left="705" w:right="167" w:hanging="541"/>
        <w:jc w:val="both"/>
      </w:pPr>
      <w:bookmarkStart w:name="_bookmark1338" w:id="1340"/>
      <w:bookmarkEnd w:id="1340"/>
      <w:r>
        <w:rPr/>
      </w:r>
      <w:hyperlink w:history="true" w:anchor="_bookmark1173">
        <w:r>
          <w:rPr>
            <w:color w:val="005DA1"/>
            <w:position w:val="5"/>
            <w:sz w:val="14"/>
            <w:u w:val="single" w:color="005DA1"/>
          </w:rPr>
          <w:t>662</w:t>
        </w:r>
      </w:hyperlink>
      <w:r>
        <w:rPr>
          <w:position w:val="5"/>
          <w:sz w:val="14"/>
        </w:rPr>
        <w:t>.</w:t>
      </w:r>
      <w:r>
        <w:rPr>
          <w:spacing w:val="80"/>
          <w:position w:val="5"/>
          <w:sz w:val="14"/>
        </w:rPr>
        <w:t>  </w:t>
      </w:r>
      <w:r>
        <w:rPr/>
        <w:t>By virtue of s.8(1), the third party is to be treated as a party to the arbitration agreement only </w:t>
      </w:r>
      <w:r>
        <w:rPr/>
        <w:t>as regards</w:t>
      </w:r>
      <w:r>
        <w:rPr>
          <w:spacing w:val="-1"/>
        </w:rPr>
        <w:t> </w:t>
      </w:r>
      <w:r>
        <w:rPr/>
        <w:t>disputes</w:t>
      </w:r>
      <w:r>
        <w:rPr>
          <w:spacing w:val="1"/>
        </w:rPr>
        <w:t> </w:t>
      </w:r>
      <w:r>
        <w:rPr/>
        <w:t>between</w:t>
      </w:r>
      <w:r>
        <w:rPr>
          <w:spacing w:val="1"/>
        </w:rPr>
        <w:t> </w:t>
      </w:r>
      <w:r>
        <w:rPr/>
        <w:t>himself</w:t>
      </w:r>
      <w:r>
        <w:rPr>
          <w:spacing w:val="1"/>
        </w:rPr>
        <w:t> </w:t>
      </w:r>
      <w:r>
        <w:rPr/>
        <w:t>and</w:t>
      </w:r>
      <w:r>
        <w:rPr>
          <w:spacing w:val="1"/>
        </w:rPr>
        <w:t> </w:t>
      </w:r>
      <w:r>
        <w:rPr/>
        <w:t>the</w:t>
      </w:r>
      <w:r>
        <w:rPr>
          <w:spacing w:val="1"/>
        </w:rPr>
        <w:t> </w:t>
      </w:r>
      <w:r>
        <w:rPr/>
        <w:t>promisor</w:t>
      </w:r>
      <w:r>
        <w:rPr>
          <w:spacing w:val="1"/>
        </w:rPr>
        <w:t> </w:t>
      </w:r>
      <w:r>
        <w:rPr/>
        <w:t>relating</w:t>
      </w:r>
      <w:r>
        <w:rPr>
          <w:spacing w:val="1"/>
        </w:rPr>
        <w:t> </w:t>
      </w:r>
      <w:r>
        <w:rPr/>
        <w:t>to</w:t>
      </w:r>
      <w:r>
        <w:rPr>
          <w:spacing w:val="1"/>
        </w:rPr>
        <w:t> </w:t>
      </w:r>
      <w:r>
        <w:rPr/>
        <w:t>the</w:t>
      </w:r>
      <w:r>
        <w:rPr>
          <w:spacing w:val="1"/>
        </w:rPr>
        <w:t> </w:t>
      </w:r>
      <w:r>
        <w:rPr/>
        <w:t>“substantive</w:t>
      </w:r>
      <w:r>
        <w:rPr>
          <w:spacing w:val="1"/>
        </w:rPr>
        <w:t> </w:t>
      </w:r>
      <w:r>
        <w:rPr/>
        <w:t>term”</w:t>
      </w:r>
      <w:r>
        <w:rPr>
          <w:spacing w:val="1"/>
        </w:rPr>
        <w:t> </w:t>
      </w:r>
      <w:r>
        <w:rPr>
          <w:spacing w:val="-2"/>
        </w:rPr>
        <w:t>(s.8(1)(a)),</w:t>
      </w:r>
    </w:p>
    <w:p>
      <w:pPr>
        <w:spacing w:line="235" w:lineRule="auto" w:before="0"/>
        <w:ind w:left="705" w:right="167" w:firstLine="0"/>
        <w:jc w:val="both"/>
        <w:rPr>
          <w:sz w:val="20"/>
        </w:rPr>
      </w:pPr>
      <w:r>
        <w:rPr>
          <w:sz w:val="20"/>
        </w:rPr>
        <w:t>i.e. the term conferring a right of enforcement on the third party under s.1 of the Act: </w:t>
      </w:r>
      <w:r>
        <w:rPr>
          <w:sz w:val="20"/>
        </w:rPr>
        <w:t>see </w:t>
      </w:r>
      <w:r>
        <w:rPr>
          <w:rFonts w:ascii="Arial" w:hAnsi="Arial"/>
          <w:i/>
          <w:sz w:val="20"/>
        </w:rPr>
        <w:t>Fortress Value Recovery Fund I LLC v Blue Sky Special Opportunities Fund LP [2013] EWCA Civ 367, [2013] 1 Lloyd’s Rep. 606 </w:t>
      </w:r>
      <w:r>
        <w:rPr>
          <w:sz w:val="20"/>
        </w:rPr>
        <w:t>at [30], [43]. Other disputes arising out of the contract are</w:t>
      </w:r>
      <w:r>
        <w:rPr>
          <w:spacing w:val="40"/>
          <w:sz w:val="20"/>
        </w:rPr>
        <w:t> </w:t>
      </w:r>
      <w:r>
        <w:rPr>
          <w:sz w:val="20"/>
        </w:rPr>
        <w:t>not within s.8(1).</w:t>
      </w:r>
    </w:p>
    <w:p>
      <w:pPr>
        <w:pStyle w:val="BodyText"/>
        <w:spacing w:before="7"/>
      </w:pPr>
    </w:p>
    <w:p>
      <w:pPr>
        <w:spacing w:line="235" w:lineRule="auto" w:before="1"/>
        <w:ind w:left="705" w:right="167" w:hanging="541"/>
        <w:jc w:val="both"/>
        <w:rPr>
          <w:sz w:val="20"/>
        </w:rPr>
      </w:pPr>
      <w:bookmarkStart w:name="_bookmark1339" w:id="1341"/>
      <w:bookmarkEnd w:id="1341"/>
      <w:r>
        <w:rPr/>
      </w:r>
      <w:hyperlink w:history="true" w:anchor="_bookmark1174">
        <w:r>
          <w:rPr>
            <w:color w:val="005DA1"/>
            <w:position w:val="5"/>
            <w:sz w:val="14"/>
            <w:u w:val="single" w:color="005DA1"/>
          </w:rPr>
          <w:t>663</w:t>
        </w:r>
      </w:hyperlink>
      <w:r>
        <w:rPr>
          <w:position w:val="5"/>
          <w:sz w:val="14"/>
        </w:rPr>
        <w:t>.</w:t>
      </w:r>
      <w:r>
        <w:rPr>
          <w:spacing w:val="80"/>
          <w:position w:val="5"/>
          <w:sz w:val="14"/>
        </w:rPr>
        <w:t> </w:t>
      </w:r>
      <w:r>
        <w:rPr>
          <w:sz w:val="20"/>
        </w:rPr>
        <w:t>1999 Act, s.8(2). See </w:t>
      </w:r>
      <w:r>
        <w:rPr>
          <w:rFonts w:ascii="Arial" w:hAnsi="Arial"/>
          <w:i/>
          <w:sz w:val="20"/>
        </w:rPr>
        <w:t>AES Ust-Kamenogorsk Hydropower Plant LLP v Ust </w:t>
      </w:r>
      <w:r>
        <w:rPr>
          <w:rFonts w:ascii="Arial" w:hAnsi="Arial"/>
          <w:i/>
          <w:sz w:val="20"/>
        </w:rPr>
        <w:t>Kamenogorsk Hydropower Plant JSC [2010] EWHC 772 (Comm), [2010] 2 Lloyd’s Rep. 493</w:t>
      </w:r>
      <w:r>
        <w:rPr>
          <w:sz w:val="20"/>
        </w:rPr>
        <w:t>, where a contract between A and B governed by a foreign law contained an arbitration clause, to the benefit of which C was entitled under that law (at [28]). It was held that C was also entitled in English law to enforce that clause “pursuant to section 1 and, in due course, section 8” (at [32]) of the 1999 Act. The decision was affirmed ([2011] EWCA Civ 647, [2011] 2 Lloyd’s Rep. 233) without reference to this point; and further affirmed </w:t>
      </w:r>
      <w:r>
        <w:rPr>
          <w:rFonts w:ascii="Arial" w:hAnsi="Arial"/>
          <w:i/>
          <w:sz w:val="20"/>
        </w:rPr>
        <w:t>sub nom. UST-Kamenogorsk Hydropower Plant</w:t>
      </w:r>
      <w:r>
        <w:rPr>
          <w:rFonts w:ascii="Arial" w:hAnsi="Arial"/>
          <w:i/>
          <w:spacing w:val="40"/>
          <w:sz w:val="20"/>
        </w:rPr>
        <w:t> </w:t>
      </w:r>
      <w:r>
        <w:rPr>
          <w:rFonts w:ascii="Arial" w:hAnsi="Arial"/>
          <w:i/>
          <w:sz w:val="20"/>
        </w:rPr>
        <w:t>JSC v AES UST-Kamenogorsk Hydropower Plant LLP [2013] UKSC 35, [2013] 1 W.L.R. 1889</w:t>
      </w:r>
      <w:r>
        <w:rPr>
          <w:sz w:val="20"/>
        </w:rPr>
        <w:t>, again without any reference to the Contracts (Rights of Third Parties) Act 1999.</w:t>
      </w:r>
    </w:p>
    <w:p>
      <w:pPr>
        <w:pStyle w:val="BodyText"/>
        <w:spacing w:before="2"/>
      </w:pPr>
    </w:p>
    <w:p>
      <w:pPr>
        <w:pStyle w:val="BodyText"/>
        <w:tabs>
          <w:tab w:pos="705" w:val="left" w:leader="none"/>
        </w:tabs>
        <w:ind w:left="165"/>
      </w:pPr>
      <w:bookmarkStart w:name="_bookmark1340" w:id="1342"/>
      <w:bookmarkEnd w:id="1342"/>
      <w:r>
        <w:rPr/>
      </w:r>
      <w:hyperlink w:history="true" w:anchor="_bookmark1175">
        <w:r>
          <w:rPr>
            <w:color w:val="005DA1"/>
            <w:spacing w:val="-4"/>
            <w:position w:val="5"/>
            <w:sz w:val="14"/>
            <w:u w:val="single" w:color="005DA1"/>
          </w:rPr>
          <w:t>664</w:t>
        </w:r>
      </w:hyperlink>
      <w:r>
        <w:rPr>
          <w:spacing w:val="-4"/>
          <w:position w:val="5"/>
          <w:sz w:val="14"/>
        </w:rPr>
        <w:t>.</w:t>
      </w:r>
      <w:r>
        <w:rPr>
          <w:position w:val="5"/>
          <w:sz w:val="14"/>
        </w:rPr>
        <w:tab/>
      </w:r>
      <w:r>
        <w:rPr/>
        <w:t>Report, para.6.8 </w:t>
      </w:r>
      <w:r>
        <w:rPr>
          <w:spacing w:val="-4"/>
        </w:rPr>
        <w:t>n.8.</w:t>
      </w:r>
    </w:p>
    <w:p>
      <w:pPr>
        <w:pStyle w:val="BodyText"/>
        <w:spacing w:before="5"/>
      </w:pPr>
    </w:p>
    <w:p>
      <w:pPr>
        <w:pStyle w:val="BodyText"/>
        <w:tabs>
          <w:tab w:pos="705" w:val="left" w:leader="none"/>
        </w:tabs>
        <w:ind w:left="165"/>
      </w:pPr>
      <w:bookmarkStart w:name="_bookmark1341" w:id="1343"/>
      <w:bookmarkEnd w:id="1343"/>
      <w:r>
        <w:rPr/>
      </w:r>
      <w:hyperlink w:history="true" w:anchor="_bookmark1176">
        <w:r>
          <w:rPr>
            <w:color w:val="005DA1"/>
            <w:spacing w:val="-4"/>
            <w:position w:val="5"/>
            <w:sz w:val="14"/>
            <w:u w:val="single" w:color="005DA1"/>
          </w:rPr>
          <w:t>665</w:t>
        </w:r>
      </w:hyperlink>
      <w:r>
        <w:rPr>
          <w:spacing w:val="-4"/>
          <w:position w:val="5"/>
          <w:sz w:val="14"/>
        </w:rPr>
        <w:t>.</w:t>
      </w:r>
      <w:r>
        <w:rPr>
          <w:position w:val="5"/>
          <w:sz w:val="14"/>
        </w:rPr>
        <w:tab/>
      </w:r>
      <w:r>
        <w:rPr/>
        <w:t>See above, para.18-100, at </w:t>
      </w:r>
      <w:r>
        <w:rPr>
          <w:spacing w:val="-2"/>
        </w:rPr>
        <w:t>n.630.</w:t>
      </w:r>
    </w:p>
    <w:p>
      <w:pPr>
        <w:pStyle w:val="BodyText"/>
        <w:spacing w:before="9"/>
      </w:pPr>
    </w:p>
    <w:p>
      <w:pPr>
        <w:pStyle w:val="BodyText"/>
        <w:tabs>
          <w:tab w:pos="705" w:val="left" w:leader="none"/>
        </w:tabs>
        <w:spacing w:line="235" w:lineRule="auto"/>
        <w:ind w:left="705" w:right="168" w:hanging="541"/>
      </w:pPr>
      <w:bookmarkStart w:name="_bookmark1342" w:id="1344"/>
      <w:bookmarkEnd w:id="1344"/>
      <w:r>
        <w:rPr/>
      </w:r>
      <w:hyperlink w:history="true" w:anchor="_bookmark1177">
        <w:r>
          <w:rPr>
            <w:color w:val="005DA1"/>
            <w:spacing w:val="-4"/>
            <w:position w:val="5"/>
            <w:sz w:val="14"/>
            <w:u w:val="single" w:color="005DA1"/>
          </w:rPr>
          <w:t>666</w:t>
        </w:r>
      </w:hyperlink>
      <w:r>
        <w:rPr>
          <w:spacing w:val="-4"/>
          <w:position w:val="5"/>
          <w:sz w:val="14"/>
        </w:rPr>
        <w:t>.</w:t>
      </w:r>
      <w:r>
        <w:rPr>
          <w:position w:val="5"/>
          <w:sz w:val="14"/>
        </w:rPr>
        <w:tab/>
      </w:r>
      <w:r>
        <w:rPr/>
        <w:t>This</w:t>
      </w:r>
      <w:r>
        <w:rPr>
          <w:spacing w:val="24"/>
        </w:rPr>
        <w:t> </w:t>
      </w:r>
      <w:r>
        <w:rPr/>
        <w:t>has</w:t>
      </w:r>
      <w:r>
        <w:rPr>
          <w:spacing w:val="24"/>
        </w:rPr>
        <w:t> </w:t>
      </w:r>
      <w:r>
        <w:rPr/>
        <w:t>been</w:t>
      </w:r>
      <w:r>
        <w:rPr>
          <w:spacing w:val="24"/>
        </w:rPr>
        <w:t> </w:t>
      </w:r>
      <w:r>
        <w:rPr/>
        <w:t>one</w:t>
      </w:r>
      <w:r>
        <w:rPr>
          <w:spacing w:val="24"/>
        </w:rPr>
        <w:t> </w:t>
      </w:r>
      <w:r>
        <w:rPr/>
        <w:t>reason</w:t>
      </w:r>
      <w:r>
        <w:rPr>
          <w:spacing w:val="24"/>
        </w:rPr>
        <w:t> </w:t>
      </w:r>
      <w:r>
        <w:rPr/>
        <w:t>for</w:t>
      </w:r>
      <w:r>
        <w:rPr>
          <w:spacing w:val="24"/>
        </w:rPr>
        <w:t> </w:t>
      </w:r>
      <w:r>
        <w:rPr/>
        <w:t>the</w:t>
      </w:r>
      <w:r>
        <w:rPr>
          <w:spacing w:val="24"/>
        </w:rPr>
        <w:t> </w:t>
      </w:r>
      <w:r>
        <w:rPr/>
        <w:t>restrictions</w:t>
      </w:r>
      <w:r>
        <w:rPr>
          <w:spacing w:val="24"/>
        </w:rPr>
        <w:t> </w:t>
      </w:r>
      <w:r>
        <w:rPr/>
        <w:t>on</w:t>
      </w:r>
      <w:r>
        <w:rPr>
          <w:spacing w:val="24"/>
        </w:rPr>
        <w:t> </w:t>
      </w:r>
      <w:r>
        <w:rPr/>
        <w:t>the</w:t>
      </w:r>
      <w:r>
        <w:rPr>
          <w:spacing w:val="24"/>
        </w:rPr>
        <w:t> </w:t>
      </w:r>
      <w:r>
        <w:rPr/>
        <w:t>scope</w:t>
      </w:r>
      <w:r>
        <w:rPr>
          <w:spacing w:val="24"/>
        </w:rPr>
        <w:t> </w:t>
      </w:r>
      <w:r>
        <w:rPr/>
        <w:t>of</w:t>
      </w:r>
      <w:r>
        <w:rPr>
          <w:spacing w:val="24"/>
        </w:rPr>
        <w:t> </w:t>
      </w:r>
      <w:r>
        <w:rPr/>
        <w:t>the</w:t>
      </w:r>
      <w:r>
        <w:rPr>
          <w:spacing w:val="24"/>
        </w:rPr>
        <w:t> </w:t>
      </w:r>
      <w:r>
        <w:rPr/>
        <w:t>equitable</w:t>
      </w:r>
      <w:r>
        <w:rPr>
          <w:spacing w:val="24"/>
        </w:rPr>
        <w:t> </w:t>
      </w:r>
      <w:r>
        <w:rPr/>
        <w:t>exception</w:t>
      </w:r>
      <w:r>
        <w:rPr>
          <w:spacing w:val="24"/>
        </w:rPr>
        <w:t> </w:t>
      </w:r>
      <w:r>
        <w:rPr/>
        <w:t>to</w:t>
      </w:r>
      <w:r>
        <w:rPr>
          <w:spacing w:val="24"/>
        </w:rPr>
        <w:t> </w:t>
      </w:r>
      <w:r>
        <w:rPr/>
        <w:t>the doctrine of privity by way of trusts of promises: above, para.18-081.</w:t>
      </w:r>
    </w:p>
    <w:p>
      <w:pPr>
        <w:pStyle w:val="BodyText"/>
        <w:spacing w:before="6"/>
      </w:pPr>
    </w:p>
    <w:p>
      <w:pPr>
        <w:tabs>
          <w:tab w:pos="705" w:val="left" w:leader="none"/>
        </w:tabs>
        <w:spacing w:before="0"/>
        <w:ind w:left="165" w:right="0" w:firstLine="0"/>
        <w:jc w:val="left"/>
        <w:rPr>
          <w:sz w:val="20"/>
        </w:rPr>
      </w:pPr>
      <w:bookmarkStart w:name="_bookmark1343" w:id="1345"/>
      <w:bookmarkEnd w:id="1345"/>
      <w:r>
        <w:rPr/>
      </w:r>
      <w:hyperlink w:history="true" w:anchor="_bookmark1178">
        <w:r>
          <w:rPr>
            <w:color w:val="005DA1"/>
            <w:spacing w:val="-4"/>
            <w:position w:val="5"/>
            <w:sz w:val="14"/>
            <w:u w:val="single" w:color="005DA1"/>
          </w:rPr>
          <w:t>667</w:t>
        </w:r>
      </w:hyperlink>
      <w:r>
        <w:rPr>
          <w:spacing w:val="-4"/>
          <w:position w:val="5"/>
          <w:sz w:val="14"/>
        </w:rPr>
        <w:t>.</w:t>
      </w:r>
      <w:r>
        <w:rPr>
          <w:position w:val="5"/>
          <w:sz w:val="14"/>
        </w:rPr>
        <w:tab/>
      </w:r>
      <w:r>
        <w:rPr>
          <w:sz w:val="20"/>
        </w:rPr>
        <w:t>As,</w:t>
      </w:r>
      <w:r>
        <w:rPr>
          <w:spacing w:val="-1"/>
          <w:sz w:val="20"/>
        </w:rPr>
        <w:t> </w:t>
      </w:r>
      <w:r>
        <w:rPr>
          <w:sz w:val="20"/>
        </w:rPr>
        <w:t>for example, in</w:t>
      </w:r>
      <w:r>
        <w:rPr>
          <w:spacing w:val="-1"/>
          <w:sz w:val="20"/>
        </w:rPr>
        <w:t> </w:t>
      </w:r>
      <w:r>
        <w:rPr>
          <w:rFonts w:ascii="Arial"/>
          <w:i/>
          <w:sz w:val="20"/>
        </w:rPr>
        <w:t>Re Schebsman [1944] Ch. 83</w:t>
      </w:r>
      <w:r>
        <w:rPr>
          <w:sz w:val="20"/>
        </w:rPr>
        <w:t>, above, para.18-</w:t>
      </w:r>
      <w:r>
        <w:rPr>
          <w:spacing w:val="-4"/>
          <w:sz w:val="20"/>
        </w:rPr>
        <w:t>081.</w:t>
      </w:r>
    </w:p>
    <w:p>
      <w:pPr>
        <w:pStyle w:val="BodyText"/>
        <w:spacing w:before="5"/>
      </w:pPr>
    </w:p>
    <w:p>
      <w:pPr>
        <w:pStyle w:val="BodyText"/>
        <w:tabs>
          <w:tab w:pos="705" w:val="left" w:leader="none"/>
        </w:tabs>
        <w:ind w:left="165"/>
      </w:pPr>
      <w:bookmarkStart w:name="_bookmark1344" w:id="1346"/>
      <w:bookmarkEnd w:id="1346"/>
      <w:r>
        <w:rPr/>
      </w:r>
      <w:hyperlink w:history="true" w:anchor="_bookmark1179">
        <w:r>
          <w:rPr>
            <w:color w:val="005DA1"/>
            <w:spacing w:val="-4"/>
            <w:position w:val="5"/>
            <w:sz w:val="14"/>
            <w:u w:val="single" w:color="005DA1"/>
          </w:rPr>
          <w:t>668</w:t>
        </w:r>
      </w:hyperlink>
      <w:r>
        <w:rPr>
          <w:spacing w:val="-4"/>
          <w:position w:val="5"/>
          <w:sz w:val="14"/>
        </w:rPr>
        <w:t>.</w:t>
      </w:r>
      <w:r>
        <w:rPr>
          <w:position w:val="5"/>
          <w:sz w:val="14"/>
        </w:rPr>
        <w:tab/>
      </w:r>
      <w:r>
        <w:rPr/>
        <w:t>See s.2(1)(a), below, para.18-</w:t>
      </w:r>
      <w:r>
        <w:rPr>
          <w:spacing w:val="-4"/>
        </w:rPr>
        <w:t>105.</w:t>
      </w:r>
    </w:p>
    <w:p>
      <w:pPr>
        <w:pStyle w:val="BodyText"/>
        <w:spacing w:before="5"/>
      </w:pPr>
    </w:p>
    <w:p>
      <w:pPr>
        <w:tabs>
          <w:tab w:pos="705" w:val="left" w:leader="none"/>
        </w:tabs>
        <w:spacing w:before="0"/>
        <w:ind w:left="165" w:right="0" w:firstLine="0"/>
        <w:jc w:val="left"/>
        <w:rPr>
          <w:sz w:val="20"/>
        </w:rPr>
      </w:pPr>
      <w:bookmarkStart w:name="_bookmark1345" w:id="1347"/>
      <w:bookmarkEnd w:id="1347"/>
      <w:r>
        <w:rPr/>
      </w:r>
      <w:hyperlink w:history="true" w:anchor="_bookmark1180">
        <w:r>
          <w:rPr>
            <w:color w:val="005DA1"/>
            <w:spacing w:val="-4"/>
            <w:position w:val="5"/>
            <w:sz w:val="14"/>
            <w:u w:val="single" w:color="005DA1"/>
          </w:rPr>
          <w:t>669</w:t>
        </w:r>
      </w:hyperlink>
      <w:r>
        <w:rPr>
          <w:spacing w:val="-4"/>
          <w:position w:val="5"/>
          <w:sz w:val="14"/>
        </w:rPr>
        <w:t>.</w:t>
      </w:r>
      <w:r>
        <w:rPr>
          <w:position w:val="5"/>
          <w:sz w:val="14"/>
        </w:rPr>
        <w:tab/>
      </w:r>
      <w:r>
        <w:rPr>
          <w:spacing w:val="-2"/>
          <w:sz w:val="20"/>
        </w:rPr>
        <w:t>s.2(1)(a).</w:t>
      </w:r>
    </w:p>
    <w:p>
      <w:pPr>
        <w:pStyle w:val="BodyText"/>
        <w:spacing w:before="5"/>
      </w:pPr>
    </w:p>
    <w:p>
      <w:pPr>
        <w:pStyle w:val="BodyText"/>
        <w:tabs>
          <w:tab w:pos="705" w:val="left" w:leader="none"/>
        </w:tabs>
        <w:ind w:left="165"/>
      </w:pPr>
      <w:bookmarkStart w:name="_bookmark1346" w:id="1348"/>
      <w:bookmarkEnd w:id="1348"/>
      <w:r>
        <w:rPr/>
      </w:r>
      <w:hyperlink w:history="true" w:anchor="_bookmark1181">
        <w:r>
          <w:rPr>
            <w:color w:val="005DA1"/>
            <w:spacing w:val="-4"/>
            <w:position w:val="5"/>
            <w:sz w:val="14"/>
            <w:u w:val="single" w:color="005DA1"/>
          </w:rPr>
          <w:t>670</w:t>
        </w:r>
      </w:hyperlink>
      <w:r>
        <w:rPr>
          <w:spacing w:val="-4"/>
          <w:position w:val="5"/>
          <w:sz w:val="14"/>
        </w:rPr>
        <w:t>.</w:t>
      </w:r>
      <w:r>
        <w:rPr>
          <w:position w:val="5"/>
          <w:sz w:val="14"/>
        </w:rPr>
        <w:tab/>
      </w:r>
      <w:r>
        <w:rPr/>
        <w:t>This follows from the words “to the promisor” in </w:t>
      </w:r>
      <w:r>
        <w:rPr>
          <w:spacing w:val="-2"/>
        </w:rPr>
        <w:t>s.2(1)(a).</w:t>
      </w:r>
    </w:p>
    <w:p>
      <w:pPr>
        <w:pStyle w:val="BodyText"/>
        <w:spacing w:before="5"/>
      </w:pPr>
    </w:p>
    <w:p>
      <w:pPr>
        <w:tabs>
          <w:tab w:pos="705" w:val="left" w:leader="none"/>
        </w:tabs>
        <w:spacing w:before="0"/>
        <w:ind w:left="165" w:right="0" w:firstLine="0"/>
        <w:jc w:val="left"/>
        <w:rPr>
          <w:sz w:val="20"/>
        </w:rPr>
      </w:pPr>
      <w:bookmarkStart w:name="_bookmark1347" w:id="1349"/>
      <w:bookmarkEnd w:id="1349"/>
      <w:r>
        <w:rPr/>
      </w:r>
      <w:hyperlink w:history="true" w:anchor="_bookmark1181">
        <w:r>
          <w:rPr>
            <w:color w:val="005DA1"/>
            <w:spacing w:val="-4"/>
            <w:position w:val="5"/>
            <w:sz w:val="14"/>
            <w:u w:val="single" w:color="005DA1"/>
          </w:rPr>
          <w:t>671</w:t>
        </w:r>
      </w:hyperlink>
      <w:r>
        <w:rPr>
          <w:spacing w:val="-4"/>
          <w:position w:val="5"/>
          <w:sz w:val="14"/>
        </w:rPr>
        <w:t>.</w:t>
      </w:r>
      <w:r>
        <w:rPr>
          <w:position w:val="5"/>
          <w:sz w:val="14"/>
        </w:rPr>
        <w:tab/>
      </w:r>
      <w:r>
        <w:rPr>
          <w:spacing w:val="-2"/>
          <w:sz w:val="20"/>
        </w:rPr>
        <w:t>s.2(2)(a).</w:t>
      </w:r>
    </w:p>
    <w:p>
      <w:pPr>
        <w:pStyle w:val="BodyText"/>
        <w:spacing w:before="5"/>
      </w:pPr>
    </w:p>
    <w:p>
      <w:pPr>
        <w:tabs>
          <w:tab w:pos="705" w:val="left" w:leader="none"/>
        </w:tabs>
        <w:spacing w:before="0"/>
        <w:ind w:left="165" w:right="0" w:firstLine="0"/>
        <w:jc w:val="left"/>
        <w:rPr>
          <w:sz w:val="20"/>
        </w:rPr>
      </w:pPr>
      <w:bookmarkStart w:name="_bookmark1348" w:id="1350"/>
      <w:bookmarkEnd w:id="1350"/>
      <w:r>
        <w:rPr/>
      </w:r>
      <w:hyperlink w:history="true" w:anchor="_bookmark1182">
        <w:r>
          <w:rPr>
            <w:color w:val="005DA1"/>
            <w:spacing w:val="-4"/>
            <w:position w:val="5"/>
            <w:sz w:val="14"/>
            <w:u w:val="single" w:color="005DA1"/>
          </w:rPr>
          <w:t>672</w:t>
        </w:r>
      </w:hyperlink>
      <w:r>
        <w:rPr>
          <w:spacing w:val="-4"/>
          <w:position w:val="5"/>
          <w:sz w:val="14"/>
        </w:rPr>
        <w:t>.</w:t>
      </w:r>
      <w:r>
        <w:rPr>
          <w:position w:val="5"/>
          <w:sz w:val="14"/>
        </w:rPr>
        <w:tab/>
      </w:r>
      <w:r>
        <w:rPr>
          <w:spacing w:val="-2"/>
          <w:sz w:val="20"/>
        </w:rPr>
        <w:t>s.2(2)(b).</w:t>
      </w:r>
    </w:p>
    <w:p>
      <w:pPr>
        <w:pStyle w:val="BodyText"/>
        <w:spacing w:before="5"/>
      </w:pPr>
    </w:p>
    <w:p>
      <w:pPr>
        <w:tabs>
          <w:tab w:pos="705" w:val="left" w:leader="none"/>
        </w:tabs>
        <w:spacing w:before="0"/>
        <w:ind w:left="165" w:right="0" w:firstLine="0"/>
        <w:jc w:val="left"/>
        <w:rPr>
          <w:sz w:val="20"/>
        </w:rPr>
      </w:pPr>
      <w:bookmarkStart w:name="_bookmark1349" w:id="1351"/>
      <w:bookmarkEnd w:id="1351"/>
      <w:r>
        <w:rPr/>
      </w:r>
      <w:hyperlink w:history="true" w:anchor="_bookmark1183">
        <w:r>
          <w:rPr>
            <w:color w:val="005DA1"/>
            <w:spacing w:val="-4"/>
            <w:position w:val="5"/>
            <w:sz w:val="14"/>
            <w:u w:val="single" w:color="005DA1"/>
          </w:rPr>
          <w:t>673</w:t>
        </w:r>
      </w:hyperlink>
      <w:r>
        <w:rPr>
          <w:spacing w:val="-4"/>
          <w:position w:val="5"/>
          <w:sz w:val="14"/>
        </w:rPr>
        <w:t>.</w:t>
      </w:r>
      <w:r>
        <w:rPr>
          <w:position w:val="5"/>
          <w:sz w:val="14"/>
        </w:rPr>
        <w:tab/>
      </w:r>
      <w:r>
        <w:rPr>
          <w:sz w:val="20"/>
        </w:rPr>
        <w:t>Above, para.2-</w:t>
      </w:r>
      <w:r>
        <w:rPr>
          <w:spacing w:val="-4"/>
          <w:sz w:val="20"/>
        </w:rPr>
        <w:t>047.</w:t>
      </w:r>
    </w:p>
    <w:p>
      <w:pPr>
        <w:pStyle w:val="BodyText"/>
        <w:spacing w:before="5"/>
      </w:pPr>
    </w:p>
    <w:p>
      <w:pPr>
        <w:tabs>
          <w:tab w:pos="705" w:val="left" w:leader="none"/>
        </w:tabs>
        <w:spacing w:before="0"/>
        <w:ind w:left="165" w:right="0" w:firstLine="0"/>
        <w:jc w:val="left"/>
        <w:rPr>
          <w:sz w:val="20"/>
        </w:rPr>
      </w:pPr>
      <w:bookmarkStart w:name="_bookmark1350" w:id="1352"/>
      <w:bookmarkEnd w:id="1352"/>
      <w:r>
        <w:rPr/>
      </w:r>
      <w:hyperlink w:history="true" w:anchor="_bookmark1184">
        <w:r>
          <w:rPr>
            <w:color w:val="005DA1"/>
            <w:spacing w:val="-4"/>
            <w:position w:val="5"/>
            <w:sz w:val="14"/>
            <w:u w:val="single" w:color="005DA1"/>
          </w:rPr>
          <w:t>674</w:t>
        </w:r>
      </w:hyperlink>
      <w:r>
        <w:rPr>
          <w:spacing w:val="-4"/>
          <w:position w:val="5"/>
          <w:sz w:val="14"/>
        </w:rPr>
        <w:t>.</w:t>
      </w:r>
      <w:r>
        <w:rPr>
          <w:position w:val="5"/>
          <w:sz w:val="14"/>
        </w:rPr>
        <w:tab/>
      </w:r>
      <w:r>
        <w:rPr>
          <w:spacing w:val="-2"/>
          <w:sz w:val="20"/>
        </w:rPr>
        <w:t>s.2(1)(a).</w:t>
      </w:r>
    </w:p>
    <w:p>
      <w:pPr>
        <w:pStyle w:val="BodyText"/>
        <w:spacing w:before="5"/>
      </w:pPr>
    </w:p>
    <w:p>
      <w:pPr>
        <w:pStyle w:val="BodyText"/>
        <w:tabs>
          <w:tab w:pos="705" w:val="left" w:leader="none"/>
        </w:tabs>
        <w:ind w:left="165"/>
      </w:pPr>
      <w:bookmarkStart w:name="_bookmark1351" w:id="1353"/>
      <w:bookmarkEnd w:id="1353"/>
      <w:r>
        <w:rPr/>
      </w:r>
      <w:hyperlink w:history="true" w:anchor="_bookmark1185">
        <w:r>
          <w:rPr>
            <w:color w:val="005DA1"/>
            <w:spacing w:val="-4"/>
            <w:position w:val="5"/>
            <w:sz w:val="14"/>
            <w:u w:val="single" w:color="005DA1"/>
          </w:rPr>
          <w:t>675</w:t>
        </w:r>
      </w:hyperlink>
      <w:r>
        <w:rPr>
          <w:spacing w:val="-4"/>
          <w:position w:val="5"/>
          <w:sz w:val="14"/>
        </w:rPr>
        <w:t>.</w:t>
      </w:r>
      <w:r>
        <w:rPr>
          <w:position w:val="5"/>
          <w:sz w:val="14"/>
        </w:rPr>
        <w:tab/>
      </w:r>
      <w:r>
        <w:rPr/>
        <w:t>Contrast</w:t>
      </w:r>
      <w:r>
        <w:rPr>
          <w:spacing w:val="15"/>
        </w:rPr>
        <w:t> </w:t>
      </w:r>
      <w:r>
        <w:rPr/>
        <w:t>the</w:t>
      </w:r>
      <w:r>
        <w:rPr>
          <w:spacing w:val="15"/>
        </w:rPr>
        <w:t> </w:t>
      </w:r>
      <w:r>
        <w:rPr/>
        <w:t>requirement</w:t>
      </w:r>
      <w:r>
        <w:rPr>
          <w:spacing w:val="15"/>
        </w:rPr>
        <w:t> </w:t>
      </w:r>
      <w:r>
        <w:rPr/>
        <w:t>of</w:t>
      </w:r>
      <w:r>
        <w:rPr>
          <w:spacing w:val="15"/>
        </w:rPr>
        <w:t> </w:t>
      </w:r>
      <w:r>
        <w:rPr/>
        <w:t>Law</w:t>
      </w:r>
      <w:r>
        <w:rPr>
          <w:spacing w:val="15"/>
        </w:rPr>
        <w:t> </w:t>
      </w:r>
      <w:r>
        <w:rPr/>
        <w:t>of</w:t>
      </w:r>
      <w:r>
        <w:rPr>
          <w:spacing w:val="15"/>
        </w:rPr>
        <w:t> </w:t>
      </w:r>
      <w:r>
        <w:rPr/>
        <w:t>Property</w:t>
      </w:r>
      <w:r>
        <w:rPr>
          <w:spacing w:val="15"/>
        </w:rPr>
        <w:t> </w:t>
      </w:r>
      <w:r>
        <w:rPr/>
        <w:t>Act,</w:t>
      </w:r>
      <w:r>
        <w:rPr>
          <w:spacing w:val="15"/>
        </w:rPr>
        <w:t> </w:t>
      </w:r>
      <w:r>
        <w:rPr/>
        <w:t>1925,</w:t>
      </w:r>
      <w:r>
        <w:rPr>
          <w:spacing w:val="15"/>
        </w:rPr>
        <w:t> </w:t>
      </w:r>
      <w:r>
        <w:rPr/>
        <w:t>s.136(1),</w:t>
      </w:r>
      <w:r>
        <w:rPr>
          <w:spacing w:val="15"/>
        </w:rPr>
        <w:t> </w:t>
      </w:r>
      <w:r>
        <w:rPr/>
        <w:t>requiring</w:t>
      </w:r>
      <w:r>
        <w:rPr>
          <w:spacing w:val="15"/>
        </w:rPr>
        <w:t> </w:t>
      </w:r>
      <w:r>
        <w:rPr/>
        <w:t>written</w:t>
      </w:r>
      <w:r>
        <w:rPr>
          <w:spacing w:val="15"/>
        </w:rPr>
        <w:t> </w:t>
      </w:r>
      <w:r>
        <w:rPr/>
        <w:t>notice</w:t>
      </w:r>
      <w:r>
        <w:rPr>
          <w:spacing w:val="15"/>
        </w:rPr>
        <w:t> </w:t>
      </w:r>
      <w:r>
        <w:rPr/>
        <w:t>of</w:t>
      </w:r>
      <w:r>
        <w:rPr>
          <w:spacing w:val="15"/>
        </w:rPr>
        <w:t> </w:t>
      </w:r>
      <w:r>
        <w:rPr>
          <w:spacing w:val="-5"/>
        </w:rPr>
        <w:t>an</w:t>
      </w:r>
    </w:p>
    <w:p>
      <w:pPr>
        <w:pStyle w:val="BodyText"/>
        <w:spacing w:after="0"/>
        <w:sectPr>
          <w:pgSz w:w="11900" w:h="16840"/>
          <w:pgMar w:header="971" w:footer="0" w:top="1160" w:bottom="280" w:left="1275" w:right="1275"/>
        </w:sectPr>
      </w:pPr>
    </w:p>
    <w:p>
      <w:pPr>
        <w:pStyle w:val="BodyText"/>
        <w:spacing w:before="81"/>
      </w:pPr>
    </w:p>
    <w:p>
      <w:pPr>
        <w:pStyle w:val="BodyText"/>
        <w:ind w:left="705"/>
      </w:pPr>
      <w:r>
        <w:rPr>
          <w:spacing w:val="-2"/>
        </w:rPr>
        <w:t>assignment.</w:t>
      </w:r>
    </w:p>
    <w:p>
      <w:pPr>
        <w:pStyle w:val="BodyText"/>
        <w:spacing w:before="5"/>
      </w:pPr>
    </w:p>
    <w:p>
      <w:pPr>
        <w:tabs>
          <w:tab w:pos="705" w:val="left" w:leader="none"/>
        </w:tabs>
        <w:spacing w:before="0"/>
        <w:ind w:left="165" w:right="0" w:firstLine="0"/>
        <w:jc w:val="left"/>
        <w:rPr>
          <w:sz w:val="20"/>
        </w:rPr>
      </w:pPr>
      <w:bookmarkStart w:name="_bookmark1352" w:id="1354"/>
      <w:bookmarkEnd w:id="1354"/>
      <w:r>
        <w:rPr/>
      </w:r>
      <w:hyperlink w:history="true" w:anchor="_bookmark1186">
        <w:r>
          <w:rPr>
            <w:color w:val="005DA1"/>
            <w:spacing w:val="-4"/>
            <w:position w:val="5"/>
            <w:sz w:val="14"/>
            <w:u w:val="single" w:color="005DA1"/>
          </w:rPr>
          <w:t>676</w:t>
        </w:r>
      </w:hyperlink>
      <w:r>
        <w:rPr>
          <w:spacing w:val="-4"/>
          <w:position w:val="5"/>
          <w:sz w:val="14"/>
        </w:rPr>
        <w:t>.</w:t>
      </w:r>
      <w:r>
        <w:rPr>
          <w:position w:val="5"/>
          <w:sz w:val="14"/>
        </w:rPr>
        <w:tab/>
      </w:r>
      <w:r>
        <w:rPr>
          <w:spacing w:val="-2"/>
          <w:sz w:val="20"/>
        </w:rPr>
        <w:t>s.2(1)(b).</w:t>
      </w:r>
    </w:p>
    <w:p>
      <w:pPr>
        <w:pStyle w:val="BodyText"/>
        <w:spacing w:before="5"/>
      </w:pPr>
    </w:p>
    <w:p>
      <w:pPr>
        <w:tabs>
          <w:tab w:pos="705" w:val="left" w:leader="none"/>
        </w:tabs>
        <w:spacing w:before="0"/>
        <w:ind w:left="165" w:right="0" w:firstLine="0"/>
        <w:jc w:val="left"/>
        <w:rPr>
          <w:sz w:val="20"/>
        </w:rPr>
      </w:pPr>
      <w:bookmarkStart w:name="_bookmark1353" w:id="1355"/>
      <w:bookmarkEnd w:id="1355"/>
      <w:r>
        <w:rPr/>
      </w:r>
      <w:hyperlink w:history="true" w:anchor="_bookmark1187">
        <w:r>
          <w:rPr>
            <w:color w:val="005DA1"/>
            <w:spacing w:val="-4"/>
            <w:position w:val="5"/>
            <w:sz w:val="14"/>
            <w:u w:val="single" w:color="005DA1"/>
          </w:rPr>
          <w:t>677</w:t>
        </w:r>
      </w:hyperlink>
      <w:r>
        <w:rPr>
          <w:spacing w:val="-4"/>
          <w:position w:val="5"/>
          <w:sz w:val="14"/>
        </w:rPr>
        <w:t>.</w:t>
      </w:r>
      <w:r>
        <w:rPr>
          <w:position w:val="5"/>
          <w:sz w:val="14"/>
        </w:rPr>
        <w:tab/>
      </w:r>
      <w:r>
        <w:rPr>
          <w:spacing w:val="-2"/>
          <w:sz w:val="20"/>
        </w:rPr>
        <w:t>s.2(1)(c).</w:t>
      </w:r>
    </w:p>
    <w:p>
      <w:pPr>
        <w:pStyle w:val="BodyText"/>
        <w:spacing w:before="5"/>
      </w:pPr>
    </w:p>
    <w:p>
      <w:pPr>
        <w:pStyle w:val="BodyText"/>
        <w:tabs>
          <w:tab w:pos="705" w:val="left" w:leader="none"/>
        </w:tabs>
        <w:ind w:left="165"/>
      </w:pPr>
      <w:bookmarkStart w:name="_bookmark1354" w:id="1356"/>
      <w:bookmarkEnd w:id="1356"/>
      <w:r>
        <w:rPr/>
      </w:r>
      <w:hyperlink w:history="true" w:anchor="_bookmark1188">
        <w:r>
          <w:rPr>
            <w:color w:val="005DA1"/>
            <w:spacing w:val="-4"/>
            <w:position w:val="5"/>
            <w:sz w:val="14"/>
            <w:u w:val="single" w:color="005DA1"/>
          </w:rPr>
          <w:t>678</w:t>
        </w:r>
      </w:hyperlink>
      <w:r>
        <w:rPr>
          <w:spacing w:val="-4"/>
          <w:position w:val="5"/>
          <w:sz w:val="14"/>
        </w:rPr>
        <w:t>.</w:t>
      </w:r>
      <w:r>
        <w:rPr>
          <w:position w:val="5"/>
          <w:sz w:val="14"/>
        </w:rPr>
        <w:tab/>
      </w:r>
      <w:r>
        <w:rPr/>
        <w:t>s.1(5);</w:t>
      </w:r>
      <w:r>
        <w:rPr>
          <w:spacing w:val="-2"/>
        </w:rPr>
        <w:t> </w:t>
      </w:r>
      <w:r>
        <w:rPr/>
        <w:t>above, para.18-</w:t>
      </w:r>
      <w:r>
        <w:rPr>
          <w:spacing w:val="-4"/>
        </w:rPr>
        <w:t>100.</w:t>
      </w:r>
    </w:p>
    <w:p>
      <w:pPr>
        <w:pStyle w:val="BodyText"/>
        <w:spacing w:before="9"/>
      </w:pPr>
    </w:p>
    <w:p>
      <w:pPr>
        <w:pStyle w:val="BodyText"/>
        <w:tabs>
          <w:tab w:pos="705" w:val="left" w:leader="none"/>
        </w:tabs>
        <w:spacing w:line="235" w:lineRule="auto"/>
        <w:ind w:left="705" w:right="168" w:hanging="541"/>
      </w:pPr>
      <w:bookmarkStart w:name="_bookmark1355" w:id="1357"/>
      <w:bookmarkEnd w:id="1357"/>
      <w:r>
        <w:rPr/>
      </w:r>
      <w:hyperlink w:history="true" w:anchor="_bookmark1189">
        <w:r>
          <w:rPr>
            <w:color w:val="005DA1"/>
            <w:spacing w:val="-4"/>
            <w:position w:val="5"/>
            <w:sz w:val="14"/>
            <w:u w:val="single" w:color="005DA1"/>
          </w:rPr>
          <w:t>679</w:t>
        </w:r>
      </w:hyperlink>
      <w:r>
        <w:rPr>
          <w:spacing w:val="-4"/>
          <w:position w:val="5"/>
          <w:sz w:val="14"/>
        </w:rPr>
        <w:t>.</w:t>
      </w:r>
      <w:r>
        <w:rPr>
          <w:position w:val="5"/>
          <w:sz w:val="14"/>
        </w:rPr>
        <w:tab/>
      </w:r>
      <w:r>
        <w:rPr/>
        <w:t>e.g.</w:t>
      </w:r>
      <w:r>
        <w:rPr>
          <w:spacing w:val="29"/>
        </w:rPr>
        <w:t> </w:t>
      </w:r>
      <w:r>
        <w:rPr/>
        <w:t>where</w:t>
      </w:r>
      <w:r>
        <w:rPr>
          <w:spacing w:val="29"/>
        </w:rPr>
        <w:t> </w:t>
      </w:r>
      <w:r>
        <w:rPr/>
        <w:t>it</w:t>
      </w:r>
      <w:r>
        <w:rPr>
          <w:spacing w:val="29"/>
        </w:rPr>
        <w:t> </w:t>
      </w:r>
      <w:r>
        <w:rPr/>
        <w:t>would</w:t>
      </w:r>
      <w:r>
        <w:rPr>
          <w:spacing w:val="29"/>
        </w:rPr>
        <w:t> </w:t>
      </w:r>
      <w:r>
        <w:rPr/>
        <w:t>have</w:t>
      </w:r>
      <w:r>
        <w:rPr>
          <w:spacing w:val="29"/>
        </w:rPr>
        <w:t> </w:t>
      </w:r>
      <w:r>
        <w:rPr/>
        <w:t>been</w:t>
      </w:r>
      <w:r>
        <w:rPr>
          <w:spacing w:val="29"/>
        </w:rPr>
        <w:t> </w:t>
      </w:r>
      <w:r>
        <w:rPr/>
        <w:t>necessary</w:t>
      </w:r>
      <w:r>
        <w:rPr>
          <w:spacing w:val="29"/>
        </w:rPr>
        <w:t> </w:t>
      </w:r>
      <w:r>
        <w:rPr/>
        <w:t>for</w:t>
      </w:r>
      <w:r>
        <w:rPr>
          <w:spacing w:val="29"/>
        </w:rPr>
        <w:t> </w:t>
      </w:r>
      <w:r>
        <w:rPr/>
        <w:t>C</w:t>
      </w:r>
      <w:r>
        <w:rPr>
          <w:spacing w:val="29"/>
        </w:rPr>
        <w:t> </w:t>
      </w:r>
      <w:r>
        <w:rPr/>
        <w:t>to</w:t>
      </w:r>
      <w:r>
        <w:rPr>
          <w:spacing w:val="29"/>
        </w:rPr>
        <w:t> </w:t>
      </w:r>
      <w:r>
        <w:rPr/>
        <w:t>incur</w:t>
      </w:r>
      <w:r>
        <w:rPr>
          <w:spacing w:val="29"/>
        </w:rPr>
        <w:t> </w:t>
      </w:r>
      <w:r>
        <w:rPr/>
        <w:t>the</w:t>
      </w:r>
      <w:r>
        <w:rPr>
          <w:spacing w:val="29"/>
        </w:rPr>
        <w:t> </w:t>
      </w:r>
      <w:r>
        <w:rPr/>
        <w:t>reliance</w:t>
      </w:r>
      <w:r>
        <w:rPr>
          <w:spacing w:val="29"/>
        </w:rPr>
        <w:t> </w:t>
      </w:r>
      <w:r>
        <w:rPr/>
        <w:t>expenditure</w:t>
      </w:r>
      <w:r>
        <w:rPr>
          <w:spacing w:val="29"/>
        </w:rPr>
        <w:t> </w:t>
      </w:r>
      <w:r>
        <w:rPr/>
        <w:t>in</w:t>
      </w:r>
      <w:r>
        <w:rPr>
          <w:spacing w:val="29"/>
        </w:rPr>
        <w:t> </w:t>
      </w:r>
      <w:r>
        <w:rPr/>
        <w:t>order</w:t>
      </w:r>
      <w:r>
        <w:rPr>
          <w:spacing w:val="29"/>
        </w:rPr>
        <w:t> </w:t>
      </w:r>
      <w:r>
        <w:rPr/>
        <w:t>to secure the benefit—perhaps by travelling to the place where it was to be conferred.</w:t>
      </w:r>
    </w:p>
    <w:p>
      <w:pPr>
        <w:pStyle w:val="BodyText"/>
        <w:spacing w:before="9"/>
      </w:pPr>
    </w:p>
    <w:p>
      <w:pPr>
        <w:pStyle w:val="BodyText"/>
        <w:tabs>
          <w:tab w:pos="705" w:val="left" w:leader="none"/>
        </w:tabs>
        <w:spacing w:line="235" w:lineRule="auto"/>
        <w:ind w:left="705" w:right="168" w:hanging="541"/>
      </w:pPr>
      <w:bookmarkStart w:name="_bookmark1356" w:id="1358"/>
      <w:bookmarkEnd w:id="1358"/>
      <w:r>
        <w:rPr/>
      </w:r>
      <w:hyperlink w:history="true" w:anchor="_bookmark1190">
        <w:r>
          <w:rPr>
            <w:color w:val="005DA1"/>
            <w:spacing w:val="-4"/>
            <w:position w:val="5"/>
            <w:sz w:val="14"/>
            <w:u w:val="single" w:color="005DA1"/>
          </w:rPr>
          <w:t>680</w:t>
        </w:r>
      </w:hyperlink>
      <w:r>
        <w:rPr>
          <w:spacing w:val="-4"/>
          <w:position w:val="5"/>
          <w:sz w:val="14"/>
        </w:rPr>
        <w:t>.</w:t>
      </w:r>
      <w:r>
        <w:rPr>
          <w:position w:val="5"/>
          <w:sz w:val="14"/>
        </w:rPr>
        <w:tab/>
      </w:r>
      <w:r>
        <w:rPr/>
        <w:t>Below, para.18-141; the analogy is far from exact and its application would involve a significant extension of the tort.</w:t>
      </w:r>
    </w:p>
    <w:p>
      <w:pPr>
        <w:pStyle w:val="BodyText"/>
        <w:spacing w:before="5"/>
      </w:pPr>
    </w:p>
    <w:p>
      <w:pPr>
        <w:pStyle w:val="BodyText"/>
        <w:tabs>
          <w:tab w:pos="705" w:val="left" w:leader="none"/>
        </w:tabs>
        <w:spacing w:before="1"/>
        <w:ind w:left="165"/>
      </w:pPr>
      <w:bookmarkStart w:name="_bookmark1357" w:id="1359"/>
      <w:bookmarkEnd w:id="1359"/>
      <w:r>
        <w:rPr/>
      </w:r>
      <w:hyperlink w:history="true" w:anchor="_bookmark1191">
        <w:r>
          <w:rPr>
            <w:color w:val="005DA1"/>
            <w:spacing w:val="-4"/>
            <w:position w:val="5"/>
            <w:sz w:val="14"/>
            <w:u w:val="single" w:color="005DA1"/>
          </w:rPr>
          <w:t>681</w:t>
        </w:r>
      </w:hyperlink>
      <w:r>
        <w:rPr>
          <w:spacing w:val="-4"/>
          <w:position w:val="5"/>
          <w:sz w:val="14"/>
        </w:rPr>
        <w:t>.</w:t>
      </w:r>
      <w:r>
        <w:rPr>
          <w:position w:val="5"/>
          <w:sz w:val="14"/>
        </w:rPr>
        <w:tab/>
      </w:r>
      <w:r>
        <w:rPr/>
        <w:t>cf. Report, </w:t>
      </w:r>
      <w:r>
        <w:rPr>
          <w:spacing w:val="-2"/>
        </w:rPr>
        <w:t>para.10.3.</w:t>
      </w:r>
    </w:p>
    <w:p>
      <w:pPr>
        <w:pStyle w:val="BodyText"/>
        <w:spacing w:before="4"/>
      </w:pPr>
    </w:p>
    <w:p>
      <w:pPr>
        <w:tabs>
          <w:tab w:pos="705" w:val="left" w:leader="none"/>
        </w:tabs>
        <w:spacing w:before="1"/>
        <w:ind w:left="165" w:right="0" w:firstLine="0"/>
        <w:jc w:val="left"/>
        <w:rPr>
          <w:sz w:val="20"/>
        </w:rPr>
      </w:pPr>
      <w:bookmarkStart w:name="_bookmark1358" w:id="1360"/>
      <w:bookmarkEnd w:id="1360"/>
      <w:r>
        <w:rPr/>
      </w:r>
      <w:hyperlink w:history="true" w:anchor="_bookmark1192">
        <w:r>
          <w:rPr>
            <w:color w:val="005DA1"/>
            <w:spacing w:val="-4"/>
            <w:position w:val="5"/>
            <w:sz w:val="14"/>
            <w:u w:val="single" w:color="005DA1"/>
          </w:rPr>
          <w:t>682</w:t>
        </w:r>
      </w:hyperlink>
      <w:r>
        <w:rPr>
          <w:spacing w:val="-4"/>
          <w:position w:val="5"/>
          <w:sz w:val="14"/>
        </w:rPr>
        <w:t>.</w:t>
      </w:r>
      <w:r>
        <w:rPr>
          <w:position w:val="5"/>
          <w:sz w:val="14"/>
        </w:rPr>
        <w:tab/>
      </w:r>
      <w:r>
        <w:rPr>
          <w:sz w:val="20"/>
        </w:rPr>
        <w:t>Within </w:t>
      </w:r>
      <w:r>
        <w:rPr>
          <w:spacing w:val="-2"/>
          <w:sz w:val="20"/>
        </w:rPr>
        <w:t>s.1(2).</w:t>
      </w:r>
    </w:p>
    <w:p>
      <w:pPr>
        <w:pStyle w:val="BodyText"/>
        <w:spacing w:before="4"/>
      </w:pPr>
    </w:p>
    <w:p>
      <w:pPr>
        <w:tabs>
          <w:tab w:pos="705" w:val="left" w:leader="none"/>
        </w:tabs>
        <w:spacing w:before="1"/>
        <w:ind w:left="165" w:right="0" w:firstLine="0"/>
        <w:jc w:val="left"/>
        <w:rPr>
          <w:sz w:val="20"/>
        </w:rPr>
      </w:pPr>
      <w:bookmarkStart w:name="_bookmark1359" w:id="1361"/>
      <w:bookmarkEnd w:id="1361"/>
      <w:r>
        <w:rPr/>
      </w:r>
      <w:hyperlink w:history="true" w:anchor="_bookmark1193">
        <w:r>
          <w:rPr>
            <w:color w:val="005DA1"/>
            <w:spacing w:val="-4"/>
            <w:position w:val="5"/>
            <w:sz w:val="14"/>
            <w:u w:val="single" w:color="005DA1"/>
          </w:rPr>
          <w:t>683</w:t>
        </w:r>
      </w:hyperlink>
      <w:r>
        <w:rPr>
          <w:spacing w:val="-4"/>
          <w:position w:val="5"/>
          <w:sz w:val="14"/>
        </w:rPr>
        <w:t>.</w:t>
      </w:r>
      <w:r>
        <w:rPr>
          <w:position w:val="5"/>
          <w:sz w:val="14"/>
        </w:rPr>
        <w:tab/>
      </w:r>
      <w:r>
        <w:rPr>
          <w:spacing w:val="-2"/>
          <w:sz w:val="20"/>
        </w:rPr>
        <w:t>s.2(3).</w:t>
      </w:r>
    </w:p>
    <w:p>
      <w:pPr>
        <w:pStyle w:val="BodyText"/>
        <w:spacing w:before="5"/>
      </w:pPr>
    </w:p>
    <w:p>
      <w:pPr>
        <w:tabs>
          <w:tab w:pos="705" w:val="left" w:leader="none"/>
        </w:tabs>
        <w:spacing w:before="0"/>
        <w:ind w:left="165" w:right="0" w:firstLine="0"/>
        <w:jc w:val="left"/>
        <w:rPr>
          <w:sz w:val="20"/>
        </w:rPr>
      </w:pPr>
      <w:bookmarkStart w:name="_bookmark1360" w:id="1362"/>
      <w:bookmarkEnd w:id="1362"/>
      <w:r>
        <w:rPr/>
      </w:r>
      <w:hyperlink w:history="true" w:anchor="_bookmark1194">
        <w:r>
          <w:rPr>
            <w:color w:val="005DA1"/>
            <w:spacing w:val="-4"/>
            <w:position w:val="5"/>
            <w:sz w:val="14"/>
            <w:u w:val="single" w:color="005DA1"/>
          </w:rPr>
          <w:t>684</w:t>
        </w:r>
      </w:hyperlink>
      <w:r>
        <w:rPr>
          <w:spacing w:val="-4"/>
          <w:position w:val="5"/>
          <w:sz w:val="14"/>
        </w:rPr>
        <w:t>.</w:t>
      </w:r>
      <w:r>
        <w:rPr>
          <w:position w:val="5"/>
          <w:sz w:val="14"/>
        </w:rPr>
        <w:tab/>
      </w:r>
      <w:r>
        <w:rPr>
          <w:sz w:val="20"/>
        </w:rPr>
        <w:t>See </w:t>
      </w:r>
      <w:r>
        <w:rPr>
          <w:spacing w:val="-2"/>
          <w:sz w:val="20"/>
        </w:rPr>
        <w:t>s.2(1)(c).</w:t>
      </w:r>
    </w:p>
    <w:p>
      <w:pPr>
        <w:pStyle w:val="BodyText"/>
        <w:spacing w:before="5"/>
      </w:pPr>
    </w:p>
    <w:p>
      <w:pPr>
        <w:tabs>
          <w:tab w:pos="705" w:val="left" w:leader="none"/>
        </w:tabs>
        <w:spacing w:before="0"/>
        <w:ind w:left="165" w:right="0" w:firstLine="0"/>
        <w:jc w:val="left"/>
        <w:rPr>
          <w:sz w:val="20"/>
        </w:rPr>
      </w:pPr>
      <w:bookmarkStart w:name="_bookmark1361" w:id="1363"/>
      <w:bookmarkEnd w:id="1363"/>
      <w:r>
        <w:rPr/>
      </w:r>
      <w:hyperlink w:history="true" w:anchor="_bookmark1195">
        <w:r>
          <w:rPr>
            <w:color w:val="005DA1"/>
            <w:spacing w:val="-4"/>
            <w:position w:val="5"/>
            <w:sz w:val="14"/>
            <w:u w:val="single" w:color="005DA1"/>
          </w:rPr>
          <w:t>685</w:t>
        </w:r>
      </w:hyperlink>
      <w:r>
        <w:rPr>
          <w:spacing w:val="-4"/>
          <w:position w:val="5"/>
          <w:sz w:val="14"/>
        </w:rPr>
        <w:t>.</w:t>
      </w:r>
      <w:r>
        <w:rPr>
          <w:position w:val="5"/>
          <w:sz w:val="14"/>
        </w:rPr>
        <w:tab/>
      </w:r>
      <w:r>
        <w:rPr>
          <w:spacing w:val="-2"/>
          <w:sz w:val="20"/>
        </w:rPr>
        <w:t>s.2(6).</w:t>
      </w:r>
    </w:p>
    <w:p>
      <w:pPr>
        <w:pStyle w:val="BodyText"/>
        <w:spacing w:before="5"/>
      </w:pPr>
    </w:p>
    <w:p>
      <w:pPr>
        <w:tabs>
          <w:tab w:pos="705" w:val="left" w:leader="none"/>
        </w:tabs>
        <w:spacing w:before="0"/>
        <w:ind w:left="165" w:right="0" w:firstLine="0"/>
        <w:jc w:val="left"/>
        <w:rPr>
          <w:sz w:val="20"/>
        </w:rPr>
      </w:pPr>
      <w:bookmarkStart w:name="_bookmark1362" w:id="1364"/>
      <w:bookmarkEnd w:id="1364"/>
      <w:r>
        <w:rPr/>
      </w:r>
      <w:hyperlink w:history="true" w:anchor="_bookmark1196">
        <w:r>
          <w:rPr>
            <w:color w:val="005DA1"/>
            <w:spacing w:val="-4"/>
            <w:position w:val="5"/>
            <w:sz w:val="14"/>
            <w:u w:val="single" w:color="005DA1"/>
          </w:rPr>
          <w:t>686</w:t>
        </w:r>
      </w:hyperlink>
      <w:r>
        <w:rPr>
          <w:spacing w:val="-4"/>
          <w:position w:val="5"/>
          <w:sz w:val="14"/>
        </w:rPr>
        <w:t>.</w:t>
      </w:r>
      <w:r>
        <w:rPr>
          <w:position w:val="5"/>
          <w:sz w:val="14"/>
        </w:rPr>
        <w:tab/>
      </w:r>
      <w:r>
        <w:rPr>
          <w:spacing w:val="-2"/>
          <w:sz w:val="20"/>
        </w:rPr>
        <w:t>s.3(1).</w:t>
      </w:r>
    </w:p>
    <w:p>
      <w:pPr>
        <w:pStyle w:val="BodyText"/>
        <w:spacing w:before="5"/>
      </w:pPr>
    </w:p>
    <w:p>
      <w:pPr>
        <w:pStyle w:val="BodyText"/>
        <w:tabs>
          <w:tab w:pos="705" w:val="left" w:leader="none"/>
        </w:tabs>
        <w:ind w:left="165"/>
      </w:pPr>
      <w:bookmarkStart w:name="_bookmark1363" w:id="1365"/>
      <w:bookmarkEnd w:id="1365"/>
      <w:r>
        <w:rPr/>
      </w:r>
      <w:hyperlink w:history="true" w:anchor="_bookmark1197">
        <w:r>
          <w:rPr>
            <w:color w:val="005DA1"/>
            <w:spacing w:val="-4"/>
            <w:position w:val="5"/>
            <w:sz w:val="14"/>
            <w:u w:val="single" w:color="005DA1"/>
          </w:rPr>
          <w:t>687</w:t>
        </w:r>
      </w:hyperlink>
      <w:r>
        <w:rPr>
          <w:spacing w:val="-4"/>
          <w:position w:val="5"/>
          <w:sz w:val="14"/>
        </w:rPr>
        <w:t>.</w:t>
      </w:r>
      <w:r>
        <w:rPr>
          <w:position w:val="5"/>
          <w:sz w:val="14"/>
        </w:rPr>
        <w:tab/>
      </w:r>
      <w:r>
        <w:rPr/>
        <w:t>cf. Report, </w:t>
      </w:r>
      <w:r>
        <w:rPr>
          <w:spacing w:val="-2"/>
        </w:rPr>
        <w:t>para.10.31.</w:t>
      </w:r>
    </w:p>
    <w:p>
      <w:pPr>
        <w:pStyle w:val="BodyText"/>
        <w:spacing w:before="5"/>
      </w:pPr>
    </w:p>
    <w:p>
      <w:pPr>
        <w:tabs>
          <w:tab w:pos="705" w:val="left" w:leader="none"/>
        </w:tabs>
        <w:spacing w:before="0"/>
        <w:ind w:left="165" w:right="0" w:firstLine="0"/>
        <w:jc w:val="left"/>
        <w:rPr>
          <w:sz w:val="20"/>
        </w:rPr>
      </w:pPr>
      <w:bookmarkStart w:name="_bookmark1364" w:id="1366"/>
      <w:bookmarkEnd w:id="1366"/>
      <w:r>
        <w:rPr/>
      </w:r>
      <w:hyperlink w:history="true" w:anchor="_bookmark1198">
        <w:r>
          <w:rPr>
            <w:color w:val="005DA1"/>
            <w:spacing w:val="-4"/>
            <w:position w:val="5"/>
            <w:sz w:val="14"/>
            <w:u w:val="single" w:color="005DA1"/>
          </w:rPr>
          <w:t>688</w:t>
        </w:r>
      </w:hyperlink>
      <w:r>
        <w:rPr>
          <w:spacing w:val="-4"/>
          <w:position w:val="5"/>
          <w:sz w:val="14"/>
        </w:rPr>
        <w:t>.</w:t>
      </w:r>
      <w:r>
        <w:rPr>
          <w:position w:val="5"/>
          <w:sz w:val="14"/>
        </w:rPr>
        <w:tab/>
      </w:r>
      <w:r>
        <w:rPr>
          <w:sz w:val="20"/>
        </w:rPr>
        <w:t>See</w:t>
      </w:r>
      <w:r>
        <w:rPr>
          <w:spacing w:val="-1"/>
          <w:sz w:val="20"/>
        </w:rPr>
        <w:t> </w:t>
      </w:r>
      <w:r>
        <w:rPr>
          <w:rFonts w:ascii="Arial"/>
          <w:i/>
          <w:sz w:val="20"/>
        </w:rPr>
        <w:t>Moody v Condor Insurance Ltd [2006] EWHC 100 (Ch), [2006] 1 W.L.R. 1847</w:t>
      </w:r>
      <w:r>
        <w:rPr>
          <w:rFonts w:ascii="Arial"/>
          <w:i/>
          <w:spacing w:val="-1"/>
          <w:sz w:val="20"/>
        </w:rPr>
        <w:t> </w:t>
      </w:r>
      <w:r>
        <w:rPr>
          <w:sz w:val="20"/>
        </w:rPr>
        <w:t>at </w:t>
      </w:r>
      <w:r>
        <w:rPr>
          <w:spacing w:val="-2"/>
          <w:sz w:val="20"/>
        </w:rPr>
        <w:t>[30].</w:t>
      </w:r>
    </w:p>
    <w:p>
      <w:pPr>
        <w:pStyle w:val="BodyText"/>
        <w:spacing w:before="5"/>
      </w:pPr>
    </w:p>
    <w:p>
      <w:pPr>
        <w:tabs>
          <w:tab w:pos="705" w:val="left" w:leader="none"/>
        </w:tabs>
        <w:spacing w:before="0"/>
        <w:ind w:left="165" w:right="0" w:firstLine="0"/>
        <w:jc w:val="left"/>
        <w:rPr>
          <w:sz w:val="20"/>
        </w:rPr>
      </w:pPr>
      <w:bookmarkStart w:name="_bookmark1365" w:id="1367"/>
      <w:bookmarkEnd w:id="1367"/>
      <w:r>
        <w:rPr/>
      </w:r>
      <w:hyperlink w:history="true" w:anchor="_bookmark1199">
        <w:r>
          <w:rPr>
            <w:color w:val="005DA1"/>
            <w:spacing w:val="-4"/>
            <w:position w:val="5"/>
            <w:sz w:val="14"/>
            <w:u w:val="single" w:color="005DA1"/>
          </w:rPr>
          <w:t>689</w:t>
        </w:r>
      </w:hyperlink>
      <w:r>
        <w:rPr>
          <w:spacing w:val="-4"/>
          <w:position w:val="5"/>
          <w:sz w:val="14"/>
        </w:rPr>
        <w:t>.</w:t>
      </w:r>
      <w:r>
        <w:rPr>
          <w:position w:val="5"/>
          <w:sz w:val="14"/>
        </w:rPr>
        <w:tab/>
      </w:r>
      <w:r>
        <w:rPr>
          <w:spacing w:val="-2"/>
          <w:sz w:val="20"/>
        </w:rPr>
        <w:t>s.3(5).</w:t>
      </w:r>
    </w:p>
    <w:p>
      <w:pPr>
        <w:pStyle w:val="BodyText"/>
        <w:spacing w:before="5"/>
      </w:pPr>
    </w:p>
    <w:p>
      <w:pPr>
        <w:pStyle w:val="BodyText"/>
        <w:tabs>
          <w:tab w:pos="705" w:val="left" w:leader="none"/>
        </w:tabs>
        <w:ind w:left="165"/>
      </w:pPr>
      <w:bookmarkStart w:name="_bookmark1366" w:id="1368"/>
      <w:bookmarkEnd w:id="1368"/>
      <w:r>
        <w:rPr/>
      </w:r>
      <w:hyperlink w:history="true" w:anchor="_bookmark1200">
        <w:r>
          <w:rPr>
            <w:color w:val="005DA1"/>
            <w:spacing w:val="-4"/>
            <w:position w:val="5"/>
            <w:sz w:val="14"/>
            <w:u w:val="single" w:color="005DA1"/>
          </w:rPr>
          <w:t>690</w:t>
        </w:r>
      </w:hyperlink>
      <w:r>
        <w:rPr>
          <w:spacing w:val="-4"/>
          <w:position w:val="5"/>
          <w:sz w:val="14"/>
        </w:rPr>
        <w:t>.</w:t>
      </w:r>
      <w:r>
        <w:rPr>
          <w:position w:val="5"/>
          <w:sz w:val="14"/>
        </w:rPr>
        <w:tab/>
      </w:r>
      <w:r>
        <w:rPr/>
        <w:t>s.3(5) applies to s.3(4) as well as to </w:t>
      </w:r>
      <w:r>
        <w:rPr>
          <w:spacing w:val="-2"/>
        </w:rPr>
        <w:t>s.3(2).</w:t>
      </w:r>
    </w:p>
    <w:p>
      <w:pPr>
        <w:pStyle w:val="BodyText"/>
        <w:spacing w:before="5"/>
      </w:pPr>
    </w:p>
    <w:p>
      <w:pPr>
        <w:pStyle w:val="BodyText"/>
        <w:tabs>
          <w:tab w:pos="705" w:val="left" w:leader="none"/>
        </w:tabs>
        <w:ind w:left="165"/>
      </w:pPr>
      <w:bookmarkStart w:name="_bookmark1367" w:id="1369"/>
      <w:bookmarkEnd w:id="1369"/>
      <w:r>
        <w:rPr/>
      </w:r>
      <w:hyperlink w:history="true" w:anchor="_bookmark1201">
        <w:r>
          <w:rPr>
            <w:color w:val="005DA1"/>
            <w:spacing w:val="-4"/>
            <w:position w:val="5"/>
            <w:sz w:val="14"/>
            <w:u w:val="single" w:color="005DA1"/>
          </w:rPr>
          <w:t>691</w:t>
        </w:r>
      </w:hyperlink>
      <w:r>
        <w:rPr>
          <w:spacing w:val="-4"/>
          <w:position w:val="5"/>
          <w:sz w:val="14"/>
        </w:rPr>
        <w:t>.</w:t>
      </w:r>
      <w:r>
        <w:rPr>
          <w:position w:val="5"/>
          <w:sz w:val="14"/>
        </w:rPr>
        <w:tab/>
      </w:r>
      <w:r>
        <w:rPr/>
        <w:t>Above, para.18-112, sub-</w:t>
      </w:r>
      <w:r>
        <w:rPr>
          <w:spacing w:val="-2"/>
        </w:rPr>
        <w:t>para.(1).</w:t>
      </w:r>
    </w:p>
    <w:p>
      <w:pPr>
        <w:pStyle w:val="BodyText"/>
        <w:spacing w:before="5"/>
      </w:pPr>
    </w:p>
    <w:p>
      <w:pPr>
        <w:pStyle w:val="BodyText"/>
        <w:tabs>
          <w:tab w:pos="705" w:val="left" w:leader="none"/>
        </w:tabs>
        <w:ind w:left="165"/>
      </w:pPr>
      <w:bookmarkStart w:name="_bookmark1368" w:id="1370"/>
      <w:bookmarkEnd w:id="1370"/>
      <w:r>
        <w:rPr/>
      </w:r>
      <w:hyperlink w:history="true" w:anchor="_bookmark1202">
        <w:r>
          <w:rPr>
            <w:color w:val="005DA1"/>
            <w:spacing w:val="-4"/>
            <w:position w:val="5"/>
            <w:sz w:val="14"/>
            <w:u w:val="single" w:color="005DA1"/>
          </w:rPr>
          <w:t>692</w:t>
        </w:r>
      </w:hyperlink>
      <w:r>
        <w:rPr>
          <w:spacing w:val="-4"/>
          <w:position w:val="5"/>
          <w:sz w:val="14"/>
        </w:rPr>
        <w:t>.</w:t>
      </w:r>
      <w:r>
        <w:rPr>
          <w:position w:val="5"/>
          <w:sz w:val="14"/>
        </w:rPr>
        <w:tab/>
      </w:r>
      <w:r>
        <w:rPr/>
        <w:t>See s.1(6), above para.18-</w:t>
      </w:r>
      <w:r>
        <w:rPr>
          <w:spacing w:val="-4"/>
        </w:rPr>
        <w:t>092.</w:t>
      </w:r>
    </w:p>
    <w:p>
      <w:pPr>
        <w:pStyle w:val="BodyText"/>
        <w:spacing w:before="5"/>
      </w:pPr>
    </w:p>
    <w:p>
      <w:pPr>
        <w:pStyle w:val="BodyText"/>
        <w:tabs>
          <w:tab w:pos="705" w:val="left" w:leader="none"/>
        </w:tabs>
        <w:ind w:left="165"/>
      </w:pPr>
      <w:bookmarkStart w:name="_bookmark1369" w:id="1371"/>
      <w:bookmarkEnd w:id="1371"/>
      <w:r>
        <w:rPr/>
      </w:r>
      <w:hyperlink w:history="true" w:anchor="_bookmark1203">
        <w:r>
          <w:rPr>
            <w:color w:val="005DA1"/>
            <w:spacing w:val="-4"/>
            <w:position w:val="5"/>
            <w:sz w:val="14"/>
            <w:u w:val="single" w:color="005DA1"/>
          </w:rPr>
          <w:t>693</w:t>
        </w:r>
      </w:hyperlink>
      <w:r>
        <w:rPr>
          <w:spacing w:val="-4"/>
          <w:position w:val="5"/>
          <w:sz w:val="14"/>
        </w:rPr>
        <w:t>.</w:t>
      </w:r>
      <w:r>
        <w:rPr>
          <w:position w:val="5"/>
          <w:sz w:val="14"/>
        </w:rPr>
        <w:tab/>
      </w:r>
      <w:r>
        <w:rPr/>
        <w:t>Above,</w:t>
      </w:r>
      <w:r>
        <w:rPr>
          <w:spacing w:val="-2"/>
        </w:rPr>
        <w:t> </w:t>
      </w:r>
      <w:r>
        <w:rPr/>
        <w:t>paras 15-066 et </w:t>
      </w:r>
      <w:r>
        <w:rPr>
          <w:spacing w:val="-4"/>
        </w:rPr>
        <w:t>seq.</w:t>
      </w:r>
    </w:p>
    <w:p>
      <w:pPr>
        <w:pStyle w:val="BodyText"/>
        <w:spacing w:before="9"/>
      </w:pPr>
    </w:p>
    <w:p>
      <w:pPr>
        <w:spacing w:line="235" w:lineRule="auto" w:before="0"/>
        <w:ind w:left="705" w:right="167" w:hanging="541"/>
        <w:jc w:val="both"/>
        <w:rPr>
          <w:sz w:val="20"/>
        </w:rPr>
      </w:pPr>
      <w:bookmarkStart w:name="_bookmark1370" w:id="1372"/>
      <w:bookmarkEnd w:id="1372"/>
      <w:r>
        <w:rPr/>
      </w:r>
      <w:hyperlink w:history="true" w:anchor="_bookmark1204">
        <w:r>
          <w:rPr>
            <w:color w:val="005DA1"/>
            <w:position w:val="5"/>
            <w:sz w:val="14"/>
            <w:u w:val="single" w:color="005DA1"/>
          </w:rPr>
          <w:t>694</w:t>
        </w:r>
      </w:hyperlink>
      <w:r>
        <w:rPr>
          <w:position w:val="5"/>
          <w:sz w:val="14"/>
        </w:rPr>
        <w:t>.</w:t>
      </w:r>
      <w:r>
        <w:rPr>
          <w:spacing w:val="80"/>
          <w:position w:val="5"/>
          <w:sz w:val="14"/>
        </w:rPr>
        <w:t>  </w:t>
      </w:r>
      <w:r>
        <w:rPr>
          <w:sz w:val="20"/>
        </w:rPr>
        <w:t>See</w:t>
      </w:r>
      <w:r>
        <w:rPr>
          <w:spacing w:val="-2"/>
          <w:sz w:val="20"/>
        </w:rPr>
        <w:t> </w:t>
      </w:r>
      <w:r>
        <w:rPr>
          <w:rFonts w:ascii="Arial" w:hAnsi="Arial"/>
          <w:i/>
          <w:sz w:val="20"/>
        </w:rPr>
        <w:t>Homburg</w:t>
      </w:r>
      <w:r>
        <w:rPr>
          <w:rFonts w:ascii="Arial" w:hAnsi="Arial"/>
          <w:i/>
          <w:spacing w:val="-2"/>
          <w:sz w:val="20"/>
        </w:rPr>
        <w:t> </w:t>
      </w:r>
      <w:r>
        <w:rPr>
          <w:rFonts w:ascii="Arial" w:hAnsi="Arial"/>
          <w:i/>
          <w:sz w:val="20"/>
        </w:rPr>
        <w:t>Houtimport</w:t>
      </w:r>
      <w:r>
        <w:rPr>
          <w:rFonts w:ascii="Arial" w:hAnsi="Arial"/>
          <w:i/>
          <w:spacing w:val="-2"/>
          <w:sz w:val="20"/>
        </w:rPr>
        <w:t> </w:t>
      </w:r>
      <w:r>
        <w:rPr>
          <w:rFonts w:ascii="Arial" w:hAnsi="Arial"/>
          <w:i/>
          <w:sz w:val="20"/>
        </w:rPr>
        <w:t>BV</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Agrosin</w:t>
      </w:r>
      <w:r>
        <w:rPr>
          <w:rFonts w:ascii="Arial" w:hAnsi="Arial"/>
          <w:i/>
          <w:spacing w:val="-2"/>
          <w:sz w:val="20"/>
        </w:rPr>
        <w:t> </w:t>
      </w:r>
      <w:r>
        <w:rPr>
          <w:rFonts w:ascii="Arial" w:hAnsi="Arial"/>
          <w:i/>
          <w:sz w:val="20"/>
        </w:rPr>
        <w:t>Private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Starsin)</w:t>
      </w:r>
      <w:r>
        <w:rPr>
          <w:rFonts w:ascii="Arial" w:hAnsi="Arial"/>
          <w:i/>
          <w:spacing w:val="-2"/>
          <w:sz w:val="20"/>
        </w:rPr>
        <w:t> </w:t>
      </w:r>
      <w:r>
        <w:rPr>
          <w:rFonts w:ascii="Arial" w:hAnsi="Arial"/>
          <w:i/>
          <w:sz w:val="20"/>
        </w:rPr>
        <w:t>[2003]</w:t>
      </w:r>
      <w:r>
        <w:rPr>
          <w:rFonts w:ascii="Arial" w:hAnsi="Arial"/>
          <w:i/>
          <w:spacing w:val="-2"/>
          <w:sz w:val="20"/>
        </w:rPr>
        <w:t> </w:t>
      </w:r>
      <w:r>
        <w:rPr>
          <w:rFonts w:ascii="Arial" w:hAnsi="Arial"/>
          <w:i/>
          <w:sz w:val="20"/>
        </w:rPr>
        <w:t>UKHL</w:t>
      </w:r>
      <w:r>
        <w:rPr>
          <w:rFonts w:ascii="Arial" w:hAnsi="Arial"/>
          <w:i/>
          <w:spacing w:val="-2"/>
          <w:sz w:val="20"/>
        </w:rPr>
        <w:t> </w:t>
      </w:r>
      <w:r>
        <w:rPr>
          <w:rFonts w:ascii="Arial" w:hAnsi="Arial"/>
          <w:i/>
          <w:sz w:val="20"/>
        </w:rPr>
        <w:t>12,</w:t>
      </w:r>
      <w:r>
        <w:rPr>
          <w:rFonts w:ascii="Arial" w:hAnsi="Arial"/>
          <w:i/>
          <w:spacing w:val="-2"/>
          <w:sz w:val="20"/>
        </w:rPr>
        <w:t> </w:t>
      </w:r>
      <w:r>
        <w:rPr>
          <w:rFonts w:ascii="Arial" w:hAnsi="Arial"/>
          <w:i/>
          <w:sz w:val="20"/>
        </w:rPr>
        <w:t>[2004]</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A.C. 715 </w:t>
      </w:r>
      <w:r>
        <w:rPr>
          <w:sz w:val="20"/>
        </w:rPr>
        <w:t>where a Himalaya clause (above, para.15-051) was held not to protect a third party at common law by reason of its being void under Art.III. 8 of the Hague Rules. An attempt by </w:t>
      </w:r>
      <w:r>
        <w:rPr>
          <w:sz w:val="20"/>
        </w:rPr>
        <w:t>the third party to “enforce” such a clause in reliance on s.1(6) of the 1999 Act would fail for the</w:t>
      </w:r>
      <w:r>
        <w:rPr>
          <w:spacing w:val="40"/>
          <w:sz w:val="20"/>
        </w:rPr>
        <w:t> </w:t>
      </w:r>
      <w:r>
        <w:rPr>
          <w:sz w:val="20"/>
        </w:rPr>
        <w:t>same reason by virtue of s.3(6) of that Act. The Starsin was distinguished in </w:t>
      </w:r>
      <w:r>
        <w:rPr>
          <w:rFonts w:ascii="Arial" w:hAnsi="Arial"/>
          <w:i/>
          <w:sz w:val="20"/>
        </w:rPr>
        <w:t>Whitesea Shipping and Trading Corp. v El Paso Rio Clara Ltda (The Marielle Bolten) [2009] EWHC 2552 (Comm), [2010] 1 Lloyd’s Rep. 648 </w:t>
      </w:r>
      <w:r>
        <w:rPr>
          <w:sz w:val="20"/>
        </w:rPr>
        <w:t>where, for the reason given in para.18-023 n.132 above, the validity of the exemption clause was not affected by Art.III.8 of the Hague Rules.</w:t>
      </w:r>
    </w:p>
    <w:p>
      <w:pPr>
        <w:pStyle w:val="BodyText"/>
        <w:spacing w:before="3"/>
      </w:pPr>
    </w:p>
    <w:p>
      <w:pPr>
        <w:tabs>
          <w:tab w:pos="705" w:val="left" w:leader="none"/>
        </w:tabs>
        <w:spacing w:before="0"/>
        <w:ind w:left="165" w:right="0" w:firstLine="0"/>
        <w:jc w:val="left"/>
        <w:rPr>
          <w:sz w:val="20"/>
        </w:rPr>
      </w:pPr>
      <w:bookmarkStart w:name="_bookmark1371" w:id="1373"/>
      <w:bookmarkEnd w:id="1373"/>
      <w:r>
        <w:rPr/>
      </w:r>
      <w:hyperlink w:history="true" w:anchor="_bookmark1205">
        <w:r>
          <w:rPr>
            <w:color w:val="005DA1"/>
            <w:spacing w:val="-4"/>
            <w:position w:val="5"/>
            <w:sz w:val="14"/>
            <w:u w:val="single" w:color="005DA1"/>
          </w:rPr>
          <w:t>695</w:t>
        </w:r>
      </w:hyperlink>
      <w:r>
        <w:rPr>
          <w:spacing w:val="-4"/>
          <w:position w:val="5"/>
          <w:sz w:val="14"/>
        </w:rPr>
        <w:t>.</w:t>
      </w:r>
      <w:r>
        <w:rPr>
          <w:position w:val="5"/>
          <w:sz w:val="14"/>
        </w:rPr>
        <w:tab/>
      </w:r>
      <w:r>
        <w:rPr>
          <w:sz w:val="20"/>
        </w:rPr>
        <w:t>Above, para.15-</w:t>
      </w:r>
      <w:r>
        <w:rPr>
          <w:spacing w:val="-4"/>
          <w:sz w:val="20"/>
        </w:rPr>
        <w:t>039.</w:t>
      </w:r>
    </w:p>
    <w:p>
      <w:pPr>
        <w:pStyle w:val="BodyText"/>
        <w:spacing w:before="5"/>
      </w:pPr>
    </w:p>
    <w:p>
      <w:pPr>
        <w:tabs>
          <w:tab w:pos="705" w:val="left" w:leader="none"/>
        </w:tabs>
        <w:spacing w:before="0"/>
        <w:ind w:left="165" w:right="0" w:firstLine="0"/>
        <w:jc w:val="left"/>
        <w:rPr>
          <w:sz w:val="20"/>
        </w:rPr>
      </w:pPr>
      <w:bookmarkStart w:name="_bookmark1372" w:id="1374"/>
      <w:bookmarkEnd w:id="1374"/>
      <w:r>
        <w:rPr/>
      </w:r>
      <w:hyperlink w:history="true" w:anchor="_bookmark1206">
        <w:r>
          <w:rPr>
            <w:color w:val="005DA1"/>
            <w:spacing w:val="-4"/>
            <w:position w:val="5"/>
            <w:sz w:val="14"/>
            <w:u w:val="single" w:color="005DA1"/>
          </w:rPr>
          <w:t>696</w:t>
        </w:r>
      </w:hyperlink>
      <w:r>
        <w:rPr>
          <w:spacing w:val="-4"/>
          <w:position w:val="5"/>
          <w:sz w:val="14"/>
        </w:rPr>
        <w:t>.</w:t>
      </w:r>
      <w:r>
        <w:rPr>
          <w:position w:val="5"/>
          <w:sz w:val="14"/>
        </w:rPr>
        <w:tab/>
      </w:r>
      <w:r>
        <w:rPr>
          <w:spacing w:val="-2"/>
          <w:sz w:val="20"/>
        </w:rPr>
        <w:t>s.6(1).</w:t>
      </w:r>
    </w:p>
    <w:p>
      <w:pPr>
        <w:pStyle w:val="BodyText"/>
        <w:spacing w:before="5"/>
      </w:pPr>
    </w:p>
    <w:p>
      <w:pPr>
        <w:pStyle w:val="BodyText"/>
        <w:tabs>
          <w:tab w:pos="705" w:val="left" w:leader="none"/>
        </w:tabs>
        <w:ind w:left="165"/>
      </w:pPr>
      <w:bookmarkStart w:name="_bookmark1373" w:id="1375"/>
      <w:bookmarkEnd w:id="1375"/>
      <w:r>
        <w:rPr/>
      </w:r>
      <w:hyperlink w:history="true" w:anchor="_bookmark1207">
        <w:r>
          <w:rPr>
            <w:color w:val="005DA1"/>
            <w:spacing w:val="-4"/>
            <w:position w:val="5"/>
            <w:sz w:val="14"/>
            <w:u w:val="single" w:color="005DA1"/>
          </w:rPr>
          <w:t>697</w:t>
        </w:r>
      </w:hyperlink>
      <w:r>
        <w:rPr>
          <w:spacing w:val="-4"/>
          <w:position w:val="5"/>
          <w:sz w:val="14"/>
        </w:rPr>
        <w:t>.</w:t>
      </w:r>
      <w:r>
        <w:rPr>
          <w:position w:val="5"/>
          <w:sz w:val="14"/>
        </w:rPr>
        <w:tab/>
      </w:r>
      <w:r>
        <w:rPr/>
        <w:t>Below, Vol.II </w:t>
      </w:r>
      <w:r>
        <w:rPr>
          <w:spacing w:val="-2"/>
        </w:rPr>
        <w:t>Ch.34.</w:t>
      </w:r>
    </w:p>
    <w:p>
      <w:pPr>
        <w:pStyle w:val="BodyText"/>
        <w:spacing w:before="5"/>
      </w:pPr>
    </w:p>
    <w:p>
      <w:pPr>
        <w:tabs>
          <w:tab w:pos="705" w:val="left" w:leader="none"/>
        </w:tabs>
        <w:spacing w:before="0"/>
        <w:ind w:left="165" w:right="0" w:firstLine="0"/>
        <w:jc w:val="left"/>
        <w:rPr>
          <w:sz w:val="20"/>
        </w:rPr>
      </w:pPr>
      <w:bookmarkStart w:name="_bookmark1374" w:id="1376"/>
      <w:bookmarkEnd w:id="1376"/>
      <w:r>
        <w:rPr/>
      </w:r>
      <w:hyperlink w:history="true" w:anchor="_bookmark1208">
        <w:r>
          <w:rPr>
            <w:color w:val="005DA1"/>
            <w:spacing w:val="-4"/>
            <w:position w:val="5"/>
            <w:sz w:val="14"/>
            <w:u w:val="single" w:color="005DA1"/>
          </w:rPr>
          <w:t>698</w:t>
        </w:r>
      </w:hyperlink>
      <w:r>
        <w:rPr>
          <w:spacing w:val="-4"/>
          <w:position w:val="5"/>
          <w:sz w:val="14"/>
        </w:rPr>
        <w:t>.</w:t>
      </w:r>
      <w:r>
        <w:rPr>
          <w:position w:val="5"/>
          <w:sz w:val="14"/>
        </w:rPr>
        <w:tab/>
      </w:r>
      <w:r>
        <w:rPr>
          <w:sz w:val="20"/>
        </w:rPr>
        <w:t>Report, </w:t>
      </w:r>
      <w:r>
        <w:rPr>
          <w:spacing w:val="-2"/>
          <w:sz w:val="20"/>
        </w:rPr>
        <w:t>para.12.6.</w:t>
      </w:r>
    </w:p>
    <w:p>
      <w:pPr>
        <w:pStyle w:val="BodyText"/>
        <w:spacing w:before="9"/>
      </w:pPr>
    </w:p>
    <w:p>
      <w:pPr>
        <w:pStyle w:val="BodyText"/>
        <w:spacing w:line="235" w:lineRule="auto"/>
        <w:ind w:left="705" w:right="167" w:hanging="541"/>
        <w:jc w:val="both"/>
      </w:pPr>
      <w:bookmarkStart w:name="_bookmark1375" w:id="1377"/>
      <w:bookmarkEnd w:id="1377"/>
      <w:r>
        <w:rPr/>
      </w:r>
      <w:hyperlink w:history="true" w:anchor="_bookmark1209">
        <w:r>
          <w:rPr>
            <w:color w:val="005DA1"/>
            <w:position w:val="5"/>
            <w:sz w:val="14"/>
            <w:u w:val="single" w:color="005DA1"/>
          </w:rPr>
          <w:t>699</w:t>
        </w:r>
      </w:hyperlink>
      <w:r>
        <w:rPr>
          <w:position w:val="5"/>
          <w:sz w:val="14"/>
        </w:rPr>
        <w:t>.</w:t>
      </w:r>
      <w:r>
        <w:rPr>
          <w:spacing w:val="80"/>
          <w:position w:val="5"/>
          <w:sz w:val="14"/>
        </w:rPr>
        <w:t>  </w:t>
      </w:r>
      <w:r>
        <w:rPr/>
        <w:t>s.6(5)(a); Carriage of Goods by Sea Act 1992, s.1(5), as amended by Communications Act 2003, s.406(1), Sch.17 para.17. If the Rotterdam Rules (above, para.18-036) are given the</w:t>
      </w:r>
      <w:r>
        <w:rPr>
          <w:spacing w:val="40"/>
        </w:rPr>
        <w:t> </w:t>
      </w:r>
      <w:r>
        <w:rPr/>
        <w:t>force of law in the United Kingdom, then (1) s.6 of the 1999 Act will have to be amended and </w:t>
      </w:r>
      <w:r>
        <w:rPr>
          <w:spacing w:val="-5"/>
        </w:rPr>
        <w:t>(2)</w:t>
      </w:r>
    </w:p>
    <w:p>
      <w:pPr>
        <w:pStyle w:val="BodyText"/>
        <w:spacing w:after="0" w:line="235" w:lineRule="auto"/>
        <w:jc w:val="both"/>
        <w:sectPr>
          <w:pgSz w:w="11900" w:h="16840"/>
          <w:pgMar w:header="971" w:footer="0" w:top="1160" w:bottom="280" w:left="1275" w:right="1275"/>
        </w:sectPr>
      </w:pPr>
    </w:p>
    <w:p>
      <w:pPr>
        <w:pStyle w:val="BodyText"/>
        <w:spacing w:before="84"/>
      </w:pPr>
    </w:p>
    <w:p>
      <w:pPr>
        <w:pStyle w:val="BodyText"/>
        <w:spacing w:line="235" w:lineRule="auto" w:before="1"/>
        <w:ind w:left="705" w:right="167"/>
        <w:jc w:val="both"/>
      </w:pPr>
      <w:r>
        <w:rPr/>
        <w:t>s.1(5) of the 1992 Act will be in part superseded by the provisions of the Rules relating </w:t>
      </w:r>
      <w:r>
        <w:rPr/>
        <w:t>to electronic communications (Art.1.17) and electronic transport records (Art.1.18): see, in particular, Ch.3 of the Rules.</w:t>
      </w:r>
    </w:p>
    <w:p>
      <w:pPr>
        <w:pStyle w:val="BodyText"/>
        <w:spacing w:before="8"/>
      </w:pPr>
    </w:p>
    <w:p>
      <w:pPr>
        <w:pStyle w:val="BodyText"/>
        <w:spacing w:line="235" w:lineRule="auto" w:before="1"/>
        <w:ind w:left="705" w:right="167" w:hanging="541"/>
        <w:jc w:val="both"/>
      </w:pPr>
      <w:bookmarkStart w:name="_bookmark1376" w:id="1378"/>
      <w:bookmarkEnd w:id="1378"/>
      <w:r>
        <w:rPr/>
      </w:r>
      <w:hyperlink w:history="true" w:anchor="_bookmark1209">
        <w:r>
          <w:rPr>
            <w:color w:val="005DA1"/>
            <w:position w:val="5"/>
            <w:sz w:val="14"/>
            <w:u w:val="single" w:color="005DA1"/>
          </w:rPr>
          <w:t>700</w:t>
        </w:r>
      </w:hyperlink>
      <w:r>
        <w:rPr>
          <w:position w:val="5"/>
          <w:sz w:val="14"/>
        </w:rPr>
        <w:t>.</w:t>
      </w:r>
      <w:r>
        <w:rPr>
          <w:spacing w:val="80"/>
          <w:w w:val="150"/>
          <w:position w:val="5"/>
          <w:sz w:val="14"/>
        </w:rPr>
        <w:t> </w:t>
      </w:r>
      <w:r>
        <w:rPr/>
        <w:t>For details of this scheme, see Carver on Bills of Lading, 3rd ed. (2011) paras 5–012—</w:t>
      </w:r>
      <w:r>
        <w:rPr/>
        <w:t>5–110, 8–002—8–016, 8–036—8–060; the 1992 Act (unlike the 1999 Act) provides not only for the acquisition of rights by, but also for the imposition of liabilities on, third parties.</w:t>
      </w:r>
    </w:p>
    <w:p>
      <w:pPr>
        <w:pStyle w:val="BodyText"/>
        <w:spacing w:before="4"/>
      </w:pPr>
    </w:p>
    <w:p>
      <w:pPr>
        <w:pStyle w:val="BodyText"/>
        <w:tabs>
          <w:tab w:pos="705" w:val="left" w:leader="none"/>
        </w:tabs>
        <w:spacing w:before="1"/>
        <w:ind w:left="165"/>
      </w:pPr>
      <w:bookmarkStart w:name="_bookmark1377" w:id="1379"/>
      <w:bookmarkEnd w:id="1379"/>
      <w:r>
        <w:rPr/>
      </w:r>
      <w:hyperlink w:history="true" w:anchor="_bookmark1210">
        <w:r>
          <w:rPr>
            <w:color w:val="005DA1"/>
            <w:spacing w:val="-4"/>
            <w:position w:val="5"/>
            <w:sz w:val="14"/>
            <w:u w:val="single" w:color="005DA1"/>
          </w:rPr>
          <w:t>701</w:t>
        </w:r>
      </w:hyperlink>
      <w:r>
        <w:rPr>
          <w:spacing w:val="-4"/>
          <w:position w:val="5"/>
          <w:sz w:val="14"/>
        </w:rPr>
        <w:t>.</w:t>
      </w:r>
      <w:r>
        <w:rPr>
          <w:position w:val="5"/>
          <w:sz w:val="14"/>
        </w:rPr>
        <w:tab/>
      </w:r>
      <w:r>
        <w:rPr/>
        <w:t>See below, Vol.II Chs 35 and </w:t>
      </w:r>
      <w:r>
        <w:rPr>
          <w:spacing w:val="-5"/>
        </w:rPr>
        <w:t>36.</w:t>
      </w:r>
    </w:p>
    <w:p>
      <w:pPr>
        <w:pStyle w:val="BodyText"/>
        <w:spacing w:before="5"/>
      </w:pPr>
    </w:p>
    <w:p>
      <w:pPr>
        <w:tabs>
          <w:tab w:pos="705" w:val="left" w:leader="none"/>
        </w:tabs>
        <w:spacing w:before="0"/>
        <w:ind w:left="165" w:right="0" w:firstLine="0"/>
        <w:jc w:val="left"/>
        <w:rPr>
          <w:sz w:val="20"/>
        </w:rPr>
      </w:pPr>
      <w:bookmarkStart w:name="_bookmark1378" w:id="1380"/>
      <w:bookmarkEnd w:id="1380"/>
      <w:r>
        <w:rPr/>
      </w:r>
      <w:hyperlink w:history="true" w:anchor="_bookmark1211">
        <w:r>
          <w:rPr>
            <w:color w:val="005DA1"/>
            <w:spacing w:val="-4"/>
            <w:position w:val="5"/>
            <w:sz w:val="14"/>
            <w:u w:val="single" w:color="005DA1"/>
          </w:rPr>
          <w:t>702</w:t>
        </w:r>
      </w:hyperlink>
      <w:r>
        <w:rPr>
          <w:spacing w:val="-4"/>
          <w:position w:val="5"/>
          <w:sz w:val="14"/>
        </w:rPr>
        <w:t>.</w:t>
      </w:r>
      <w:r>
        <w:rPr>
          <w:position w:val="5"/>
          <w:sz w:val="14"/>
        </w:rPr>
        <w:tab/>
      </w:r>
      <w:r>
        <w:rPr>
          <w:spacing w:val="-2"/>
          <w:sz w:val="20"/>
        </w:rPr>
        <w:t>s.6(5)(b).</w:t>
      </w:r>
    </w:p>
    <w:p>
      <w:pPr>
        <w:pStyle w:val="BodyText"/>
        <w:spacing w:before="5"/>
      </w:pPr>
    </w:p>
    <w:p>
      <w:pPr>
        <w:pStyle w:val="BodyText"/>
        <w:tabs>
          <w:tab w:pos="705" w:val="left" w:leader="none"/>
        </w:tabs>
        <w:ind w:left="165"/>
      </w:pPr>
      <w:bookmarkStart w:name="_bookmark1379" w:id="1381"/>
      <w:bookmarkEnd w:id="1381"/>
      <w:r>
        <w:rPr/>
      </w:r>
      <w:hyperlink w:history="true" w:anchor="_bookmark1212">
        <w:r>
          <w:rPr>
            <w:color w:val="005DA1"/>
            <w:spacing w:val="-4"/>
            <w:position w:val="5"/>
            <w:sz w:val="14"/>
            <w:u w:val="single" w:color="005DA1"/>
          </w:rPr>
          <w:t>703</w:t>
        </w:r>
      </w:hyperlink>
      <w:r>
        <w:rPr>
          <w:spacing w:val="-4"/>
          <w:position w:val="5"/>
          <w:sz w:val="14"/>
        </w:rPr>
        <w:t>.</w:t>
      </w:r>
      <w:r>
        <w:rPr>
          <w:position w:val="5"/>
          <w:sz w:val="14"/>
        </w:rPr>
        <w:tab/>
      </w:r>
      <w:r>
        <w:rPr/>
        <w:t>s.6(5), </w:t>
      </w:r>
      <w:r>
        <w:rPr>
          <w:spacing w:val="-2"/>
        </w:rPr>
        <w:t>“tailpiece”.</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380" w:id="1382"/>
      <w:bookmarkEnd w:id="1382"/>
      <w:r>
        <w:rPr/>
      </w:r>
      <w:hyperlink w:history="true" w:anchor="_bookmark1213">
        <w:r>
          <w:rPr>
            <w:color w:val="005DA1"/>
            <w:spacing w:val="-4"/>
            <w:position w:val="5"/>
            <w:sz w:val="14"/>
            <w:u w:val="single" w:color="005DA1"/>
          </w:rPr>
          <w:t>704</w:t>
        </w:r>
      </w:hyperlink>
      <w:r>
        <w:rPr>
          <w:spacing w:val="-4"/>
          <w:position w:val="5"/>
          <w:sz w:val="14"/>
        </w:rPr>
        <w:t>.</w:t>
      </w:r>
      <w:r>
        <w:rPr>
          <w:position w:val="5"/>
          <w:sz w:val="14"/>
        </w:rPr>
        <w:tab/>
      </w:r>
      <w:r>
        <w:rPr>
          <w:sz w:val="20"/>
        </w:rPr>
        <w:t>Above,</w:t>
      </w:r>
      <w:r>
        <w:rPr>
          <w:spacing w:val="10"/>
          <w:sz w:val="20"/>
        </w:rPr>
        <w:t> </w:t>
      </w:r>
      <w:r>
        <w:rPr>
          <w:sz w:val="20"/>
        </w:rPr>
        <w:t>paras</w:t>
      </w:r>
      <w:r>
        <w:rPr>
          <w:spacing w:val="12"/>
          <w:sz w:val="20"/>
        </w:rPr>
        <w:t> </w:t>
      </w:r>
      <w:r>
        <w:rPr>
          <w:sz w:val="20"/>
        </w:rPr>
        <w:t>18-023,</w:t>
      </w:r>
      <w:r>
        <w:rPr>
          <w:spacing w:val="12"/>
          <w:sz w:val="20"/>
        </w:rPr>
        <w:t> </w:t>
      </w:r>
      <w:r>
        <w:rPr>
          <w:sz w:val="20"/>
        </w:rPr>
        <w:t>18-092,</w:t>
      </w:r>
      <w:r>
        <w:rPr>
          <w:spacing w:val="12"/>
          <w:sz w:val="20"/>
        </w:rPr>
        <w:t> </w:t>
      </w:r>
      <w:r>
        <w:rPr>
          <w:sz w:val="20"/>
        </w:rPr>
        <w:t>15-050—15-051;</w:t>
      </w:r>
      <w:r>
        <w:rPr>
          <w:spacing w:val="11"/>
          <w:sz w:val="20"/>
        </w:rPr>
        <w:t> </w:t>
      </w:r>
      <w:r>
        <w:rPr>
          <w:rFonts w:ascii="Arial" w:hAnsi="Arial"/>
          <w:i/>
          <w:sz w:val="20"/>
        </w:rPr>
        <w:t>Homburg</w:t>
      </w:r>
      <w:r>
        <w:rPr>
          <w:rFonts w:ascii="Arial" w:hAnsi="Arial"/>
          <w:i/>
          <w:spacing w:val="12"/>
          <w:sz w:val="20"/>
        </w:rPr>
        <w:t> </w:t>
      </w:r>
      <w:r>
        <w:rPr>
          <w:rFonts w:ascii="Arial" w:hAnsi="Arial"/>
          <w:i/>
          <w:sz w:val="20"/>
        </w:rPr>
        <w:t>Houtimport</w:t>
      </w:r>
      <w:r>
        <w:rPr>
          <w:rFonts w:ascii="Arial" w:hAnsi="Arial"/>
          <w:i/>
          <w:spacing w:val="12"/>
          <w:sz w:val="20"/>
        </w:rPr>
        <w:t> </w:t>
      </w:r>
      <w:r>
        <w:rPr>
          <w:rFonts w:ascii="Arial" w:hAnsi="Arial"/>
          <w:i/>
          <w:sz w:val="20"/>
        </w:rPr>
        <w:t>BV</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Agrosin</w:t>
      </w:r>
      <w:r>
        <w:rPr>
          <w:rFonts w:ascii="Arial" w:hAnsi="Arial"/>
          <w:i/>
          <w:spacing w:val="12"/>
          <w:sz w:val="20"/>
        </w:rPr>
        <w:t> </w:t>
      </w:r>
      <w:r>
        <w:rPr>
          <w:rFonts w:ascii="Arial" w:hAnsi="Arial"/>
          <w:i/>
          <w:sz w:val="20"/>
        </w:rPr>
        <w:t>Private</w:t>
      </w:r>
      <w:r>
        <w:rPr>
          <w:rFonts w:ascii="Arial" w:hAnsi="Arial"/>
          <w:i/>
          <w:spacing w:val="12"/>
          <w:sz w:val="20"/>
        </w:rPr>
        <w:t> </w:t>
      </w:r>
      <w:r>
        <w:rPr>
          <w:rFonts w:ascii="Arial" w:hAnsi="Arial"/>
          <w:i/>
          <w:spacing w:val="-5"/>
          <w:sz w:val="20"/>
        </w:rPr>
        <w:t>Ltd</w:t>
      </w:r>
    </w:p>
    <w:p>
      <w:pPr>
        <w:spacing w:line="227" w:lineRule="exact" w:before="0"/>
        <w:ind w:left="705" w:right="0" w:firstLine="0"/>
        <w:jc w:val="left"/>
        <w:rPr>
          <w:sz w:val="20"/>
        </w:rPr>
      </w:pPr>
      <w:r>
        <w:rPr>
          <w:rFonts w:ascii="Arial"/>
          <w:i/>
          <w:sz w:val="20"/>
        </w:rPr>
        <w:t>(The Starsin) [2003] UKHL 12, [2004] 1 A.C. 715</w:t>
      </w:r>
      <w:r>
        <w:rPr>
          <w:rFonts w:ascii="Arial"/>
          <w:i/>
          <w:spacing w:val="-1"/>
          <w:sz w:val="20"/>
        </w:rPr>
        <w:t> </w:t>
      </w:r>
      <w:r>
        <w:rPr>
          <w:sz w:val="20"/>
        </w:rPr>
        <w:t>at [34], [93], [152], [153] and </w:t>
      </w:r>
      <w:r>
        <w:rPr>
          <w:spacing w:val="-2"/>
          <w:sz w:val="20"/>
        </w:rPr>
        <w:t>[196].</w:t>
      </w:r>
    </w:p>
    <w:p>
      <w:pPr>
        <w:pStyle w:val="BodyText"/>
        <w:spacing w:before="5"/>
      </w:pPr>
    </w:p>
    <w:p>
      <w:pPr>
        <w:pStyle w:val="BodyText"/>
        <w:tabs>
          <w:tab w:pos="705" w:val="left" w:leader="none"/>
        </w:tabs>
        <w:ind w:left="165"/>
      </w:pPr>
      <w:bookmarkStart w:name="_bookmark1381" w:id="1383"/>
      <w:bookmarkEnd w:id="1383"/>
      <w:r>
        <w:rPr/>
      </w:r>
      <w:hyperlink w:history="true" w:anchor="_bookmark1214">
        <w:r>
          <w:rPr>
            <w:color w:val="005DA1"/>
            <w:spacing w:val="-4"/>
            <w:position w:val="5"/>
            <w:sz w:val="14"/>
            <w:u w:val="single" w:color="005DA1"/>
          </w:rPr>
          <w:t>705</w:t>
        </w:r>
      </w:hyperlink>
      <w:r>
        <w:rPr>
          <w:spacing w:val="-4"/>
          <w:position w:val="5"/>
          <w:sz w:val="14"/>
        </w:rPr>
        <w:t>.</w:t>
      </w:r>
      <w:r>
        <w:rPr>
          <w:position w:val="5"/>
          <w:sz w:val="14"/>
        </w:rPr>
        <w:tab/>
      </w:r>
      <w:r>
        <w:rPr/>
        <w:t>s.1(1) confers a right of enforcement only on a “person who is</w:t>
      </w:r>
      <w:r>
        <w:rPr>
          <w:spacing w:val="-1"/>
        </w:rPr>
        <w:t> </w:t>
      </w:r>
      <w:r>
        <w:rPr>
          <w:rFonts w:ascii="Arial" w:hAnsi="Arial"/>
          <w:i/>
        </w:rPr>
        <w:t>not </w:t>
      </w:r>
      <w:r>
        <w:rPr/>
        <w:t>a party” to the </w:t>
      </w:r>
      <w:r>
        <w:rPr>
          <w:spacing w:val="-2"/>
        </w:rPr>
        <w:t>contract.</w:t>
      </w:r>
    </w:p>
    <w:p>
      <w:pPr>
        <w:pStyle w:val="BodyText"/>
        <w:spacing w:before="5"/>
      </w:pPr>
    </w:p>
    <w:p>
      <w:pPr>
        <w:pStyle w:val="BodyText"/>
        <w:tabs>
          <w:tab w:pos="705" w:val="left" w:leader="none"/>
        </w:tabs>
        <w:ind w:left="165"/>
      </w:pPr>
      <w:bookmarkStart w:name="_bookmark1382" w:id="1384"/>
      <w:bookmarkEnd w:id="1384"/>
      <w:r>
        <w:rPr/>
      </w:r>
      <w:hyperlink w:history="true" w:anchor="_bookmark1215">
        <w:r>
          <w:rPr>
            <w:color w:val="005DA1"/>
            <w:spacing w:val="-4"/>
            <w:position w:val="5"/>
            <w:sz w:val="14"/>
            <w:u w:val="single" w:color="005DA1"/>
          </w:rPr>
          <w:t>706</w:t>
        </w:r>
      </w:hyperlink>
      <w:r>
        <w:rPr>
          <w:spacing w:val="-4"/>
          <w:position w:val="5"/>
          <w:sz w:val="14"/>
        </w:rPr>
        <w:t>.</w:t>
      </w:r>
      <w:r>
        <w:rPr>
          <w:position w:val="5"/>
          <w:sz w:val="14"/>
        </w:rPr>
        <w:tab/>
      </w:r>
      <w:r>
        <w:rPr/>
        <w:t>i.e., that contained in s.6(5) of the 1999 </w:t>
      </w:r>
      <w:r>
        <w:rPr>
          <w:spacing w:val="-4"/>
        </w:rPr>
        <w:t>Act.</w:t>
      </w:r>
    </w:p>
    <w:p>
      <w:pPr>
        <w:pStyle w:val="BodyText"/>
        <w:spacing w:before="8"/>
      </w:pPr>
    </w:p>
    <w:p>
      <w:pPr>
        <w:pStyle w:val="BodyText"/>
        <w:spacing w:line="235" w:lineRule="auto" w:before="1"/>
        <w:ind w:left="705" w:right="167" w:hanging="541"/>
        <w:jc w:val="both"/>
      </w:pPr>
      <w:bookmarkStart w:name="_bookmark1383" w:id="1385"/>
      <w:bookmarkEnd w:id="1385"/>
      <w:r>
        <w:rPr/>
      </w:r>
      <w:hyperlink w:history="true" w:anchor="_bookmark1216">
        <w:r>
          <w:rPr>
            <w:color w:val="005DA1"/>
            <w:position w:val="5"/>
            <w:sz w:val="14"/>
            <w:u w:val="single" w:color="005DA1"/>
          </w:rPr>
          <w:t>707</w:t>
        </w:r>
      </w:hyperlink>
      <w:r>
        <w:rPr>
          <w:position w:val="5"/>
          <w:sz w:val="14"/>
        </w:rPr>
        <w:t>.</w:t>
      </w:r>
      <w:r>
        <w:rPr>
          <w:spacing w:val="80"/>
          <w:w w:val="150"/>
          <w:position w:val="5"/>
          <w:sz w:val="14"/>
        </w:rPr>
        <w:t> </w:t>
      </w:r>
      <w:r>
        <w:rPr/>
        <w:t>See Report, paras 2.35, 12.10; for the complexity of the drafting of Himalaya clauses and the difficulties which arise, or are thought to arise, in satisfying the common law requirement of a separate contract between A and C, see above, paras 15-050—15-052.</w:t>
      </w:r>
    </w:p>
    <w:p>
      <w:pPr>
        <w:pStyle w:val="BodyText"/>
        <w:spacing w:before="8"/>
      </w:pPr>
    </w:p>
    <w:p>
      <w:pPr>
        <w:pStyle w:val="BodyText"/>
        <w:spacing w:line="235" w:lineRule="auto" w:before="1"/>
        <w:ind w:left="705" w:right="167" w:hanging="541"/>
        <w:jc w:val="both"/>
      </w:pPr>
      <w:bookmarkStart w:name="_bookmark1384" w:id="1386"/>
      <w:bookmarkEnd w:id="1386"/>
      <w:r>
        <w:rPr/>
      </w:r>
      <w:hyperlink w:history="true" w:anchor="_bookmark1217">
        <w:r>
          <w:rPr>
            <w:color w:val="005DA1"/>
            <w:position w:val="5"/>
            <w:sz w:val="14"/>
            <w:u w:val="single" w:color="005DA1"/>
          </w:rPr>
          <w:t>708</w:t>
        </w:r>
      </w:hyperlink>
      <w:r>
        <w:rPr>
          <w:position w:val="5"/>
          <w:sz w:val="14"/>
        </w:rPr>
        <w:t>.</w:t>
      </w:r>
      <w:r>
        <w:rPr>
          <w:spacing w:val="80"/>
          <w:position w:val="5"/>
          <w:sz w:val="14"/>
        </w:rPr>
        <w:t>  </w:t>
      </w:r>
      <w:r>
        <w:rPr/>
        <w:t>Replacing, with modifications, the effect of s.14 of the Companies Act 1985, which is repealed by s.1295 and Sch.16 of Companies Act s.2006. Section 33(1) of the latter Act is quoted in para.18-012 above.</w:t>
      </w:r>
    </w:p>
    <w:p>
      <w:pPr>
        <w:pStyle w:val="BodyText"/>
        <w:spacing w:before="8"/>
      </w:pPr>
    </w:p>
    <w:p>
      <w:pPr>
        <w:spacing w:line="235" w:lineRule="auto" w:before="0"/>
        <w:ind w:left="705" w:right="167" w:hanging="541"/>
        <w:jc w:val="both"/>
        <w:rPr>
          <w:sz w:val="20"/>
        </w:rPr>
      </w:pPr>
      <w:bookmarkStart w:name="_bookmark1385" w:id="1387"/>
      <w:bookmarkEnd w:id="1387"/>
      <w:r>
        <w:rPr/>
      </w:r>
      <w:hyperlink w:history="true" w:anchor="_bookmark1218">
        <w:r>
          <w:rPr>
            <w:color w:val="005DA1"/>
            <w:position w:val="5"/>
            <w:sz w:val="14"/>
            <w:u w:val="single" w:color="005DA1"/>
          </w:rPr>
          <w:t>709</w:t>
        </w:r>
      </w:hyperlink>
      <w:r>
        <w:rPr>
          <w:position w:val="5"/>
          <w:sz w:val="14"/>
        </w:rPr>
        <w:t>.</w:t>
      </w:r>
      <w:r>
        <w:rPr>
          <w:spacing w:val="80"/>
          <w:position w:val="5"/>
          <w:sz w:val="14"/>
        </w:rPr>
        <w:t>  </w:t>
      </w:r>
      <w:r>
        <w:rPr>
          <w:rFonts w:ascii="Arial"/>
          <w:i/>
          <w:sz w:val="20"/>
        </w:rPr>
        <w:t>Soden v British &amp; Commonwealth Holdings plc (in Administration) [1998] A.C. 298, 323</w:t>
      </w:r>
      <w:r>
        <w:rPr>
          <w:sz w:val="20"/>
        </w:rPr>
        <w:t>, where the above quoted phrase is used with reference to the earlier legislation which has been replaced by s.33(1) of the 2006 Act (see above, n.681).</w:t>
      </w:r>
    </w:p>
    <w:p>
      <w:pPr>
        <w:pStyle w:val="BodyText"/>
        <w:spacing w:before="9"/>
      </w:pPr>
    </w:p>
    <w:p>
      <w:pPr>
        <w:pStyle w:val="BodyText"/>
        <w:spacing w:line="235" w:lineRule="auto"/>
        <w:ind w:left="705" w:right="167" w:hanging="541"/>
        <w:jc w:val="both"/>
      </w:pPr>
      <w:bookmarkStart w:name="_bookmark1386" w:id="1388"/>
      <w:bookmarkEnd w:id="1388"/>
      <w:r>
        <w:rPr/>
      </w:r>
      <w:hyperlink w:history="true" w:anchor="_bookmark1219">
        <w:r>
          <w:rPr>
            <w:color w:val="005DA1"/>
            <w:position w:val="5"/>
            <w:sz w:val="14"/>
            <w:u w:val="single" w:color="005DA1"/>
          </w:rPr>
          <w:t>710</w:t>
        </w:r>
      </w:hyperlink>
      <w:r>
        <w:rPr>
          <w:position w:val="5"/>
          <w:sz w:val="14"/>
        </w:rPr>
        <w:t>.</w:t>
      </w:r>
      <w:r>
        <w:rPr>
          <w:spacing w:val="80"/>
          <w:position w:val="5"/>
          <w:sz w:val="14"/>
        </w:rPr>
        <w:t>  </w:t>
      </w:r>
      <w:r>
        <w:rPr>
          <w:rFonts w:ascii="Arial" w:hAnsi="Arial"/>
          <w:i/>
        </w:rPr>
        <w:t>Beattie v E. &amp; F. Beattie Ltd [1938] Ch. 708</w:t>
      </w:r>
      <w:r>
        <w:rPr/>
        <w:t>; </w:t>
      </w:r>
      <w:r>
        <w:rPr>
          <w:rFonts w:ascii="Arial" w:hAnsi="Arial"/>
          <w:i/>
        </w:rPr>
        <w:t>Rayfield v Hands [1960] Ch. 1 </w:t>
      </w:r>
      <w:r>
        <w:rPr/>
        <w:t>is hard to reconcile with this principle: L.C.B.G., 21 M.L.R. 401. The limitations on the scope of the “statutory contract” referred to above seem not to be affected by the fact that this contract, which </w:t>
      </w:r>
      <w:r>
        <w:rPr/>
        <w:t>formerly arose by virtue of Companies Act 1985, s.14, now arises (after the repeal of that section by s.1295</w:t>
      </w:r>
      <w:r>
        <w:rPr>
          <w:spacing w:val="-2"/>
        </w:rPr>
        <w:t> </w:t>
      </w:r>
      <w:r>
        <w:rPr/>
        <w:t>and</w:t>
      </w:r>
      <w:r>
        <w:rPr>
          <w:spacing w:val="-2"/>
        </w:rPr>
        <w:t> </w:t>
      </w:r>
      <w:r>
        <w:rPr/>
        <w:t>Sch.16</w:t>
      </w:r>
      <w:r>
        <w:rPr>
          <w:spacing w:val="-3"/>
        </w:rPr>
        <w:t> </w:t>
      </w:r>
      <w:r>
        <w:rPr/>
        <w:t>of</w:t>
      </w:r>
      <w:r>
        <w:rPr>
          <w:spacing w:val="-2"/>
        </w:rPr>
        <w:t> </w:t>
      </w:r>
      <w:r>
        <w:rPr/>
        <w:t>Companies</w:t>
      </w:r>
      <w:r>
        <w:rPr>
          <w:spacing w:val="-2"/>
        </w:rPr>
        <w:t> </w:t>
      </w:r>
      <w:r>
        <w:rPr/>
        <w:t>Act</w:t>
      </w:r>
      <w:r>
        <w:rPr>
          <w:spacing w:val="-3"/>
        </w:rPr>
        <w:t> </w:t>
      </w:r>
      <w:r>
        <w:rPr/>
        <w:t>2006)</w:t>
      </w:r>
      <w:r>
        <w:rPr>
          <w:spacing w:val="-2"/>
        </w:rPr>
        <w:t> </w:t>
      </w:r>
      <w:r>
        <w:rPr/>
        <w:t>by</w:t>
      </w:r>
      <w:r>
        <w:rPr>
          <w:spacing w:val="-2"/>
        </w:rPr>
        <w:t> </w:t>
      </w:r>
      <w:r>
        <w:rPr/>
        <w:t>virtue</w:t>
      </w:r>
      <w:r>
        <w:rPr>
          <w:spacing w:val="-3"/>
        </w:rPr>
        <w:t> </w:t>
      </w:r>
      <w:r>
        <w:rPr/>
        <w:t>of</w:t>
      </w:r>
      <w:r>
        <w:rPr>
          <w:spacing w:val="-2"/>
        </w:rPr>
        <w:t> </w:t>
      </w:r>
      <w:r>
        <w:rPr/>
        <w:t>33(1)</w:t>
      </w:r>
      <w:r>
        <w:rPr>
          <w:spacing w:val="-2"/>
        </w:rPr>
        <w:t> </w:t>
      </w:r>
      <w:r>
        <w:rPr/>
        <w:t>of</w:t>
      </w:r>
      <w:r>
        <w:rPr>
          <w:spacing w:val="-3"/>
        </w:rPr>
        <w:t> </w:t>
      </w:r>
      <w:r>
        <w:rPr/>
        <w:t>the</w:t>
      </w:r>
      <w:r>
        <w:rPr>
          <w:spacing w:val="-2"/>
        </w:rPr>
        <w:t> </w:t>
      </w:r>
      <w:r>
        <w:rPr/>
        <w:t>2006</w:t>
      </w:r>
      <w:r>
        <w:rPr>
          <w:spacing w:val="-2"/>
        </w:rPr>
        <w:t> </w:t>
      </w:r>
      <w:r>
        <w:rPr/>
        <w:t>Act:</w:t>
      </w:r>
      <w:r>
        <w:rPr>
          <w:spacing w:val="-3"/>
        </w:rPr>
        <w:t> </w:t>
      </w:r>
      <w:r>
        <w:rPr/>
        <w:t>see</w:t>
      </w:r>
      <w:r>
        <w:rPr>
          <w:spacing w:val="-2"/>
        </w:rPr>
        <w:t> </w:t>
      </w:r>
      <w:r>
        <w:rPr/>
        <w:t>above,</w:t>
      </w:r>
      <w:r>
        <w:rPr>
          <w:spacing w:val="-2"/>
        </w:rPr>
        <w:t> </w:t>
      </w:r>
      <w:r>
        <w:rPr/>
        <w:t>paras 18-012 and 18-118, n.681. Para.108 of the Explanatory Notes to the 2006 Act states that “Like s.14(1) [of the Companies Act 1985] the provisions of this section [i.e., s.33 of Companies Act 2006] are excepted from the general principle set out in s.1 of the Contracts (Rights of Third Parties) Act 1999 …” There is no express provision to this effect in the 2006 Act; but the effect of s.1297(5) of the 2006 Act appears to be that, when s.33(1) of the 2006 Act came into force, the reference in s.6(2) of the 1999 Act to s.14 of the 1985 Act took effect as being a reference</w:t>
      </w:r>
      <w:r>
        <w:rPr>
          <w:spacing w:val="40"/>
        </w:rPr>
        <w:t> </w:t>
      </w:r>
      <w:r>
        <w:rPr/>
        <w:t>to s.33 of the 2006 Act.</w:t>
      </w:r>
    </w:p>
    <w:p>
      <w:pPr>
        <w:pStyle w:val="BodyText"/>
        <w:spacing w:before="6"/>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1376">
            <wp:simplePos x="0" y="0"/>
            <wp:positionH relativeFrom="page">
              <wp:posOffset>1257846</wp:posOffset>
            </wp:positionH>
            <wp:positionV relativeFrom="paragraph">
              <wp:posOffset>160206</wp:posOffset>
            </wp:positionV>
            <wp:extent cx="107988" cy="107988"/>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87" w:id="1389"/>
      <w:bookmarkEnd w:id="1389"/>
      <w:r>
        <w:rPr/>
      </w:r>
      <w:hyperlink w:history="true" w:anchor="_bookmark1220">
        <w:r>
          <w:rPr>
            <w:color w:val="005DA1"/>
            <w:spacing w:val="-4"/>
            <w:sz w:val="14"/>
            <w:u w:val="single" w:color="005DA1"/>
          </w:rPr>
          <w:t>711</w:t>
        </w:r>
      </w:hyperlink>
      <w:r>
        <w:rPr>
          <w:spacing w:val="-4"/>
          <w:sz w:val="14"/>
        </w:rPr>
        <w:t>.</w:t>
      </w:r>
    </w:p>
    <w:p>
      <w:pPr>
        <w:spacing w:line="235" w:lineRule="auto" w:before="212"/>
        <w:ind w:left="165" w:right="167" w:firstLine="170"/>
        <w:jc w:val="both"/>
        <w:rPr>
          <w:sz w:val="20"/>
        </w:rPr>
      </w:pPr>
      <w:r>
        <w:rPr/>
        <w:br w:type="column"/>
      </w:r>
      <w:r>
        <w:rPr>
          <w:sz w:val="20"/>
        </w:rPr>
        <w:t>ss.6(3), (4). In </w:t>
      </w:r>
      <w:r>
        <w:rPr>
          <w:rFonts w:ascii="Arial" w:hAnsi="Arial"/>
          <w:i/>
          <w:sz w:val="20"/>
        </w:rPr>
        <w:t>Cavanagh v Secretary of State for Work and Pensions [2016] EWHC 1136 (QB)</w:t>
      </w:r>
      <w:r>
        <w:rPr>
          <w:sz w:val="20"/>
        </w:rPr>
        <w:t>, see above, para.18-093 note 564a, enforcement of the term by the union was held not </w:t>
      </w:r>
      <w:r>
        <w:rPr>
          <w:sz w:val="20"/>
        </w:rPr>
        <w:t>to amount to enforcement of it “against the employee” within s.6(3) of the Contracts (Rights of Third Parties) Act 1999 (see at [75)].</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4"/>
      </w:pPr>
    </w:p>
    <w:p>
      <w:pPr>
        <w:pStyle w:val="BodyText"/>
        <w:tabs>
          <w:tab w:pos="705" w:val="left" w:leader="none"/>
        </w:tabs>
        <w:ind w:left="165"/>
      </w:pPr>
      <w:bookmarkStart w:name="_bookmark1388" w:id="1390"/>
      <w:bookmarkEnd w:id="1390"/>
      <w:r>
        <w:rPr/>
      </w:r>
      <w:hyperlink w:history="true" w:anchor="_bookmark1221">
        <w:r>
          <w:rPr>
            <w:color w:val="005DA1"/>
            <w:spacing w:val="-4"/>
            <w:position w:val="5"/>
            <w:sz w:val="14"/>
            <w:u w:val="single" w:color="005DA1"/>
          </w:rPr>
          <w:t>712</w:t>
        </w:r>
      </w:hyperlink>
      <w:r>
        <w:rPr>
          <w:spacing w:val="-4"/>
          <w:position w:val="5"/>
          <w:sz w:val="14"/>
        </w:rPr>
        <w:t>.</w:t>
      </w:r>
      <w:r>
        <w:rPr>
          <w:position w:val="5"/>
          <w:sz w:val="14"/>
        </w:rPr>
        <w:tab/>
      </w:r>
      <w:r>
        <w:rPr/>
        <w:t>Above, paras 18-005, 18-006, 18-023, 18-079 et seq.; below, paras 18-126 et </w:t>
      </w:r>
      <w:r>
        <w:rPr>
          <w:spacing w:val="-4"/>
        </w:rPr>
        <w:t>seq.</w:t>
      </w:r>
    </w:p>
    <w:p>
      <w:pPr>
        <w:pStyle w:val="BodyText"/>
        <w:spacing w:before="5"/>
      </w:pPr>
    </w:p>
    <w:p>
      <w:pPr>
        <w:pStyle w:val="BodyText"/>
        <w:tabs>
          <w:tab w:pos="705" w:val="left" w:leader="none"/>
        </w:tabs>
        <w:spacing w:before="1"/>
        <w:ind w:left="165"/>
      </w:pPr>
      <w:bookmarkStart w:name="_bookmark1389" w:id="1391"/>
      <w:bookmarkEnd w:id="1391"/>
      <w:r>
        <w:rPr/>
      </w:r>
      <w:hyperlink w:history="true" w:anchor="_bookmark1222">
        <w:r>
          <w:rPr>
            <w:color w:val="005DA1"/>
            <w:spacing w:val="-4"/>
            <w:position w:val="5"/>
            <w:sz w:val="14"/>
            <w:u w:val="single" w:color="005DA1"/>
          </w:rPr>
          <w:t>713</w:t>
        </w:r>
      </w:hyperlink>
      <w:r>
        <w:rPr>
          <w:spacing w:val="-4"/>
          <w:position w:val="5"/>
          <w:sz w:val="14"/>
        </w:rPr>
        <w:t>.</w:t>
      </w:r>
      <w:r>
        <w:rPr>
          <w:position w:val="5"/>
          <w:sz w:val="14"/>
        </w:rPr>
        <w:tab/>
      </w:r>
      <w:r>
        <w:rPr/>
        <w:t>Above,</w:t>
      </w:r>
      <w:r>
        <w:rPr>
          <w:spacing w:val="-2"/>
        </w:rPr>
        <w:t> </w:t>
      </w:r>
      <w:r>
        <w:rPr/>
        <w:t>paras 18-080 et </w:t>
      </w:r>
      <w:r>
        <w:rPr>
          <w:spacing w:val="-4"/>
        </w:rPr>
        <w:t>seq.</w:t>
      </w:r>
    </w:p>
    <w:p>
      <w:pPr>
        <w:pStyle w:val="BodyText"/>
        <w:spacing w:before="4"/>
      </w:pPr>
    </w:p>
    <w:p>
      <w:pPr>
        <w:pStyle w:val="BodyText"/>
        <w:tabs>
          <w:tab w:pos="705" w:val="left" w:leader="none"/>
        </w:tabs>
        <w:spacing w:before="1"/>
        <w:ind w:left="165"/>
      </w:pPr>
      <w:bookmarkStart w:name="_bookmark1390" w:id="1392"/>
      <w:bookmarkEnd w:id="1392"/>
      <w:r>
        <w:rPr/>
      </w:r>
      <w:hyperlink w:history="true" w:anchor="_bookmark1223">
        <w:r>
          <w:rPr>
            <w:color w:val="005DA1"/>
            <w:spacing w:val="-4"/>
            <w:position w:val="5"/>
            <w:sz w:val="14"/>
            <w:u w:val="single" w:color="005DA1"/>
          </w:rPr>
          <w:t>714</w:t>
        </w:r>
      </w:hyperlink>
      <w:r>
        <w:rPr>
          <w:spacing w:val="-4"/>
          <w:position w:val="5"/>
          <w:sz w:val="14"/>
        </w:rPr>
        <w:t>.</w:t>
      </w:r>
      <w:r>
        <w:rPr>
          <w:position w:val="5"/>
          <w:sz w:val="14"/>
        </w:rPr>
        <w:tab/>
      </w:r>
      <w:r>
        <w:rPr/>
        <w:t>Above,</w:t>
      </w:r>
      <w:r>
        <w:rPr>
          <w:spacing w:val="-2"/>
        </w:rPr>
        <w:t> </w:t>
      </w:r>
      <w:r>
        <w:rPr/>
        <w:t>paras 18-005 et </w:t>
      </w:r>
      <w:r>
        <w:rPr>
          <w:spacing w:val="-4"/>
        </w:rPr>
        <w:t>seq.</w:t>
      </w:r>
    </w:p>
    <w:p>
      <w:pPr>
        <w:pStyle w:val="BodyText"/>
        <w:spacing w:before="4"/>
      </w:pPr>
    </w:p>
    <w:p>
      <w:pPr>
        <w:pStyle w:val="BodyText"/>
        <w:tabs>
          <w:tab w:pos="705" w:val="left" w:leader="none"/>
        </w:tabs>
        <w:spacing w:before="1"/>
        <w:ind w:left="165"/>
      </w:pPr>
      <w:bookmarkStart w:name="_bookmark1391" w:id="1393"/>
      <w:bookmarkEnd w:id="1393"/>
      <w:r>
        <w:rPr/>
      </w:r>
      <w:hyperlink w:history="true" w:anchor="_bookmark1224">
        <w:r>
          <w:rPr>
            <w:color w:val="005DA1"/>
            <w:spacing w:val="-4"/>
            <w:position w:val="5"/>
            <w:sz w:val="14"/>
            <w:u w:val="single" w:color="005DA1"/>
          </w:rPr>
          <w:t>715</w:t>
        </w:r>
      </w:hyperlink>
      <w:r>
        <w:rPr>
          <w:spacing w:val="-4"/>
          <w:position w:val="5"/>
          <w:sz w:val="14"/>
        </w:rPr>
        <w:t>.</w:t>
      </w:r>
      <w:r>
        <w:rPr>
          <w:position w:val="5"/>
          <w:sz w:val="14"/>
        </w:rPr>
        <w:tab/>
      </w:r>
      <w:r>
        <w:rPr/>
        <w:t>Above, paras 15-052, 15-053, 18-023, 18-092, 18-</w:t>
      </w:r>
      <w:r>
        <w:rPr>
          <w:spacing w:val="-4"/>
        </w:rPr>
        <w:t>117.</w:t>
      </w:r>
    </w:p>
    <w:p>
      <w:pPr>
        <w:pStyle w:val="BodyText"/>
        <w:spacing w:before="4"/>
      </w:pPr>
    </w:p>
    <w:p>
      <w:pPr>
        <w:pStyle w:val="BodyText"/>
        <w:tabs>
          <w:tab w:pos="705" w:val="left" w:leader="none"/>
        </w:tabs>
        <w:spacing w:before="1"/>
        <w:ind w:left="165"/>
      </w:pPr>
      <w:bookmarkStart w:name="_bookmark1392" w:id="1394"/>
      <w:bookmarkEnd w:id="1394"/>
      <w:r>
        <w:rPr/>
      </w:r>
      <w:hyperlink w:history="true" w:anchor="_bookmark1225">
        <w:r>
          <w:rPr>
            <w:color w:val="005DA1"/>
            <w:spacing w:val="-4"/>
            <w:position w:val="5"/>
            <w:sz w:val="14"/>
            <w:u w:val="single" w:color="005DA1"/>
          </w:rPr>
          <w:t>716</w:t>
        </w:r>
      </w:hyperlink>
      <w:r>
        <w:rPr>
          <w:spacing w:val="-4"/>
          <w:position w:val="5"/>
          <w:sz w:val="14"/>
        </w:rPr>
        <w:t>.</w:t>
      </w:r>
      <w:r>
        <w:rPr>
          <w:position w:val="5"/>
          <w:sz w:val="14"/>
        </w:rPr>
        <w:tab/>
      </w:r>
      <w:r>
        <w:rPr/>
        <w:t>s.1(1),</w:t>
      </w:r>
      <w:r>
        <w:rPr>
          <w:spacing w:val="-2"/>
        </w:rPr>
        <w:t> </w:t>
      </w:r>
      <w:r>
        <w:rPr/>
        <w:t>(“not a party </w:t>
      </w:r>
      <w:r>
        <w:rPr>
          <w:spacing w:val="-4"/>
        </w:rPr>
        <w:t>…”).</w:t>
      </w:r>
    </w:p>
    <w:p>
      <w:pPr>
        <w:pStyle w:val="BodyText"/>
        <w:spacing w:after="0"/>
        <w:sectPr>
          <w:type w:val="continuous"/>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1226">
        <w:r>
          <w:rPr>
            <w:color w:val="005DA1"/>
            <w:spacing w:val="-4"/>
            <w:position w:val="5"/>
            <w:sz w:val="14"/>
            <w:u w:val="single" w:color="005DA1"/>
          </w:rPr>
          <w:t>717</w:t>
        </w:r>
      </w:hyperlink>
      <w:r>
        <w:rPr>
          <w:spacing w:val="-4"/>
          <w:position w:val="5"/>
          <w:sz w:val="14"/>
        </w:rPr>
        <w:t>.</w:t>
      </w:r>
      <w:r>
        <w:rPr>
          <w:position w:val="5"/>
          <w:sz w:val="14"/>
        </w:rPr>
        <w:tab/>
      </w:r>
      <w:r>
        <w:rPr/>
        <w:t>See above, at </w:t>
      </w:r>
      <w:r>
        <w:rPr>
          <w:spacing w:val="-2"/>
        </w:rPr>
        <w:t>n.688.</w:t>
      </w:r>
    </w:p>
    <w:p>
      <w:pPr>
        <w:pStyle w:val="BodyText"/>
        <w:spacing w:before="5"/>
      </w:pPr>
    </w:p>
    <w:p>
      <w:pPr>
        <w:tabs>
          <w:tab w:pos="705" w:val="left" w:leader="none"/>
        </w:tabs>
        <w:spacing w:before="0"/>
        <w:ind w:left="165" w:right="0" w:firstLine="0"/>
        <w:jc w:val="left"/>
        <w:rPr>
          <w:sz w:val="20"/>
        </w:rPr>
      </w:pPr>
      <w:bookmarkStart w:name="_bookmark1393" w:id="1395"/>
      <w:bookmarkEnd w:id="1395"/>
      <w:r>
        <w:rPr/>
      </w:r>
      <w:hyperlink w:history="true" w:anchor="_bookmark1227">
        <w:r>
          <w:rPr>
            <w:color w:val="005DA1"/>
            <w:spacing w:val="-4"/>
            <w:position w:val="5"/>
            <w:sz w:val="14"/>
            <w:u w:val="single" w:color="005DA1"/>
          </w:rPr>
          <w:t>718</w:t>
        </w:r>
      </w:hyperlink>
      <w:r>
        <w:rPr>
          <w:spacing w:val="-4"/>
          <w:position w:val="5"/>
          <w:sz w:val="14"/>
        </w:rPr>
        <w:t>.</w:t>
      </w:r>
      <w:r>
        <w:rPr>
          <w:position w:val="5"/>
          <w:sz w:val="14"/>
        </w:rPr>
        <w:tab/>
      </w:r>
      <w:r>
        <w:rPr>
          <w:sz w:val="20"/>
        </w:rPr>
        <w:t>Above, para.18-</w:t>
      </w:r>
      <w:r>
        <w:rPr>
          <w:spacing w:val="-4"/>
          <w:sz w:val="20"/>
        </w:rPr>
        <w:t>096.</w:t>
      </w:r>
    </w:p>
    <w:p>
      <w:pPr>
        <w:pStyle w:val="BodyText"/>
        <w:spacing w:before="5"/>
      </w:pPr>
    </w:p>
    <w:p>
      <w:pPr>
        <w:tabs>
          <w:tab w:pos="705" w:val="left" w:leader="none"/>
        </w:tabs>
        <w:spacing w:before="0"/>
        <w:ind w:left="165" w:right="0" w:firstLine="0"/>
        <w:jc w:val="left"/>
        <w:rPr>
          <w:sz w:val="20"/>
        </w:rPr>
      </w:pPr>
      <w:bookmarkStart w:name="_bookmark1394" w:id="1396"/>
      <w:bookmarkEnd w:id="1396"/>
      <w:r>
        <w:rPr/>
      </w:r>
      <w:hyperlink w:history="true" w:anchor="_bookmark1228">
        <w:r>
          <w:rPr>
            <w:color w:val="005DA1"/>
            <w:spacing w:val="-4"/>
            <w:position w:val="5"/>
            <w:sz w:val="14"/>
            <w:u w:val="single" w:color="005DA1"/>
          </w:rPr>
          <w:t>719</w:t>
        </w:r>
      </w:hyperlink>
      <w:r>
        <w:rPr>
          <w:spacing w:val="-4"/>
          <w:position w:val="5"/>
          <w:sz w:val="14"/>
        </w:rPr>
        <w:t>.</w:t>
      </w:r>
      <w:r>
        <w:rPr>
          <w:position w:val="5"/>
          <w:sz w:val="14"/>
        </w:rPr>
        <w:tab/>
      </w:r>
      <w:r>
        <w:rPr>
          <w:sz w:val="20"/>
        </w:rPr>
        <w:t>See below at </w:t>
      </w:r>
      <w:r>
        <w:rPr>
          <w:spacing w:val="-2"/>
          <w:sz w:val="20"/>
        </w:rPr>
        <w:t>n.698.</w:t>
      </w:r>
    </w:p>
    <w:p>
      <w:pPr>
        <w:pStyle w:val="BodyText"/>
        <w:spacing w:before="5"/>
      </w:pPr>
    </w:p>
    <w:p>
      <w:pPr>
        <w:tabs>
          <w:tab w:pos="705" w:val="left" w:leader="none"/>
        </w:tabs>
        <w:spacing w:before="0"/>
        <w:ind w:left="165" w:right="0" w:firstLine="0"/>
        <w:jc w:val="left"/>
        <w:rPr>
          <w:sz w:val="20"/>
        </w:rPr>
      </w:pPr>
      <w:bookmarkStart w:name="_bookmark1395" w:id="1397"/>
      <w:bookmarkEnd w:id="1397"/>
      <w:r>
        <w:rPr/>
      </w:r>
      <w:hyperlink w:history="true" w:anchor="_bookmark1229">
        <w:r>
          <w:rPr>
            <w:color w:val="005DA1"/>
            <w:spacing w:val="-4"/>
            <w:position w:val="5"/>
            <w:sz w:val="14"/>
            <w:u w:val="single" w:color="005DA1"/>
          </w:rPr>
          <w:t>720</w:t>
        </w:r>
      </w:hyperlink>
      <w:r>
        <w:rPr>
          <w:spacing w:val="-4"/>
          <w:position w:val="5"/>
          <w:sz w:val="14"/>
        </w:rPr>
        <w:t>.</w:t>
      </w:r>
      <w:r>
        <w:rPr>
          <w:position w:val="5"/>
          <w:sz w:val="14"/>
        </w:rPr>
        <w:tab/>
      </w:r>
      <w:r>
        <w:rPr>
          <w:spacing w:val="-2"/>
          <w:sz w:val="20"/>
        </w:rPr>
        <w:t>s.2(1).</w:t>
      </w:r>
    </w:p>
    <w:p>
      <w:pPr>
        <w:pStyle w:val="BodyText"/>
        <w:spacing w:before="5"/>
      </w:pPr>
    </w:p>
    <w:p>
      <w:pPr>
        <w:tabs>
          <w:tab w:pos="705" w:val="left" w:leader="none"/>
        </w:tabs>
        <w:spacing w:before="0"/>
        <w:ind w:left="165" w:right="0" w:firstLine="0"/>
        <w:jc w:val="left"/>
        <w:rPr>
          <w:sz w:val="20"/>
        </w:rPr>
      </w:pPr>
      <w:bookmarkStart w:name="_bookmark1396" w:id="1398"/>
      <w:bookmarkEnd w:id="1398"/>
      <w:r>
        <w:rPr/>
      </w:r>
      <w:hyperlink w:history="true" w:anchor="_bookmark1230">
        <w:r>
          <w:rPr>
            <w:color w:val="005DA1"/>
            <w:spacing w:val="-4"/>
            <w:position w:val="5"/>
            <w:sz w:val="14"/>
            <w:u w:val="single" w:color="005DA1"/>
          </w:rPr>
          <w:t>721</w:t>
        </w:r>
      </w:hyperlink>
      <w:r>
        <w:rPr>
          <w:spacing w:val="-4"/>
          <w:position w:val="5"/>
          <w:sz w:val="14"/>
        </w:rPr>
        <w:t>.</w:t>
      </w:r>
      <w:r>
        <w:rPr>
          <w:position w:val="5"/>
          <w:sz w:val="14"/>
        </w:rPr>
        <w:tab/>
      </w:r>
      <w:r>
        <w:rPr>
          <w:spacing w:val="-2"/>
          <w:sz w:val="20"/>
        </w:rPr>
        <w:t>s.3(1).</w:t>
      </w:r>
    </w:p>
    <w:p>
      <w:pPr>
        <w:pStyle w:val="BodyText"/>
        <w:spacing w:before="5"/>
      </w:pPr>
    </w:p>
    <w:p>
      <w:pPr>
        <w:tabs>
          <w:tab w:pos="705" w:val="left" w:leader="none"/>
        </w:tabs>
        <w:spacing w:before="0"/>
        <w:ind w:left="165" w:right="0" w:firstLine="0"/>
        <w:jc w:val="left"/>
        <w:rPr>
          <w:sz w:val="20"/>
        </w:rPr>
      </w:pPr>
      <w:bookmarkStart w:name="_bookmark1397" w:id="1399"/>
      <w:bookmarkEnd w:id="1399"/>
      <w:r>
        <w:rPr/>
      </w:r>
      <w:hyperlink w:history="true" w:anchor="_bookmark1231">
        <w:r>
          <w:rPr>
            <w:color w:val="005DA1"/>
            <w:spacing w:val="-4"/>
            <w:position w:val="5"/>
            <w:sz w:val="14"/>
            <w:u w:val="single" w:color="005DA1"/>
          </w:rPr>
          <w:t>722</w:t>
        </w:r>
      </w:hyperlink>
      <w:r>
        <w:rPr>
          <w:spacing w:val="-4"/>
          <w:position w:val="5"/>
          <w:sz w:val="14"/>
        </w:rPr>
        <w:t>.</w:t>
      </w:r>
      <w:r>
        <w:rPr>
          <w:position w:val="5"/>
          <w:sz w:val="14"/>
        </w:rPr>
        <w:tab/>
      </w:r>
      <w:r>
        <w:rPr>
          <w:rFonts w:ascii="Arial"/>
          <w:i/>
          <w:sz w:val="20"/>
        </w:rPr>
        <w:t>White v Jones [1995] 2 A.C. 207</w:t>
      </w:r>
      <w:r>
        <w:rPr>
          <w:rFonts w:ascii="Arial"/>
          <w:i/>
          <w:spacing w:val="-1"/>
          <w:sz w:val="20"/>
        </w:rPr>
        <w:t> </w:t>
      </w:r>
      <w:r>
        <w:rPr>
          <w:sz w:val="20"/>
        </w:rPr>
        <w:t>(above, paras 18-039, 18-096) illustrates this </w:t>
      </w:r>
      <w:r>
        <w:rPr>
          <w:spacing w:val="-2"/>
          <w:sz w:val="20"/>
        </w:rPr>
        <w:t>possibility.</w:t>
      </w:r>
    </w:p>
    <w:p>
      <w:pPr>
        <w:pStyle w:val="BodyText"/>
        <w:spacing w:before="5"/>
      </w:pPr>
    </w:p>
    <w:p>
      <w:pPr>
        <w:tabs>
          <w:tab w:pos="705" w:val="left" w:leader="none"/>
        </w:tabs>
        <w:spacing w:before="0"/>
        <w:ind w:left="165" w:right="0" w:firstLine="0"/>
        <w:jc w:val="left"/>
        <w:rPr>
          <w:sz w:val="20"/>
        </w:rPr>
      </w:pPr>
      <w:bookmarkStart w:name="_bookmark1398" w:id="1400"/>
      <w:bookmarkEnd w:id="1400"/>
      <w:r>
        <w:rPr/>
      </w:r>
      <w:hyperlink w:history="true" w:anchor="_bookmark1232">
        <w:r>
          <w:rPr>
            <w:color w:val="005DA1"/>
            <w:spacing w:val="-4"/>
            <w:position w:val="5"/>
            <w:sz w:val="14"/>
            <w:u w:val="single" w:color="005DA1"/>
          </w:rPr>
          <w:t>723</w:t>
        </w:r>
      </w:hyperlink>
      <w:r>
        <w:rPr>
          <w:spacing w:val="-4"/>
          <w:position w:val="5"/>
          <w:sz w:val="14"/>
        </w:rPr>
        <w:t>.</w:t>
      </w:r>
      <w:r>
        <w:rPr>
          <w:position w:val="5"/>
          <w:sz w:val="14"/>
        </w:rPr>
        <w:tab/>
      </w:r>
      <w:r>
        <w:rPr>
          <w:sz w:val="20"/>
        </w:rPr>
        <w:t>e.g. </w:t>
      </w:r>
      <w:r>
        <w:rPr>
          <w:rFonts w:ascii="Arial"/>
          <w:i/>
          <w:sz w:val="20"/>
        </w:rPr>
        <w:t>Nisshin Shipping Co Ltd v Cleaves &amp; Co Ltd [2003] EWHC 2602, [2004] 1 All E.R. </w:t>
      </w:r>
      <w:r>
        <w:rPr>
          <w:rFonts w:ascii="Arial"/>
          <w:i/>
          <w:spacing w:val="-4"/>
          <w:sz w:val="20"/>
        </w:rPr>
        <w:t>481</w:t>
      </w:r>
      <w:r>
        <w:rPr>
          <w:spacing w:val="-4"/>
          <w:sz w:val="20"/>
        </w:rPr>
        <w:t>.</w:t>
      </w:r>
    </w:p>
    <w:p>
      <w:pPr>
        <w:pStyle w:val="BodyText"/>
        <w:spacing w:before="5"/>
      </w:pPr>
    </w:p>
    <w:p>
      <w:pPr>
        <w:pStyle w:val="BodyText"/>
        <w:tabs>
          <w:tab w:pos="705" w:val="left" w:leader="none"/>
        </w:tabs>
        <w:ind w:left="165"/>
      </w:pPr>
      <w:bookmarkStart w:name="_bookmark1399" w:id="1401"/>
      <w:bookmarkEnd w:id="1401"/>
      <w:r>
        <w:rPr/>
      </w:r>
      <w:hyperlink w:history="true" w:anchor="_bookmark1233">
        <w:r>
          <w:rPr>
            <w:color w:val="005DA1"/>
            <w:spacing w:val="-4"/>
            <w:position w:val="5"/>
            <w:sz w:val="14"/>
            <w:u w:val="single" w:color="005DA1"/>
          </w:rPr>
          <w:t>724</w:t>
        </w:r>
      </w:hyperlink>
      <w:r>
        <w:rPr>
          <w:spacing w:val="-4"/>
          <w:position w:val="5"/>
          <w:sz w:val="14"/>
        </w:rPr>
        <w:t>.</w:t>
      </w:r>
      <w:r>
        <w:rPr>
          <w:position w:val="5"/>
          <w:sz w:val="14"/>
        </w:rPr>
        <w:tab/>
      </w:r>
      <w:r>
        <w:rPr/>
        <w:t>s.3(2),</w:t>
      </w:r>
      <w:r>
        <w:rPr>
          <w:spacing w:val="-2"/>
        </w:rPr>
        <w:t> </w:t>
      </w:r>
      <w:r>
        <w:rPr/>
        <w:t>above para.18-</w:t>
      </w:r>
      <w:r>
        <w:rPr>
          <w:spacing w:val="-4"/>
        </w:rPr>
        <w:t>112.</w:t>
      </w:r>
    </w:p>
    <w:p>
      <w:pPr>
        <w:pStyle w:val="BodyText"/>
        <w:spacing w:before="9"/>
      </w:pPr>
    </w:p>
    <w:p>
      <w:pPr>
        <w:spacing w:line="235" w:lineRule="auto" w:before="0"/>
        <w:ind w:left="705" w:right="168" w:hanging="541"/>
        <w:jc w:val="both"/>
        <w:rPr>
          <w:sz w:val="20"/>
        </w:rPr>
      </w:pPr>
      <w:bookmarkStart w:name="_bookmark1400" w:id="1402"/>
      <w:bookmarkEnd w:id="1402"/>
      <w:r>
        <w:rPr/>
      </w:r>
      <w:hyperlink w:history="true" w:anchor="_bookmark1234">
        <w:r>
          <w:rPr>
            <w:color w:val="005DA1"/>
            <w:position w:val="5"/>
            <w:sz w:val="14"/>
            <w:u w:val="single" w:color="005DA1"/>
          </w:rPr>
          <w:t>725</w:t>
        </w:r>
      </w:hyperlink>
      <w:r>
        <w:rPr>
          <w:position w:val="5"/>
          <w:sz w:val="14"/>
        </w:rPr>
        <w:t>.</w:t>
      </w:r>
      <w:r>
        <w:rPr>
          <w:spacing w:val="80"/>
          <w:position w:val="5"/>
          <w:sz w:val="14"/>
        </w:rPr>
        <w:t>  </w:t>
      </w:r>
      <w:r>
        <w:rPr>
          <w:sz w:val="20"/>
        </w:rPr>
        <w:t>e.g. perhaps, to follow the Supreme Court of Canada’s decision in </w:t>
      </w:r>
      <w:r>
        <w:rPr>
          <w:rFonts w:ascii="Arial" w:hAnsi="Arial"/>
          <w:i/>
          <w:sz w:val="20"/>
        </w:rPr>
        <w:t>London Drugs Ltd v Kuehne &amp; Nagel International Ltd [1992] 3 S.C.R. 299 </w:t>
      </w:r>
      <w:r>
        <w:rPr>
          <w:sz w:val="20"/>
        </w:rPr>
        <w:t>in recognising, at least to a limited extent, </w:t>
      </w:r>
      <w:r>
        <w:rPr>
          <w:sz w:val="20"/>
        </w:rPr>
        <w:t>the principle of vicarious immunity: cf. above, para.18-023, n.131 and para.18–097.</w:t>
      </w:r>
    </w:p>
    <w:p>
      <w:pPr>
        <w:pStyle w:val="BodyText"/>
        <w:spacing w:before="9"/>
      </w:pPr>
    </w:p>
    <w:p>
      <w:pPr>
        <w:pStyle w:val="BodyText"/>
        <w:spacing w:line="235" w:lineRule="auto"/>
        <w:ind w:left="705" w:right="167" w:hanging="541"/>
        <w:jc w:val="both"/>
      </w:pPr>
      <w:bookmarkStart w:name="_bookmark1401" w:id="1403"/>
      <w:bookmarkEnd w:id="1403"/>
      <w:r>
        <w:rPr/>
      </w:r>
      <w:hyperlink w:history="true" w:anchor="_bookmark1235">
        <w:r>
          <w:rPr>
            <w:color w:val="005DA1"/>
            <w:position w:val="5"/>
            <w:sz w:val="14"/>
            <w:u w:val="single" w:color="005DA1"/>
          </w:rPr>
          <w:t>726</w:t>
        </w:r>
      </w:hyperlink>
      <w:r>
        <w:rPr>
          <w:position w:val="5"/>
          <w:sz w:val="14"/>
        </w:rPr>
        <w:t>.</w:t>
      </w:r>
      <w:r>
        <w:rPr>
          <w:spacing w:val="80"/>
          <w:w w:val="150"/>
          <w:position w:val="5"/>
          <w:sz w:val="14"/>
        </w:rPr>
        <w:t> </w:t>
      </w:r>
      <w:r>
        <w:rPr/>
        <w:t>See s.1(5), relating to C’s remedies: above, para.18-100; s.3(4), relating to certain </w:t>
      </w:r>
      <w:r>
        <w:rPr/>
        <w:t>defences; s.3(6), relating to restrictions on the availability of exemption clauses: above, para.18-115; for a different technique, see s.7(3), relating to limitation of actions and s.8, relating to arbitration agreements (above, para.18-101; below Vol.II, para.32-044).</w:t>
      </w:r>
    </w:p>
    <w:p>
      <w:pPr>
        <w:pStyle w:val="BodyText"/>
        <w:spacing w:before="8"/>
      </w:pPr>
    </w:p>
    <w:p>
      <w:pPr>
        <w:spacing w:line="235" w:lineRule="auto" w:before="0"/>
        <w:ind w:left="705" w:right="167" w:hanging="541"/>
        <w:jc w:val="both"/>
        <w:rPr>
          <w:sz w:val="20"/>
        </w:rPr>
      </w:pPr>
      <w:bookmarkStart w:name="_bookmark1402" w:id="1404"/>
      <w:bookmarkEnd w:id="1404"/>
      <w:r>
        <w:rPr/>
      </w:r>
      <w:hyperlink w:history="true" w:anchor="_bookmark1236">
        <w:r>
          <w:rPr>
            <w:color w:val="005DA1"/>
            <w:position w:val="5"/>
            <w:sz w:val="14"/>
            <w:u w:val="single" w:color="005DA1"/>
          </w:rPr>
          <w:t>727</w:t>
        </w:r>
      </w:hyperlink>
      <w:r>
        <w:rPr>
          <w:position w:val="5"/>
          <w:sz w:val="14"/>
        </w:rPr>
        <w:t>.</w:t>
      </w:r>
      <w:r>
        <w:rPr>
          <w:spacing w:val="40"/>
          <w:position w:val="5"/>
          <w:sz w:val="14"/>
        </w:rPr>
        <w:t>  </w:t>
      </w:r>
      <w:r>
        <w:rPr>
          <w:sz w:val="20"/>
        </w:rPr>
        <w:t>A claim by C under the Contracts (Rights of Third Parties) Act 1999 is, however, a “matter relating</w:t>
      </w:r>
      <w:r>
        <w:rPr>
          <w:spacing w:val="-3"/>
          <w:sz w:val="20"/>
        </w:rPr>
        <w:t> </w:t>
      </w:r>
      <w:r>
        <w:rPr>
          <w:sz w:val="20"/>
        </w:rPr>
        <w:t>to</w:t>
      </w:r>
      <w:r>
        <w:rPr>
          <w:spacing w:val="-3"/>
          <w:sz w:val="20"/>
        </w:rPr>
        <w:t> </w:t>
      </w:r>
      <w:r>
        <w:rPr>
          <w:sz w:val="20"/>
        </w:rPr>
        <w:t>contract”</w:t>
      </w:r>
      <w:r>
        <w:rPr>
          <w:spacing w:val="-3"/>
          <w:sz w:val="20"/>
        </w:rPr>
        <w:t> </w:t>
      </w:r>
      <w:r>
        <w:rPr>
          <w:sz w:val="20"/>
        </w:rPr>
        <w:t>within</w:t>
      </w:r>
      <w:r>
        <w:rPr>
          <w:spacing w:val="-3"/>
          <w:sz w:val="20"/>
        </w:rPr>
        <w:t> </w:t>
      </w:r>
      <w:r>
        <w:rPr>
          <w:sz w:val="20"/>
        </w:rPr>
        <w:t>Art.5.1</w:t>
      </w:r>
      <w:r>
        <w:rPr>
          <w:spacing w:val="-3"/>
          <w:sz w:val="20"/>
        </w:rPr>
        <w:t> </w:t>
      </w:r>
      <w:r>
        <w:rPr>
          <w:sz w:val="20"/>
        </w:rPr>
        <w:t>of</w:t>
      </w:r>
      <w:r>
        <w:rPr>
          <w:spacing w:val="-3"/>
          <w:sz w:val="20"/>
        </w:rPr>
        <w:t> </w:t>
      </w:r>
      <w:r>
        <w:rPr>
          <w:sz w:val="20"/>
        </w:rPr>
        <w:t>the</w:t>
      </w:r>
      <w:r>
        <w:rPr>
          <w:spacing w:val="-3"/>
          <w:sz w:val="20"/>
        </w:rPr>
        <w:t> </w:t>
      </w:r>
      <w:r>
        <w:rPr>
          <w:sz w:val="20"/>
        </w:rPr>
        <w:t>Judgments</w:t>
      </w:r>
      <w:r>
        <w:rPr>
          <w:spacing w:val="-3"/>
          <w:sz w:val="20"/>
        </w:rPr>
        <w:t> </w:t>
      </w:r>
      <w:r>
        <w:rPr>
          <w:sz w:val="20"/>
        </w:rPr>
        <w:t>Regulation</w:t>
      </w:r>
      <w:r>
        <w:rPr>
          <w:spacing w:val="-3"/>
          <w:sz w:val="20"/>
        </w:rPr>
        <w:t> </w:t>
      </w:r>
      <w:r>
        <w:rPr>
          <w:sz w:val="20"/>
        </w:rPr>
        <w:t>(EC</w:t>
      </w:r>
      <w:r>
        <w:rPr>
          <w:spacing w:val="-3"/>
          <w:sz w:val="20"/>
        </w:rPr>
        <w:t> </w:t>
      </w:r>
      <w:r>
        <w:rPr>
          <w:sz w:val="20"/>
        </w:rPr>
        <w:t>44/2001;</w:t>
      </w:r>
      <w:r>
        <w:rPr>
          <w:spacing w:val="-3"/>
          <w:sz w:val="20"/>
        </w:rPr>
        <w:t> </w:t>
      </w:r>
      <w:r>
        <w:rPr>
          <w:sz w:val="20"/>
        </w:rPr>
        <w:t>OJ</w:t>
      </w:r>
      <w:r>
        <w:rPr>
          <w:spacing w:val="-3"/>
          <w:sz w:val="20"/>
        </w:rPr>
        <w:t> </w:t>
      </w:r>
      <w:r>
        <w:rPr>
          <w:sz w:val="20"/>
        </w:rPr>
        <w:t>2001</w:t>
      </w:r>
      <w:r>
        <w:rPr>
          <w:spacing w:val="-3"/>
          <w:sz w:val="20"/>
        </w:rPr>
        <w:t> </w:t>
      </w:r>
      <w:r>
        <w:rPr>
          <w:sz w:val="20"/>
        </w:rPr>
        <w:t>L</w:t>
      </w:r>
      <w:r>
        <w:rPr>
          <w:spacing w:val="-3"/>
          <w:sz w:val="20"/>
        </w:rPr>
        <w:t> </w:t>
      </w:r>
      <w:r>
        <w:rPr>
          <w:sz w:val="20"/>
        </w:rPr>
        <w:t>12</w:t>
      </w:r>
      <w:r>
        <w:rPr>
          <w:spacing w:val="-3"/>
          <w:sz w:val="20"/>
        </w:rPr>
        <w:t> </w:t>
      </w:r>
      <w:r>
        <w:rPr>
          <w:sz w:val="20"/>
        </w:rPr>
        <w:t>p</w:t>
      </w:r>
      <w:r>
        <w:rPr>
          <w:spacing w:val="-3"/>
          <w:sz w:val="20"/>
        </w:rPr>
        <w:t> </w:t>
      </w:r>
      <w:r>
        <w:rPr>
          <w:sz w:val="20"/>
        </w:rPr>
        <w:t>1): </w:t>
      </w:r>
      <w:r>
        <w:rPr>
          <w:rFonts w:ascii="Arial" w:hAnsi="Arial"/>
          <w:i/>
          <w:sz w:val="20"/>
        </w:rPr>
        <w:t>WPP Holdings Italy SRL v Benatti [2007] EWCA Civ 263, [2007] 2 All E.R. (Comm) 525 </w:t>
      </w:r>
      <w:r>
        <w:rPr>
          <w:sz w:val="20"/>
        </w:rPr>
        <w:t>at </w:t>
      </w:r>
      <w:r>
        <w:rPr>
          <w:spacing w:val="-2"/>
          <w:sz w:val="20"/>
        </w:rPr>
        <w:t>[53]–[55].</w:t>
      </w:r>
    </w:p>
    <w:p>
      <w:pPr>
        <w:pStyle w:val="BodyText"/>
        <w:spacing w:before="9"/>
      </w:pPr>
    </w:p>
    <w:p>
      <w:pPr>
        <w:pStyle w:val="BodyText"/>
        <w:spacing w:line="235" w:lineRule="auto"/>
        <w:ind w:left="705" w:right="167" w:hanging="541"/>
        <w:jc w:val="both"/>
      </w:pPr>
      <w:bookmarkStart w:name="_bookmark1403" w:id="1405"/>
      <w:bookmarkEnd w:id="1405"/>
      <w:r>
        <w:rPr/>
      </w:r>
      <w:hyperlink w:history="true" w:anchor="_bookmark1237">
        <w:r>
          <w:rPr>
            <w:color w:val="005DA1"/>
            <w:position w:val="5"/>
            <w:sz w:val="14"/>
            <w:u w:val="single" w:color="005DA1"/>
          </w:rPr>
          <w:t>728</w:t>
        </w:r>
      </w:hyperlink>
      <w:r>
        <w:rPr>
          <w:position w:val="5"/>
          <w:sz w:val="14"/>
        </w:rPr>
        <w:t>.</w:t>
      </w:r>
      <w:r>
        <w:rPr>
          <w:spacing w:val="80"/>
          <w:position w:val="5"/>
          <w:sz w:val="14"/>
        </w:rPr>
        <w:t>  </w:t>
      </w:r>
      <w:r>
        <w:rPr/>
        <w:t>1999 Act, s.7(4). This provides that C is not to be so treated “by virtue of section 1(5) or 3(4) or 3(6)”, above, n.699. No reference is made in s.7(4) to s.8, above, n.699, by virtue of which C is treated as a party to an arbitration agreement for the purpose of the Arbitration Act 1996.</w:t>
      </w:r>
    </w:p>
    <w:p>
      <w:pPr>
        <w:pStyle w:val="BodyText"/>
        <w:spacing w:before="9"/>
      </w:pPr>
    </w:p>
    <w:p>
      <w:pPr>
        <w:pStyle w:val="BodyText"/>
        <w:spacing w:line="235" w:lineRule="auto"/>
        <w:ind w:left="705" w:right="167" w:hanging="541"/>
        <w:jc w:val="both"/>
      </w:pPr>
      <w:bookmarkStart w:name="_bookmark1404" w:id="1406"/>
      <w:bookmarkEnd w:id="1406"/>
      <w:r>
        <w:rPr/>
      </w:r>
      <w:hyperlink w:history="true" w:anchor="_bookmark1238">
        <w:r>
          <w:rPr>
            <w:color w:val="005DA1"/>
            <w:position w:val="5"/>
            <w:sz w:val="14"/>
            <w:u w:val="single" w:color="005DA1"/>
          </w:rPr>
          <w:t>729</w:t>
        </w:r>
      </w:hyperlink>
      <w:r>
        <w:rPr>
          <w:position w:val="5"/>
          <w:sz w:val="14"/>
        </w:rPr>
        <w:t>.</w:t>
      </w:r>
      <w:r>
        <w:rPr>
          <w:spacing w:val="80"/>
          <w:position w:val="5"/>
          <w:sz w:val="14"/>
        </w:rPr>
        <w:t>  </w:t>
      </w:r>
      <w:r>
        <w:rPr/>
        <w:t>Above,</w:t>
      </w:r>
      <w:r>
        <w:rPr>
          <w:spacing w:val="22"/>
        </w:rPr>
        <w:t> </w:t>
      </w:r>
      <w:r>
        <w:rPr/>
        <w:t>para.15-084.</w:t>
      </w:r>
      <w:r>
        <w:rPr>
          <w:spacing w:val="22"/>
        </w:rPr>
        <w:t> </w:t>
      </w:r>
      <w:r>
        <w:rPr/>
        <w:t>Under</w:t>
      </w:r>
      <w:r>
        <w:rPr>
          <w:spacing w:val="22"/>
        </w:rPr>
        <w:t> </w:t>
      </w:r>
      <w:r>
        <w:rPr/>
        <w:t>the</w:t>
      </w:r>
      <w:r>
        <w:rPr>
          <w:spacing w:val="22"/>
        </w:rPr>
        <w:t> </w:t>
      </w:r>
      <w:r>
        <w:rPr/>
        <w:t>Consumer</w:t>
      </w:r>
      <w:r>
        <w:rPr>
          <w:spacing w:val="22"/>
        </w:rPr>
        <w:t> </w:t>
      </w:r>
      <w:r>
        <w:rPr/>
        <w:t>Rights</w:t>
      </w:r>
      <w:r>
        <w:rPr>
          <w:spacing w:val="22"/>
        </w:rPr>
        <w:t> </w:t>
      </w:r>
      <w:r>
        <w:rPr/>
        <w:t>Act</w:t>
      </w:r>
      <w:r>
        <w:rPr>
          <w:spacing w:val="22"/>
        </w:rPr>
        <w:t> </w:t>
      </w:r>
      <w:r>
        <w:rPr/>
        <w:t>2015,</w:t>
      </w:r>
      <w:r>
        <w:rPr>
          <w:spacing w:val="22"/>
        </w:rPr>
        <w:t> </w:t>
      </w:r>
      <w:r>
        <w:rPr/>
        <w:t>s.3</w:t>
      </w:r>
      <w:r>
        <w:rPr>
          <w:spacing w:val="22"/>
        </w:rPr>
        <w:t> </w:t>
      </w:r>
      <w:r>
        <w:rPr/>
        <w:t>of</w:t>
      </w:r>
      <w:r>
        <w:rPr>
          <w:spacing w:val="22"/>
        </w:rPr>
        <w:t> </w:t>
      </w:r>
      <w:r>
        <w:rPr/>
        <w:t>the</w:t>
      </w:r>
      <w:r>
        <w:rPr>
          <w:spacing w:val="22"/>
        </w:rPr>
        <w:t> </w:t>
      </w:r>
      <w:r>
        <w:rPr/>
        <w:t>Unfair</w:t>
      </w:r>
      <w:r>
        <w:rPr>
          <w:spacing w:val="22"/>
        </w:rPr>
        <w:t> </w:t>
      </w:r>
      <w:r>
        <w:rPr/>
        <w:t>Contract</w:t>
      </w:r>
      <w:r>
        <w:rPr>
          <w:spacing w:val="22"/>
        </w:rPr>
        <w:t> </w:t>
      </w:r>
      <w:r>
        <w:rPr/>
        <w:t>Terms Act 1977 will not apply to terms in a “consumer contract” made on or after October 1, 2015 and the fairness of such terms will be regulated under Part 2 of the 2015 Act. The Act is fully discussed in Vol.II Ch.38; for its Part 2, see paras 38-351 et seq. The 2015 Act contains no reference to the Contracts (Rights of Third Parties) Act 1999.</w:t>
      </w:r>
    </w:p>
    <w:p>
      <w:pPr>
        <w:pStyle w:val="BodyText"/>
        <w:spacing w:before="4"/>
      </w:pPr>
    </w:p>
    <w:p>
      <w:pPr>
        <w:pStyle w:val="BodyText"/>
        <w:tabs>
          <w:tab w:pos="705" w:val="left" w:leader="none"/>
        </w:tabs>
        <w:ind w:left="165"/>
      </w:pPr>
      <w:bookmarkStart w:name="_bookmark1405" w:id="1407"/>
      <w:bookmarkEnd w:id="1407"/>
      <w:r>
        <w:rPr/>
      </w:r>
      <w:hyperlink w:history="true" w:anchor="_bookmark1239">
        <w:r>
          <w:rPr>
            <w:color w:val="005DA1"/>
            <w:spacing w:val="-4"/>
            <w:position w:val="5"/>
            <w:sz w:val="14"/>
            <w:u w:val="single" w:color="005DA1"/>
          </w:rPr>
          <w:t>730</w:t>
        </w:r>
      </w:hyperlink>
      <w:r>
        <w:rPr>
          <w:spacing w:val="-4"/>
          <w:position w:val="5"/>
          <w:sz w:val="14"/>
        </w:rPr>
        <w:t>.</w:t>
      </w:r>
      <w:r>
        <w:rPr>
          <w:position w:val="5"/>
          <w:sz w:val="14"/>
        </w:rPr>
        <w:tab/>
      </w:r>
      <w:r>
        <w:rPr/>
        <w:t>Report, para.13.10; for B’s right of enforcement, see below, para.18-</w:t>
      </w:r>
      <w:r>
        <w:rPr>
          <w:spacing w:val="-4"/>
        </w:rPr>
        <w:t>124.</w:t>
      </w:r>
    </w:p>
    <w:p>
      <w:pPr>
        <w:pStyle w:val="BodyText"/>
        <w:spacing w:before="5"/>
      </w:pPr>
    </w:p>
    <w:p>
      <w:pPr>
        <w:pStyle w:val="BodyText"/>
        <w:tabs>
          <w:tab w:pos="705" w:val="left" w:leader="none"/>
        </w:tabs>
        <w:ind w:left="165"/>
      </w:pPr>
      <w:bookmarkStart w:name="_bookmark1406" w:id="1408"/>
      <w:bookmarkEnd w:id="1408"/>
      <w:r>
        <w:rPr/>
      </w:r>
      <w:hyperlink w:history="true" w:anchor="_bookmark1240">
        <w:r>
          <w:rPr>
            <w:color w:val="005DA1"/>
            <w:spacing w:val="-4"/>
            <w:position w:val="5"/>
            <w:sz w:val="14"/>
            <w:u w:val="single" w:color="005DA1"/>
          </w:rPr>
          <w:t>731</w:t>
        </w:r>
      </w:hyperlink>
      <w:r>
        <w:rPr>
          <w:spacing w:val="-4"/>
          <w:position w:val="5"/>
          <w:sz w:val="14"/>
        </w:rPr>
        <w:t>.</w:t>
      </w:r>
      <w:r>
        <w:rPr>
          <w:position w:val="5"/>
          <w:sz w:val="14"/>
        </w:rPr>
        <w:tab/>
      </w:r>
      <w:r>
        <w:rPr/>
        <w:t>Report, para.13.10 (vii) and </w:t>
      </w:r>
      <w:r>
        <w:rPr>
          <w:spacing w:val="-2"/>
        </w:rPr>
        <w:t>(viii).</w:t>
      </w:r>
    </w:p>
    <w:p>
      <w:pPr>
        <w:pStyle w:val="BodyText"/>
        <w:spacing w:before="9"/>
      </w:pPr>
    </w:p>
    <w:p>
      <w:pPr>
        <w:pStyle w:val="BodyText"/>
        <w:spacing w:line="235" w:lineRule="auto"/>
        <w:ind w:left="705" w:right="167" w:hanging="541"/>
        <w:jc w:val="both"/>
      </w:pPr>
      <w:bookmarkStart w:name="_bookmark1407" w:id="1409"/>
      <w:bookmarkEnd w:id="1409"/>
      <w:r>
        <w:rPr/>
      </w:r>
      <w:hyperlink w:history="true" w:anchor="_bookmark1241">
        <w:r>
          <w:rPr>
            <w:color w:val="005DA1"/>
            <w:position w:val="5"/>
            <w:sz w:val="14"/>
            <w:u w:val="single" w:color="005DA1"/>
          </w:rPr>
          <w:t>732</w:t>
        </w:r>
      </w:hyperlink>
      <w:r>
        <w:rPr>
          <w:position w:val="5"/>
          <w:sz w:val="14"/>
        </w:rPr>
        <w:t>.</w:t>
      </w:r>
      <w:r>
        <w:rPr>
          <w:spacing w:val="40"/>
          <w:position w:val="5"/>
          <w:sz w:val="14"/>
        </w:rPr>
        <w:t>  </w:t>
      </w:r>
      <w:r>
        <w:rPr/>
        <w:t>Under the Consumer Rights Act 2015, s.2 of the Unfair Contract Terms Act 1977 will cease to apply to a “consumer contract” and to a “consumer notice” as defined by s.61(4) and (7) of </w:t>
      </w:r>
      <w:r>
        <w:rPr/>
        <w:t>the 2015 Act (see s.75 and Sch.4, para.4) if the contract is made, or the event to which the notice applies takes place, on or after October 1, 2015, but the fairness of such contracts or notices</w:t>
      </w:r>
      <w:r>
        <w:rPr>
          <w:spacing w:val="40"/>
        </w:rPr>
        <w:t> </w:t>
      </w:r>
      <w:r>
        <w:rPr/>
        <w:t>will be regulated under Part 2 (s.62) of the 2015 Act. Part 2 (s.65) of that Act also restricts the power of a trader to exclude or restrict negligence liability by a term of such a contract or by such</w:t>
      </w:r>
      <w:r>
        <w:rPr>
          <w:spacing w:val="40"/>
        </w:rPr>
        <w:t> </w:t>
      </w:r>
      <w:r>
        <w:rPr/>
        <w:t>a</w:t>
      </w:r>
      <w:r>
        <w:rPr>
          <w:spacing w:val="40"/>
        </w:rPr>
        <w:t> </w:t>
      </w:r>
      <w:r>
        <w:rPr/>
        <w:t>notice.</w:t>
      </w:r>
      <w:r>
        <w:rPr>
          <w:spacing w:val="40"/>
        </w:rPr>
        <w:t> </w:t>
      </w:r>
      <w:r>
        <w:rPr/>
        <w:t>The</w:t>
      </w:r>
      <w:r>
        <w:rPr>
          <w:spacing w:val="40"/>
        </w:rPr>
        <w:t> </w:t>
      </w:r>
      <w:r>
        <w:rPr/>
        <w:t>2015</w:t>
      </w:r>
      <w:r>
        <w:rPr>
          <w:spacing w:val="40"/>
        </w:rPr>
        <w:t> </w:t>
      </w:r>
      <w:r>
        <w:rPr/>
        <w:t>Act</w:t>
      </w:r>
      <w:r>
        <w:rPr>
          <w:spacing w:val="40"/>
        </w:rPr>
        <w:t> </w:t>
      </w:r>
      <w:r>
        <w:rPr/>
        <w:t>is</w:t>
      </w:r>
      <w:r>
        <w:rPr>
          <w:spacing w:val="40"/>
        </w:rPr>
        <w:t> </w:t>
      </w:r>
      <w:r>
        <w:rPr/>
        <w:t>fully</w:t>
      </w:r>
      <w:r>
        <w:rPr>
          <w:spacing w:val="40"/>
        </w:rPr>
        <w:t> </w:t>
      </w:r>
      <w:r>
        <w:rPr/>
        <w:t>discussed</w:t>
      </w:r>
      <w:r>
        <w:rPr>
          <w:spacing w:val="40"/>
        </w:rPr>
        <w:t> </w:t>
      </w:r>
      <w:r>
        <w:rPr/>
        <w:t>in</w:t>
      </w:r>
      <w:r>
        <w:rPr>
          <w:spacing w:val="40"/>
        </w:rPr>
        <w:t> </w:t>
      </w:r>
      <w:r>
        <w:rPr/>
        <w:t>Vol.II,</w:t>
      </w:r>
      <w:r>
        <w:rPr>
          <w:spacing w:val="40"/>
        </w:rPr>
        <w:t> </w:t>
      </w:r>
      <w:r>
        <w:rPr/>
        <w:t>Ch.38;</w:t>
      </w:r>
      <w:r>
        <w:rPr>
          <w:spacing w:val="40"/>
        </w:rPr>
        <w:t> </w:t>
      </w:r>
      <w:r>
        <w:rPr/>
        <w:t>for</w:t>
      </w:r>
      <w:r>
        <w:rPr>
          <w:spacing w:val="40"/>
        </w:rPr>
        <w:t> </w:t>
      </w:r>
      <w:r>
        <w:rPr/>
        <w:t>its</w:t>
      </w:r>
      <w:r>
        <w:rPr>
          <w:spacing w:val="40"/>
        </w:rPr>
        <w:t> </w:t>
      </w:r>
      <w:r>
        <w:rPr/>
        <w:t>Sch.4</w:t>
      </w:r>
      <w:r>
        <w:rPr>
          <w:spacing w:val="40"/>
        </w:rPr>
        <w:t> </w:t>
      </w:r>
      <w:r>
        <w:rPr/>
        <w:t>para.4,</w:t>
      </w:r>
      <w:r>
        <w:rPr>
          <w:spacing w:val="40"/>
        </w:rPr>
        <w:t> </w:t>
      </w:r>
      <w:r>
        <w:rPr/>
        <w:t>see para.38-341; for its s.65, see para.38-377. Section 2 of the 1977 Act will continue to apply to terms in contracts other than “consumer contracts” and to notices other than “consumer notices”. The 2015 Act makes no reference to the Contracts (Rights of Third Parties) Act 1999.</w:t>
      </w:r>
    </w:p>
    <w:p>
      <w:pPr>
        <w:pStyle w:val="BodyText"/>
        <w:spacing w:before="2"/>
      </w:pPr>
    </w:p>
    <w:p>
      <w:pPr>
        <w:tabs>
          <w:tab w:pos="705" w:val="left" w:leader="none"/>
        </w:tabs>
        <w:spacing w:before="0"/>
        <w:ind w:left="165" w:right="0" w:firstLine="0"/>
        <w:jc w:val="left"/>
        <w:rPr>
          <w:sz w:val="20"/>
        </w:rPr>
      </w:pPr>
      <w:bookmarkStart w:name="_bookmark1408" w:id="1410"/>
      <w:bookmarkEnd w:id="1410"/>
      <w:r>
        <w:rPr/>
      </w:r>
      <w:hyperlink w:history="true" w:anchor="_bookmark1242">
        <w:r>
          <w:rPr>
            <w:color w:val="005DA1"/>
            <w:spacing w:val="-4"/>
            <w:position w:val="5"/>
            <w:sz w:val="14"/>
            <w:u w:val="single" w:color="005DA1"/>
          </w:rPr>
          <w:t>733</w:t>
        </w:r>
      </w:hyperlink>
      <w:r>
        <w:rPr>
          <w:spacing w:val="-4"/>
          <w:position w:val="5"/>
          <w:sz w:val="14"/>
        </w:rPr>
        <w:t>.</w:t>
      </w:r>
      <w:r>
        <w:rPr>
          <w:position w:val="5"/>
          <w:sz w:val="14"/>
        </w:rPr>
        <w:tab/>
      </w:r>
      <w:r>
        <w:rPr>
          <w:sz w:val="20"/>
        </w:rPr>
        <w:t>Above, para.15-</w:t>
      </w:r>
      <w:r>
        <w:rPr>
          <w:spacing w:val="-4"/>
          <w:sz w:val="20"/>
        </w:rPr>
        <w:t>081.</w:t>
      </w:r>
    </w:p>
    <w:p>
      <w:pPr>
        <w:pStyle w:val="BodyText"/>
        <w:spacing w:before="5"/>
      </w:pPr>
    </w:p>
    <w:p>
      <w:pPr>
        <w:tabs>
          <w:tab w:pos="705" w:val="left" w:leader="none"/>
        </w:tabs>
        <w:spacing w:before="0"/>
        <w:ind w:left="165" w:right="0" w:firstLine="0"/>
        <w:jc w:val="left"/>
        <w:rPr>
          <w:sz w:val="20"/>
        </w:rPr>
      </w:pPr>
      <w:bookmarkStart w:name="_bookmark1409" w:id="1411"/>
      <w:bookmarkEnd w:id="1411"/>
      <w:r>
        <w:rPr/>
      </w:r>
      <w:hyperlink w:history="true" w:anchor="_bookmark1243">
        <w:r>
          <w:rPr>
            <w:color w:val="005DA1"/>
            <w:spacing w:val="-4"/>
            <w:position w:val="5"/>
            <w:sz w:val="14"/>
            <w:u w:val="single" w:color="005DA1"/>
          </w:rPr>
          <w:t>734</w:t>
        </w:r>
      </w:hyperlink>
      <w:r>
        <w:rPr>
          <w:spacing w:val="-4"/>
          <w:position w:val="5"/>
          <w:sz w:val="14"/>
        </w:rPr>
        <w:t>.</w:t>
      </w:r>
      <w:r>
        <w:rPr>
          <w:position w:val="5"/>
          <w:sz w:val="14"/>
        </w:rPr>
        <w:tab/>
      </w:r>
      <w:r>
        <w:rPr>
          <w:sz w:val="20"/>
        </w:rPr>
        <w:t>Above, para.15-</w:t>
      </w:r>
      <w:r>
        <w:rPr>
          <w:spacing w:val="-4"/>
          <w:sz w:val="20"/>
        </w:rPr>
        <w:t>081.</w:t>
      </w:r>
    </w:p>
    <w:p>
      <w:pPr>
        <w:pStyle w:val="BodyText"/>
        <w:spacing w:before="5"/>
      </w:pPr>
    </w:p>
    <w:p>
      <w:pPr>
        <w:pStyle w:val="BodyText"/>
        <w:tabs>
          <w:tab w:pos="705" w:val="left" w:leader="none"/>
        </w:tabs>
        <w:ind w:left="165"/>
      </w:pPr>
      <w:bookmarkStart w:name="_bookmark1410" w:id="1412"/>
      <w:bookmarkEnd w:id="1412"/>
      <w:r>
        <w:rPr/>
      </w:r>
      <w:hyperlink w:history="true" w:anchor="_bookmark1244">
        <w:r>
          <w:rPr>
            <w:color w:val="005DA1"/>
            <w:spacing w:val="-4"/>
            <w:position w:val="5"/>
            <w:sz w:val="14"/>
            <w:u w:val="single" w:color="005DA1"/>
          </w:rPr>
          <w:t>735</w:t>
        </w:r>
      </w:hyperlink>
      <w:r>
        <w:rPr>
          <w:spacing w:val="-4"/>
          <w:position w:val="5"/>
          <w:sz w:val="14"/>
        </w:rPr>
        <w:t>.</w:t>
      </w:r>
      <w:r>
        <w:rPr>
          <w:position w:val="5"/>
          <w:sz w:val="14"/>
        </w:rPr>
        <w:tab/>
      </w:r>
      <w:r>
        <w:rPr/>
        <w:t>Unfair Contract Terms Act 1977, </w:t>
      </w:r>
      <w:r>
        <w:rPr>
          <w:spacing w:val="-2"/>
        </w:rPr>
        <w:t>s.1(1)(a).</w:t>
      </w:r>
    </w:p>
    <w:p>
      <w:pPr>
        <w:pStyle w:val="BodyText"/>
        <w:spacing w:after="0"/>
        <w:sectPr>
          <w:pgSz w:w="11900" w:h="16840"/>
          <w:pgMar w:header="971" w:footer="0" w:top="1160" w:bottom="280" w:left="1275" w:right="1275"/>
        </w:sectPr>
      </w:pPr>
    </w:p>
    <w:p>
      <w:pPr>
        <w:pStyle w:val="BodyText"/>
        <w:spacing w:before="87"/>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3046"/>
        <w:gridCol w:w="1885"/>
      </w:tblGrid>
      <w:tr>
        <w:trPr>
          <w:trHeight w:val="344" w:hRule="atLeast"/>
        </w:trPr>
        <w:tc>
          <w:tcPr>
            <w:tcW w:w="457" w:type="dxa"/>
          </w:tcPr>
          <w:p>
            <w:pPr>
              <w:pStyle w:val="TableParagraph"/>
              <w:spacing w:before="0"/>
              <w:ind w:left="0" w:right="82"/>
              <w:jc w:val="center"/>
              <w:rPr>
                <w:sz w:val="14"/>
              </w:rPr>
            </w:pPr>
            <w:hyperlink w:history="true" w:anchor="_bookmark1245">
              <w:r>
                <w:rPr>
                  <w:color w:val="005DA1"/>
                  <w:spacing w:val="-4"/>
                  <w:sz w:val="14"/>
                  <w:u w:val="single" w:color="005DA1"/>
                </w:rPr>
                <w:t>736</w:t>
              </w:r>
            </w:hyperlink>
            <w:r>
              <w:rPr>
                <w:spacing w:val="-4"/>
                <w:sz w:val="14"/>
              </w:rPr>
              <w:t>.</w:t>
            </w:r>
          </w:p>
        </w:tc>
        <w:tc>
          <w:tcPr>
            <w:tcW w:w="3046" w:type="dxa"/>
          </w:tcPr>
          <w:p>
            <w:pPr>
              <w:pStyle w:val="TableParagraph"/>
              <w:spacing w:line="223" w:lineRule="exact" w:before="0"/>
              <w:rPr>
                <w:sz w:val="20"/>
              </w:rPr>
            </w:pPr>
            <w:r>
              <w:rPr>
                <w:sz w:val="20"/>
              </w:rPr>
              <w:t>See Report, </w:t>
            </w:r>
            <w:r>
              <w:rPr>
                <w:spacing w:val="-2"/>
                <w:sz w:val="20"/>
              </w:rPr>
              <w:t>13.12.</w:t>
            </w:r>
          </w:p>
        </w:tc>
        <w:tc>
          <w:tcPr>
            <w:tcW w:w="1885" w:type="dxa"/>
          </w:tcPr>
          <w:p>
            <w:pPr>
              <w:pStyle w:val="TableParagraph"/>
              <w:spacing w:before="0"/>
              <w:ind w:left="0"/>
              <w:rPr>
                <w:rFonts w:ascii="Times New Roman"/>
                <w:sz w:val="18"/>
              </w:rPr>
            </w:pPr>
          </w:p>
        </w:tc>
      </w:tr>
      <w:tr>
        <w:trPr>
          <w:trHeight w:val="465" w:hRule="atLeast"/>
        </w:trPr>
        <w:tc>
          <w:tcPr>
            <w:tcW w:w="457" w:type="dxa"/>
          </w:tcPr>
          <w:p>
            <w:pPr>
              <w:pStyle w:val="TableParagraph"/>
              <w:ind w:left="0" w:right="82"/>
              <w:jc w:val="center"/>
              <w:rPr>
                <w:sz w:val="14"/>
              </w:rPr>
            </w:pPr>
            <w:bookmarkStart w:name="_bookmark1411" w:id="1413"/>
            <w:bookmarkEnd w:id="1413"/>
            <w:r>
              <w:rPr/>
            </w:r>
            <w:hyperlink w:history="true" w:anchor="_bookmark1246">
              <w:r>
                <w:rPr>
                  <w:color w:val="005DA1"/>
                  <w:spacing w:val="-4"/>
                  <w:sz w:val="14"/>
                  <w:u w:val="single" w:color="005DA1"/>
                </w:rPr>
                <w:t>737</w:t>
              </w:r>
            </w:hyperlink>
            <w:r>
              <w:rPr>
                <w:spacing w:val="-4"/>
                <w:sz w:val="14"/>
              </w:rPr>
              <w:t>.</w:t>
            </w:r>
          </w:p>
        </w:tc>
        <w:tc>
          <w:tcPr>
            <w:tcW w:w="3046" w:type="dxa"/>
          </w:tcPr>
          <w:p>
            <w:pPr>
              <w:pStyle w:val="TableParagraph"/>
              <w:spacing w:before="114"/>
              <w:rPr>
                <w:sz w:val="20"/>
              </w:rPr>
            </w:pPr>
            <w:r>
              <w:rPr>
                <w:sz w:val="20"/>
              </w:rPr>
              <w:t>Above, para.18-</w:t>
            </w:r>
            <w:r>
              <w:rPr>
                <w:spacing w:val="-4"/>
                <w:sz w:val="20"/>
              </w:rPr>
              <w:t>045.</w:t>
            </w:r>
          </w:p>
        </w:tc>
        <w:tc>
          <w:tcPr>
            <w:tcW w:w="1885" w:type="dxa"/>
          </w:tcPr>
          <w:p>
            <w:pPr>
              <w:pStyle w:val="TableParagraph"/>
              <w:spacing w:before="0"/>
              <w:ind w:left="0"/>
              <w:rPr>
                <w:rFonts w:ascii="Times New Roman"/>
                <w:sz w:val="18"/>
              </w:rPr>
            </w:pPr>
          </w:p>
        </w:tc>
      </w:tr>
      <w:tr>
        <w:trPr>
          <w:trHeight w:val="465" w:hRule="atLeast"/>
        </w:trPr>
        <w:tc>
          <w:tcPr>
            <w:tcW w:w="457" w:type="dxa"/>
          </w:tcPr>
          <w:p>
            <w:pPr>
              <w:pStyle w:val="TableParagraph"/>
              <w:ind w:left="0" w:right="82"/>
              <w:jc w:val="center"/>
              <w:rPr>
                <w:sz w:val="14"/>
              </w:rPr>
            </w:pPr>
            <w:bookmarkStart w:name="_bookmark1412" w:id="1414"/>
            <w:bookmarkEnd w:id="1414"/>
            <w:r>
              <w:rPr/>
            </w:r>
            <w:hyperlink w:history="true" w:anchor="_bookmark1247">
              <w:r>
                <w:rPr>
                  <w:color w:val="005DA1"/>
                  <w:spacing w:val="-4"/>
                  <w:sz w:val="14"/>
                  <w:u w:val="single" w:color="005DA1"/>
                </w:rPr>
                <w:t>738</w:t>
              </w:r>
            </w:hyperlink>
            <w:r>
              <w:rPr>
                <w:spacing w:val="-4"/>
                <w:sz w:val="14"/>
              </w:rPr>
              <w:t>.</w:t>
            </w:r>
          </w:p>
        </w:tc>
        <w:tc>
          <w:tcPr>
            <w:tcW w:w="3046" w:type="dxa"/>
          </w:tcPr>
          <w:p>
            <w:pPr>
              <w:pStyle w:val="TableParagraph"/>
              <w:spacing w:before="114"/>
              <w:rPr>
                <w:sz w:val="20"/>
              </w:rPr>
            </w:pPr>
            <w:r>
              <w:rPr>
                <w:sz w:val="20"/>
              </w:rPr>
              <w:t>Above, para.18-</w:t>
            </w:r>
            <w:r>
              <w:rPr>
                <w:spacing w:val="-4"/>
                <w:sz w:val="20"/>
              </w:rPr>
              <w:t>047.</w:t>
            </w:r>
          </w:p>
        </w:tc>
        <w:tc>
          <w:tcPr>
            <w:tcW w:w="1885" w:type="dxa"/>
          </w:tcPr>
          <w:p>
            <w:pPr>
              <w:pStyle w:val="TableParagraph"/>
              <w:spacing w:before="0"/>
              <w:ind w:left="0"/>
              <w:rPr>
                <w:rFonts w:ascii="Times New Roman"/>
                <w:sz w:val="18"/>
              </w:rPr>
            </w:pPr>
          </w:p>
        </w:tc>
      </w:tr>
      <w:tr>
        <w:trPr>
          <w:trHeight w:val="465" w:hRule="atLeast"/>
        </w:trPr>
        <w:tc>
          <w:tcPr>
            <w:tcW w:w="457" w:type="dxa"/>
          </w:tcPr>
          <w:p>
            <w:pPr>
              <w:pStyle w:val="TableParagraph"/>
              <w:ind w:left="0" w:right="82"/>
              <w:jc w:val="center"/>
              <w:rPr>
                <w:sz w:val="14"/>
              </w:rPr>
            </w:pPr>
            <w:bookmarkStart w:name="_bookmark1413" w:id="1415"/>
            <w:bookmarkEnd w:id="1415"/>
            <w:r>
              <w:rPr/>
            </w:r>
            <w:hyperlink w:history="true" w:anchor="_bookmark1248">
              <w:r>
                <w:rPr>
                  <w:color w:val="005DA1"/>
                  <w:spacing w:val="-4"/>
                  <w:sz w:val="14"/>
                  <w:u w:val="single" w:color="005DA1"/>
                </w:rPr>
                <w:t>739</w:t>
              </w:r>
            </w:hyperlink>
            <w:r>
              <w:rPr>
                <w:spacing w:val="-4"/>
                <w:sz w:val="14"/>
              </w:rPr>
              <w:t>.</w:t>
            </w:r>
          </w:p>
        </w:tc>
        <w:tc>
          <w:tcPr>
            <w:tcW w:w="3046" w:type="dxa"/>
          </w:tcPr>
          <w:p>
            <w:pPr>
              <w:pStyle w:val="TableParagraph"/>
              <w:spacing w:before="114"/>
              <w:rPr>
                <w:sz w:val="20"/>
              </w:rPr>
            </w:pPr>
            <w:r>
              <w:rPr>
                <w:sz w:val="20"/>
              </w:rPr>
              <w:t>Above, para.18-</w:t>
            </w:r>
            <w:r>
              <w:rPr>
                <w:spacing w:val="-4"/>
                <w:sz w:val="20"/>
              </w:rPr>
              <w:t>053.</w:t>
            </w:r>
          </w:p>
        </w:tc>
        <w:tc>
          <w:tcPr>
            <w:tcW w:w="1885" w:type="dxa"/>
          </w:tcPr>
          <w:p>
            <w:pPr>
              <w:pStyle w:val="TableParagraph"/>
              <w:spacing w:before="0"/>
              <w:ind w:left="0"/>
              <w:rPr>
                <w:rFonts w:ascii="Times New Roman"/>
                <w:sz w:val="18"/>
              </w:rPr>
            </w:pPr>
          </w:p>
        </w:tc>
      </w:tr>
      <w:tr>
        <w:trPr>
          <w:trHeight w:val="465" w:hRule="atLeast"/>
        </w:trPr>
        <w:tc>
          <w:tcPr>
            <w:tcW w:w="457" w:type="dxa"/>
          </w:tcPr>
          <w:p>
            <w:pPr>
              <w:pStyle w:val="TableParagraph"/>
              <w:ind w:left="0" w:right="82"/>
              <w:jc w:val="center"/>
              <w:rPr>
                <w:sz w:val="14"/>
              </w:rPr>
            </w:pPr>
            <w:bookmarkStart w:name="_bookmark1414" w:id="1416"/>
            <w:bookmarkEnd w:id="1416"/>
            <w:r>
              <w:rPr/>
            </w:r>
            <w:hyperlink w:history="true" w:anchor="_bookmark1249">
              <w:r>
                <w:rPr>
                  <w:color w:val="005DA1"/>
                  <w:spacing w:val="-4"/>
                  <w:sz w:val="14"/>
                  <w:u w:val="single" w:color="005DA1"/>
                </w:rPr>
                <w:t>740</w:t>
              </w:r>
            </w:hyperlink>
            <w:r>
              <w:rPr>
                <w:spacing w:val="-4"/>
                <w:sz w:val="14"/>
              </w:rPr>
              <w:t>.</w:t>
            </w:r>
          </w:p>
        </w:tc>
        <w:tc>
          <w:tcPr>
            <w:tcW w:w="3046" w:type="dxa"/>
          </w:tcPr>
          <w:p>
            <w:pPr>
              <w:pStyle w:val="TableParagraph"/>
              <w:spacing w:before="114"/>
              <w:rPr>
                <w:sz w:val="20"/>
              </w:rPr>
            </w:pPr>
            <w:r>
              <w:rPr>
                <w:sz w:val="20"/>
              </w:rPr>
              <w:t>Above, para.18-054—18-</w:t>
            </w:r>
            <w:r>
              <w:rPr>
                <w:spacing w:val="-4"/>
                <w:sz w:val="20"/>
              </w:rPr>
              <w:t>069.</w:t>
            </w:r>
          </w:p>
        </w:tc>
        <w:tc>
          <w:tcPr>
            <w:tcW w:w="1885" w:type="dxa"/>
          </w:tcPr>
          <w:p>
            <w:pPr>
              <w:pStyle w:val="TableParagraph"/>
              <w:spacing w:before="0"/>
              <w:ind w:left="0"/>
              <w:rPr>
                <w:rFonts w:ascii="Times New Roman"/>
                <w:sz w:val="18"/>
              </w:rPr>
            </w:pPr>
          </w:p>
        </w:tc>
      </w:tr>
      <w:tr>
        <w:trPr>
          <w:trHeight w:val="927" w:hRule="atLeast"/>
        </w:trPr>
        <w:tc>
          <w:tcPr>
            <w:tcW w:w="457" w:type="dxa"/>
          </w:tcPr>
          <w:p>
            <w:pPr>
              <w:pStyle w:val="TableParagraph"/>
              <w:ind w:left="0" w:right="82"/>
              <w:jc w:val="center"/>
              <w:rPr>
                <w:sz w:val="14"/>
              </w:rPr>
            </w:pPr>
            <w:bookmarkStart w:name="_bookmark1415" w:id="1417"/>
            <w:bookmarkEnd w:id="1417"/>
            <w:r>
              <w:rPr/>
            </w:r>
            <w:hyperlink w:history="true" w:anchor="_bookmark1250">
              <w:r>
                <w:rPr>
                  <w:color w:val="005DA1"/>
                  <w:spacing w:val="-4"/>
                  <w:sz w:val="14"/>
                  <w:u w:val="single" w:color="005DA1"/>
                </w:rPr>
                <w:t>741</w:t>
              </w:r>
            </w:hyperlink>
            <w:r>
              <w:rPr>
                <w:spacing w:val="-4"/>
                <w:sz w:val="14"/>
              </w:rPr>
              <w:t>.</w:t>
            </w:r>
          </w:p>
        </w:tc>
        <w:tc>
          <w:tcPr>
            <w:tcW w:w="3046" w:type="dxa"/>
          </w:tcPr>
          <w:p>
            <w:pPr>
              <w:pStyle w:val="TableParagraph"/>
              <w:spacing w:before="114"/>
              <w:rPr>
                <w:sz w:val="20"/>
              </w:rPr>
            </w:pPr>
            <w:r>
              <w:rPr>
                <w:sz w:val="20"/>
              </w:rPr>
              <w:t>Above, para.18-</w:t>
            </w:r>
            <w:r>
              <w:rPr>
                <w:spacing w:val="-4"/>
                <w:sz w:val="20"/>
              </w:rPr>
              <w:t>078.</w:t>
            </w:r>
          </w:p>
        </w:tc>
        <w:tc>
          <w:tcPr>
            <w:tcW w:w="1885" w:type="dxa"/>
          </w:tcPr>
          <w:p>
            <w:pPr>
              <w:pStyle w:val="TableParagraph"/>
              <w:spacing w:before="0"/>
              <w:ind w:left="0"/>
              <w:rPr>
                <w:sz w:val="14"/>
              </w:rPr>
            </w:pPr>
          </w:p>
          <w:p>
            <w:pPr>
              <w:pStyle w:val="TableParagraph"/>
              <w:spacing w:before="0"/>
              <w:ind w:left="0"/>
              <w:rPr>
                <w:sz w:val="14"/>
              </w:rPr>
            </w:pPr>
          </w:p>
          <w:p>
            <w:pPr>
              <w:pStyle w:val="TableParagraph"/>
              <w:spacing w:before="0"/>
              <w:ind w:left="0"/>
              <w:rPr>
                <w:sz w:val="14"/>
              </w:rPr>
            </w:pPr>
          </w:p>
          <w:p>
            <w:pPr>
              <w:pStyle w:val="TableParagraph"/>
              <w:spacing w:before="122"/>
              <w:ind w:left="0"/>
              <w:rPr>
                <w:sz w:val="14"/>
              </w:rPr>
            </w:pPr>
          </w:p>
          <w:p>
            <w:pPr>
              <w:pStyle w:val="TableParagraph"/>
              <w:spacing w:line="141" w:lineRule="exact" w:before="0"/>
              <w:ind w:left="275"/>
              <w:rPr>
                <w:sz w:val="14"/>
              </w:rPr>
            </w:pPr>
            <w:r>
              <w:rPr>
                <w:sz w:val="14"/>
              </w:rPr>
              <w:t>© 2018 Sweet &amp; </w:t>
            </w:r>
            <w:r>
              <w:rPr>
                <w:spacing w:val="-2"/>
                <w:sz w:val="14"/>
              </w:rPr>
              <w:t>Maxwell</w:t>
            </w:r>
          </w:p>
        </w:tc>
      </w:tr>
    </w:tbl>
    <w:p>
      <w:pPr>
        <w:pStyle w:val="TableParagraph"/>
        <w:spacing w:after="0" w:line="141" w:lineRule="exact"/>
        <w:rPr>
          <w:sz w:val="14"/>
        </w:rPr>
        <w:sectPr>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85248">
                <wp:simplePos x="0" y="0"/>
                <wp:positionH relativeFrom="page">
                  <wp:posOffset>4703826</wp:posOffset>
                </wp:positionH>
                <wp:positionV relativeFrom="paragraph">
                  <wp:posOffset>377436</wp:posOffset>
                </wp:positionV>
                <wp:extent cx="4254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31232"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4. - Contracts for the Benefit of Third </w:t>
      </w:r>
      <w:r>
        <w:rPr>
          <w:rFonts w:ascii="Arial"/>
          <w:b/>
          <w:spacing w:val="-2"/>
          <w:sz w:val="24"/>
        </w:rPr>
        <w:t>Parties</w:t>
      </w:r>
    </w:p>
    <w:p>
      <w:pPr>
        <w:spacing w:before="194"/>
        <w:ind w:left="2892" w:right="0" w:firstLine="0"/>
        <w:jc w:val="left"/>
        <w:rPr>
          <w:rFonts w:ascii="Arial"/>
          <w:b/>
          <w:sz w:val="24"/>
        </w:rPr>
      </w:pPr>
      <w:r>
        <w:rPr>
          <w:rFonts w:ascii="Arial"/>
          <w:b/>
          <w:sz w:val="24"/>
        </w:rPr>
        <w:t>(b) - Exceptions to the </w:t>
      </w:r>
      <w:r>
        <w:rPr>
          <w:rFonts w:ascii="Arial"/>
          <w:b/>
          <w:spacing w:val="-2"/>
          <w:sz w:val="24"/>
        </w:rPr>
        <w:t>Doctrine</w:t>
      </w:r>
    </w:p>
    <w:p>
      <w:pPr>
        <w:spacing w:before="194"/>
        <w:ind w:left="2831" w:right="0" w:firstLine="0"/>
        <w:jc w:val="left"/>
        <w:rPr>
          <w:rFonts w:ascii="Arial"/>
          <w:b/>
          <w:sz w:val="24"/>
        </w:rPr>
      </w:pPr>
      <w:r>
        <w:rPr>
          <w:rFonts w:ascii="Arial"/>
          <w:b/>
          <w:sz w:val="24"/>
        </w:rPr>
        <w:t>(iii) - Other Statutory </w:t>
      </w:r>
      <w:r>
        <w:rPr>
          <w:rFonts w:ascii="Arial"/>
          <w:b/>
          <w:spacing w:val="-2"/>
          <w:sz w:val="24"/>
        </w:rPr>
        <w:t>Exceptions</w:t>
      </w:r>
    </w:p>
    <w:p>
      <w:pPr>
        <w:pStyle w:val="BodyText"/>
        <w:rPr>
          <w:rFonts w:ascii="Arial"/>
          <w:b/>
          <w:sz w:val="24"/>
        </w:rPr>
      </w:pPr>
    </w:p>
    <w:p>
      <w:pPr>
        <w:pStyle w:val="BodyText"/>
        <w:spacing w:before="21"/>
        <w:rPr>
          <w:rFonts w:ascii="Arial"/>
          <w:b/>
          <w:sz w:val="24"/>
        </w:rPr>
      </w:pPr>
    </w:p>
    <w:p>
      <w:pPr>
        <w:spacing w:before="1"/>
        <w:ind w:left="165" w:right="0" w:firstLine="0"/>
        <w:jc w:val="left"/>
        <w:rPr>
          <w:rFonts w:ascii="Arial"/>
          <w:b/>
          <w:sz w:val="24"/>
        </w:rPr>
      </w:pPr>
      <w:r>
        <w:rPr>
          <w:rFonts w:ascii="Arial"/>
          <w:b/>
          <w:sz w:val="24"/>
        </w:rPr>
        <w:t>18-</w:t>
      </w:r>
      <w:r>
        <w:rPr>
          <w:rFonts w:ascii="Arial"/>
          <w:b/>
          <w:spacing w:val="-5"/>
          <w:sz w:val="24"/>
        </w:rPr>
        <w:t>126</w:t>
      </w:r>
    </w:p>
    <w:p>
      <w:pPr>
        <w:pStyle w:val="BodyText"/>
        <w:spacing w:line="235" w:lineRule="auto" w:before="202"/>
        <w:ind w:left="165" w:right="167"/>
        <w:jc w:val="both"/>
      </w:pPr>
      <w:bookmarkStart w:name="_bookmark1416" w:id="1418"/>
      <w:bookmarkEnd w:id="1418"/>
      <w:r>
        <w:rPr/>
      </w:r>
      <w:r>
        <w:rPr/>
        <w:t>A number of other exceptions to the doctrine of privity of contract were created by statute before the 1999 Act and continue to be available to the third party after the coming into force of that Act. </w:t>
      </w:r>
      <w:r>
        <w:rPr>
          <w:color w:val="005DA1"/>
          <w:u w:val="single" w:color="005DA1"/>
          <w:vertAlign w:val="superscript"/>
        </w:rPr>
        <w:t>742</w:t>
      </w:r>
      <w:r>
        <w:rPr>
          <w:color w:val="005DA1"/>
          <w:vertAlign w:val="baseline"/>
        </w:rPr>
        <w:t> </w:t>
      </w:r>
      <w:r>
        <w:rPr>
          <w:vertAlign w:val="baseline"/>
        </w:rPr>
        <w:t>The most important of these exceptions are discussed in the paragraphs that follow.</w:t>
      </w:r>
    </w:p>
    <w:p>
      <w:pPr>
        <w:pStyle w:val="BodyText"/>
      </w:pPr>
    </w:p>
    <w:p>
      <w:pPr>
        <w:pStyle w:val="BodyText"/>
        <w:spacing w:before="38"/>
      </w:pPr>
    </w:p>
    <w:p>
      <w:pPr>
        <w:spacing w:before="0"/>
        <w:ind w:left="165" w:right="0" w:firstLine="0"/>
        <w:jc w:val="left"/>
        <w:rPr>
          <w:rFonts w:ascii="Arial"/>
          <w:b/>
          <w:sz w:val="18"/>
        </w:rPr>
      </w:pPr>
      <w:bookmarkStart w:name="_bookmark1417" w:id="1419"/>
      <w:bookmarkEnd w:id="1419"/>
      <w:r>
        <w:rPr/>
      </w:r>
      <w:r>
        <w:rPr>
          <w:rFonts w:ascii="Arial"/>
          <w:b/>
          <w:sz w:val="18"/>
        </w:rPr>
        <w:t>Law of Property Act, section 56(1)</w:t>
      </w:r>
      <w:r>
        <w:rPr>
          <w:rFonts w:ascii="Arial"/>
          <w:b/>
          <w:spacing w:val="-1"/>
          <w:sz w:val="18"/>
        </w:rPr>
        <w:t> </w:t>
      </w:r>
      <w:r>
        <w:rPr>
          <w:rFonts w:ascii="Arial"/>
          <w:b/>
          <w:color w:val="005DA1"/>
          <w:spacing w:val="-5"/>
          <w:sz w:val="18"/>
          <w:u w:val="single" w:color="005DA1"/>
          <w:vertAlign w:val="superscript"/>
        </w:rPr>
        <w:t>743</w:t>
      </w:r>
    </w:p>
    <w:p>
      <w:pPr>
        <w:pStyle w:val="BodyText"/>
        <w:spacing w:before="41"/>
        <w:rPr>
          <w:rFonts w:ascii="Arial"/>
          <w:b/>
          <w:sz w:val="18"/>
        </w:rPr>
      </w:pPr>
    </w:p>
    <w:p>
      <w:pPr>
        <w:pStyle w:val="Heading2"/>
      </w:pPr>
      <w:r>
        <w:rPr/>
        <w:t>18-</w:t>
      </w:r>
      <w:r>
        <w:rPr>
          <w:spacing w:val="-5"/>
        </w:rPr>
        <w:t>127</w:t>
      </w:r>
    </w:p>
    <w:p>
      <w:pPr>
        <w:pStyle w:val="BodyText"/>
        <w:spacing w:line="235" w:lineRule="auto" w:before="203"/>
        <w:ind w:left="165" w:right="167"/>
        <w:jc w:val="both"/>
      </w:pPr>
      <w:r>
        <w:rPr/>
        <w:t>At common law a person could not take an immediate interest in property, or the benefit of any </w:t>
      </w:r>
      <w:bookmarkStart w:name="_bookmark1418" w:id="1420"/>
      <w:bookmarkEnd w:id="1420"/>
      <w:r>
        <w:rPr/>
        <w:t>covenant,</w:t>
      </w:r>
      <w:r>
        <w:rPr/>
        <w:t> under an indenture purporting to be </w:t>
      </w:r>
      <w:r>
        <w:rPr>
          <w:rFonts w:ascii="Arial" w:hAnsi="Arial"/>
          <w:i/>
        </w:rPr>
        <w:t>inter partes</w:t>
      </w:r>
      <w:r>
        <w:rPr/>
        <w:t>, unless he was named as a party to the indenture.</w:t>
      </w:r>
      <w:r>
        <w:rPr>
          <w:spacing w:val="-3"/>
        </w:rPr>
        <w:t> </w:t>
      </w:r>
      <w:r>
        <w:rPr>
          <w:color w:val="005DA1"/>
          <w:u w:val="single" w:color="005DA1"/>
          <w:vertAlign w:val="superscript"/>
        </w:rPr>
        <w:t>744</w:t>
      </w:r>
      <w:r>
        <w:rPr>
          <w:color w:val="005DA1"/>
          <w:spacing w:val="-2"/>
          <w:vertAlign w:val="baseline"/>
        </w:rPr>
        <w:t> </w:t>
      </w:r>
      <w:r>
        <w:rPr>
          <w:vertAlign w:val="baseline"/>
        </w:rPr>
        <w:t>The</w:t>
      </w:r>
      <w:r>
        <w:rPr>
          <w:spacing w:val="-2"/>
          <w:vertAlign w:val="baseline"/>
        </w:rPr>
        <w:t> </w:t>
      </w:r>
      <w:r>
        <w:rPr>
          <w:vertAlign w:val="baseline"/>
        </w:rPr>
        <w:t>rule</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apply</w:t>
      </w:r>
      <w:r>
        <w:rPr>
          <w:spacing w:val="-2"/>
          <w:vertAlign w:val="baseline"/>
        </w:rPr>
        <w:t> </w:t>
      </w:r>
      <w:r>
        <w:rPr>
          <w:vertAlign w:val="baseline"/>
        </w:rPr>
        <w:t>to</w:t>
      </w:r>
      <w:r>
        <w:rPr>
          <w:spacing w:val="-2"/>
          <w:vertAlign w:val="baseline"/>
        </w:rPr>
        <w:t> </w:t>
      </w:r>
      <w:r>
        <w:rPr>
          <w:vertAlign w:val="baseline"/>
        </w:rPr>
        <w:t>deeds</w:t>
      </w:r>
      <w:r>
        <w:rPr>
          <w:spacing w:val="-2"/>
          <w:vertAlign w:val="baseline"/>
        </w:rPr>
        <w:t> </w:t>
      </w:r>
      <w:r>
        <w:rPr>
          <w:vertAlign w:val="baseline"/>
        </w:rPr>
        <w:t>poll</w:t>
      </w:r>
      <w:r>
        <w:rPr>
          <w:spacing w:val="-3"/>
          <w:vertAlign w:val="baseline"/>
        </w:rPr>
        <w:t> </w:t>
      </w:r>
      <w:r>
        <w:rPr>
          <w:color w:val="005DA1"/>
          <w:u w:val="single" w:color="005DA1"/>
          <w:vertAlign w:val="superscript"/>
        </w:rPr>
        <w:t>745</w:t>
      </w:r>
      <w:r>
        <w:rPr>
          <w:color w:val="005DA1"/>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indentures</w:t>
      </w:r>
      <w:r>
        <w:rPr>
          <w:spacing w:val="-2"/>
          <w:vertAlign w:val="baseline"/>
        </w:rPr>
        <w:t> </w:t>
      </w:r>
      <w:r>
        <w:rPr>
          <w:vertAlign w:val="baseline"/>
        </w:rPr>
        <w:t>not</w:t>
      </w:r>
      <w:r>
        <w:rPr>
          <w:spacing w:val="-3"/>
          <w:vertAlign w:val="baseline"/>
        </w:rPr>
        <w:t> </w:t>
      </w:r>
      <w:r>
        <w:rPr>
          <w:rFonts w:ascii="Arial" w:hAnsi="Arial"/>
          <w:i/>
          <w:vertAlign w:val="baseline"/>
        </w:rPr>
        <w:t>inter</w:t>
      </w:r>
      <w:r>
        <w:rPr>
          <w:rFonts w:ascii="Arial" w:hAnsi="Arial"/>
          <w:i/>
          <w:spacing w:val="-2"/>
          <w:vertAlign w:val="baseline"/>
        </w:rPr>
        <w:t> </w:t>
      </w:r>
      <w:r>
        <w:rPr>
          <w:rFonts w:ascii="Arial" w:hAnsi="Arial"/>
          <w:i/>
          <w:vertAlign w:val="baseline"/>
        </w:rPr>
        <w:t>partes</w:t>
      </w:r>
      <w:r>
        <w:rPr>
          <w:vertAlign w:val="baseline"/>
        </w:rPr>
        <w:t>.</w:t>
      </w:r>
      <w:r>
        <w:rPr>
          <w:spacing w:val="-2"/>
          <w:vertAlign w:val="baseline"/>
        </w:rPr>
        <w:t> </w:t>
      </w:r>
      <w:r>
        <w:rPr>
          <w:color w:val="005DA1"/>
          <w:u w:val="single" w:color="005DA1"/>
          <w:vertAlign w:val="superscript"/>
        </w:rPr>
        <w:t>746</w:t>
      </w:r>
      <w:r>
        <w:rPr>
          <w:color w:val="005DA1"/>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of </w:t>
      </w:r>
      <w:bookmarkStart w:name="_bookmark1419" w:id="1421"/>
      <w:bookmarkEnd w:id="1421"/>
      <w:r>
        <w:rPr>
          <w:vertAlign w:val="baseline"/>
        </w:rPr>
        <w:t>such</w:t>
      </w:r>
      <w:r>
        <w:rPr>
          <w:vertAlign w:val="baseline"/>
        </w:rPr>
        <w:t> deeds, the grantee or covenantee never had to be named </w:t>
      </w:r>
      <w:r>
        <w:rPr>
          <w:rFonts w:ascii="Arial" w:hAnsi="Arial"/>
          <w:i/>
          <w:vertAlign w:val="baseline"/>
        </w:rPr>
        <w:t>as a party</w:t>
      </w:r>
      <w:r>
        <w:rPr>
          <w:vertAlign w:val="baseline"/>
        </w:rPr>
        <w:t>, and it was eventually </w:t>
      </w:r>
      <w:bookmarkStart w:name="_bookmark1420" w:id="1422"/>
      <w:bookmarkEnd w:id="1422"/>
      <w:r>
        <w:rPr>
          <w:vertAlign w:val="baseline"/>
        </w:rPr>
        <w:t>settled</w:t>
      </w:r>
      <w:r>
        <w:rPr>
          <w:vertAlign w:val="baseline"/>
        </w:rPr>
        <w:t> that he need not be named at all, so long as he was sufficiently designated. </w:t>
      </w:r>
      <w:r>
        <w:rPr>
          <w:color w:val="005DA1"/>
          <w:u w:val="single" w:color="005DA1"/>
          <w:vertAlign w:val="superscript"/>
        </w:rPr>
        <w:t>747</w:t>
      </w:r>
      <w:r>
        <w:rPr>
          <w:color w:val="005DA1"/>
          <w:vertAlign w:val="baseline"/>
        </w:rPr>
        <w:t> </w:t>
      </w:r>
      <w:r>
        <w:rPr>
          <w:vertAlign w:val="baseline"/>
        </w:rPr>
        <w:t>Deeds no longer have to be indented for any purpose </w:t>
      </w:r>
      <w:r>
        <w:rPr>
          <w:color w:val="005DA1"/>
          <w:u w:val="single" w:color="005DA1"/>
          <w:vertAlign w:val="superscript"/>
        </w:rPr>
        <w:t>748</w:t>
      </w:r>
      <w:r>
        <w:rPr>
          <w:vertAlign w:val="baseline"/>
        </w:rPr>
        <w:t>; but the law still distinguishes between deeds </w:t>
      </w:r>
      <w:r>
        <w:rPr>
          <w:rFonts w:ascii="Arial" w:hAnsi="Arial"/>
          <w:i/>
          <w:vertAlign w:val="baseline"/>
        </w:rPr>
        <w:t>inter partes </w:t>
      </w:r>
      <w:r>
        <w:rPr>
          <w:vertAlign w:val="baseline"/>
        </w:rPr>
        <w:t>and other deeds. That distinction has recently been restated as being one between a deed by which (i) “one or more of [the parties] makes a promise to the other” and (ii) one by which the parties </w:t>
      </w:r>
      <w:bookmarkStart w:name="_bookmark1421" w:id="1423"/>
      <w:bookmarkEnd w:id="1423"/>
      <w:r>
        <w:rPr>
          <w:vertAlign w:val="baseline"/>
        </w:rPr>
        <w:t>executing</w:t>
      </w:r>
      <w:r>
        <w:rPr>
          <w:vertAlign w:val="baseline"/>
        </w:rPr>
        <w:t> it “seek to use the document as a means for each of them to make unilateral promises to a person not a party to it.” </w:t>
      </w:r>
      <w:r>
        <w:rPr>
          <w:color w:val="005DA1"/>
          <w:u w:val="single" w:color="005DA1"/>
          <w:vertAlign w:val="superscript"/>
        </w:rPr>
        <w:t>749</w:t>
      </w:r>
      <w:r>
        <w:rPr>
          <w:color w:val="005DA1"/>
          <w:vertAlign w:val="baseline"/>
        </w:rPr>
        <w:t> </w:t>
      </w:r>
      <w:r>
        <w:rPr>
          <w:vertAlign w:val="baseline"/>
        </w:rPr>
        <w:t>In the former case, the document is in the traditional terminology a deed </w:t>
      </w:r>
      <w:bookmarkStart w:name="_bookmark1422" w:id="1424"/>
      <w:bookmarkEnd w:id="1424"/>
      <w:r>
        <w:rPr>
          <w:vertAlign w:val="baseline"/>
        </w:rPr>
      </w:r>
      <w:r>
        <w:rPr>
          <w:rFonts w:ascii="Arial" w:hAnsi="Arial"/>
          <w:i/>
          <w:vertAlign w:val="baseline"/>
        </w:rPr>
        <w:t>inter partes</w:t>
      </w:r>
      <w:r>
        <w:rPr>
          <w:vertAlign w:val="baseline"/>
        </w:rPr>
        <w:t>, not enforceable at common law by a person who is not a party to it; in the latter case it is enforceable by such a person. </w:t>
      </w:r>
      <w:r>
        <w:rPr>
          <w:color w:val="005DA1"/>
          <w:u w:val="single" w:color="005DA1"/>
          <w:vertAlign w:val="superscript"/>
        </w:rPr>
        <w:t>750</w:t>
      </w:r>
      <w:r>
        <w:rPr>
          <w:color w:val="005DA1"/>
          <w:vertAlign w:val="baseline"/>
        </w:rPr>
        <w:t> </w:t>
      </w:r>
      <w:r>
        <w:rPr>
          <w:vertAlign w:val="baseline"/>
        </w:rPr>
        <w:t>The old rule relating to indentures </w:t>
      </w:r>
      <w:r>
        <w:rPr>
          <w:rFonts w:ascii="Arial" w:hAnsi="Arial"/>
          <w:i/>
          <w:vertAlign w:val="baseline"/>
        </w:rPr>
        <w:t>inter partes </w:t>
      </w:r>
      <w:r>
        <w:rPr>
          <w:color w:val="005DA1"/>
          <w:u w:val="single" w:color="005DA1"/>
          <w:vertAlign w:val="superscript"/>
        </w:rPr>
        <w:t>751</w:t>
      </w:r>
      <w:r>
        <w:rPr>
          <w:color w:val="005DA1"/>
          <w:vertAlign w:val="baseline"/>
        </w:rPr>
        <w:t> </w:t>
      </w:r>
      <w:r>
        <w:rPr>
          <w:vertAlign w:val="baseline"/>
        </w:rPr>
        <w:t>still appears to apply</w:t>
      </w:r>
      <w:r>
        <w:rPr>
          <w:spacing w:val="-1"/>
          <w:vertAlign w:val="baseline"/>
        </w:rPr>
        <w:t> </w:t>
      </w:r>
      <w:r>
        <w:rPr>
          <w:vertAlign w:val="baseline"/>
        </w:rPr>
        <w:t>to</w:t>
      </w:r>
      <w:r>
        <w:rPr>
          <w:spacing w:val="-1"/>
          <w:vertAlign w:val="baseline"/>
        </w:rPr>
        <w:t> </w:t>
      </w:r>
      <w:r>
        <w:rPr>
          <w:vertAlign w:val="baseline"/>
        </w:rPr>
        <w:t>deeds</w:t>
      </w:r>
      <w:r>
        <w:rPr>
          <w:spacing w:val="-1"/>
          <w:vertAlign w:val="baseline"/>
        </w:rPr>
        <w:t> </w:t>
      </w:r>
      <w:r>
        <w:rPr>
          <w:rFonts w:ascii="Arial" w:hAnsi="Arial"/>
          <w:i/>
          <w:vertAlign w:val="baseline"/>
        </w:rPr>
        <w:t>inter</w:t>
      </w:r>
      <w:r>
        <w:rPr>
          <w:rFonts w:ascii="Arial" w:hAnsi="Arial"/>
          <w:i/>
          <w:spacing w:val="-1"/>
          <w:vertAlign w:val="baseline"/>
        </w:rPr>
        <w:t> </w:t>
      </w:r>
      <w:r>
        <w:rPr>
          <w:rFonts w:ascii="Arial" w:hAnsi="Arial"/>
          <w:i/>
          <w:vertAlign w:val="baseline"/>
        </w:rPr>
        <w:t>partes</w:t>
      </w:r>
      <w:r>
        <w:rPr>
          <w:rFonts w:ascii="Arial" w:hAnsi="Arial"/>
          <w:i/>
          <w:spacing w:val="-1"/>
          <w:vertAlign w:val="baseline"/>
        </w:rPr>
        <w:t> </w:t>
      </w:r>
      <w:r>
        <w:rPr>
          <w:vertAlign w:val="baseline"/>
        </w:rPr>
        <w:t>which</w:t>
      </w:r>
      <w:r>
        <w:rPr>
          <w:spacing w:val="-1"/>
          <w:vertAlign w:val="baseline"/>
        </w:rPr>
        <w:t> </w:t>
      </w:r>
      <w:r>
        <w:rPr>
          <w:vertAlign w:val="baseline"/>
        </w:rPr>
        <w:t>do</w:t>
      </w:r>
      <w:r>
        <w:rPr>
          <w:spacing w:val="-1"/>
          <w:vertAlign w:val="baseline"/>
        </w:rPr>
        <w:t> </w:t>
      </w:r>
      <w:r>
        <w:rPr>
          <w:vertAlign w:val="baseline"/>
        </w:rPr>
        <w:t>not</w:t>
      </w:r>
      <w:r>
        <w:rPr>
          <w:spacing w:val="-1"/>
          <w:vertAlign w:val="baseline"/>
        </w:rPr>
        <w:t> </w:t>
      </w:r>
      <w:r>
        <w:rPr>
          <w:vertAlign w:val="baseline"/>
        </w:rPr>
        <w:t>fall</w:t>
      </w:r>
      <w:r>
        <w:rPr>
          <w:spacing w:val="-1"/>
          <w:vertAlign w:val="baseline"/>
        </w:rPr>
        <w:t> </w:t>
      </w:r>
      <w:r>
        <w:rPr>
          <w:vertAlign w:val="baseline"/>
        </w:rPr>
        <w:t>within</w:t>
      </w:r>
      <w:r>
        <w:rPr>
          <w:spacing w:val="-1"/>
          <w:vertAlign w:val="baseline"/>
        </w:rPr>
        <w:t> </w:t>
      </w:r>
      <w:r>
        <w:rPr>
          <w:vertAlign w:val="baseline"/>
        </w:rPr>
        <w:t>the</w:t>
      </w:r>
      <w:r>
        <w:rPr>
          <w:spacing w:val="-1"/>
          <w:vertAlign w:val="baseline"/>
        </w:rPr>
        <w:t> </w:t>
      </w:r>
      <w:r>
        <w:rPr>
          <w:vertAlign w:val="baseline"/>
        </w:rPr>
        <w:t>provisions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discussed</w:t>
      </w:r>
      <w:r>
        <w:rPr>
          <w:spacing w:val="-1"/>
          <w:vertAlign w:val="baseline"/>
        </w:rPr>
        <w:t> </w:t>
      </w:r>
      <w:r>
        <w:rPr>
          <w:vertAlign w:val="baseline"/>
        </w:rPr>
        <w:t>below)</w:t>
      </w:r>
      <w:r>
        <w:rPr>
          <w:spacing w:val="-1"/>
          <w:vertAlign w:val="baseline"/>
        </w:rPr>
        <w:t> </w:t>
      </w:r>
      <w:r>
        <w:rPr>
          <w:vertAlign w:val="baseline"/>
        </w:rPr>
        <w:t>of</w:t>
      </w:r>
      <w:r>
        <w:rPr>
          <w:spacing w:val="-1"/>
          <w:vertAlign w:val="baseline"/>
        </w:rPr>
        <w:t> </w:t>
      </w:r>
      <w:r>
        <w:rPr>
          <w:vertAlign w:val="baseline"/>
        </w:rPr>
        <w:t>s.56(1)</w:t>
      </w:r>
      <w:r>
        <w:rPr>
          <w:spacing w:val="-1"/>
          <w:vertAlign w:val="baseline"/>
        </w:rPr>
        <w:t> </w:t>
      </w:r>
      <w:r>
        <w:rPr>
          <w:vertAlign w:val="baseline"/>
        </w:rPr>
        <w:t>of the Law of Property Act 1925.</w:t>
      </w:r>
    </w:p>
    <w:p>
      <w:pPr>
        <w:pStyle w:val="BodyText"/>
        <w:spacing w:before="76"/>
      </w:pPr>
    </w:p>
    <w:p>
      <w:pPr>
        <w:pStyle w:val="Heading2"/>
      </w:pPr>
      <w:r>
        <w:rPr/>
        <w:t>18-</w:t>
      </w:r>
      <w:r>
        <w:rPr>
          <w:spacing w:val="-5"/>
        </w:rPr>
        <w:t>128</w:t>
      </w:r>
    </w:p>
    <w:p>
      <w:pPr>
        <w:pStyle w:val="BodyText"/>
        <w:spacing w:line="235" w:lineRule="auto" w:before="202"/>
        <w:ind w:left="164" w:right="167"/>
        <w:jc w:val="both"/>
      </w:pPr>
      <w:bookmarkStart w:name="_bookmark1423" w:id="1425"/>
      <w:bookmarkEnd w:id="1425"/>
      <w:r>
        <w:rPr/>
      </w:r>
      <w:r>
        <w:rPr/>
        <w:t>The common law rule with regard to indentures </w:t>
      </w:r>
      <w:r>
        <w:rPr>
          <w:rFonts w:ascii="Arial" w:hAnsi="Arial"/>
          <w:i/>
        </w:rPr>
        <w:t>inter partes </w:t>
      </w:r>
      <w:r>
        <w:rPr/>
        <w:t>was modified by s.5 of the Real Property Act 1845, </w:t>
      </w:r>
      <w:r>
        <w:rPr>
          <w:color w:val="005DA1"/>
          <w:u w:val="single" w:color="005DA1"/>
          <w:vertAlign w:val="superscript"/>
        </w:rPr>
        <w:t>752</w:t>
      </w:r>
      <w:r>
        <w:rPr>
          <w:color w:val="005DA1"/>
          <w:vertAlign w:val="baseline"/>
        </w:rPr>
        <w:t> </w:t>
      </w:r>
      <w:r>
        <w:rPr>
          <w:vertAlign w:val="baseline"/>
        </w:rPr>
        <w:t>which provided that “under an indenture executed after the first day of October 1845 </w:t>
      </w:r>
      <w:r>
        <w:rPr>
          <w:vertAlign w:val="baseline"/>
        </w:rPr>
        <w:t>an immediate estate or interest in any tenements or hereditaments and the benefit of a condition or covenant respecting any tenements or hereditaments may be taken although the taker thereof be not </w:t>
      </w:r>
      <w:bookmarkStart w:name="_bookmark1424" w:id="1426"/>
      <w:bookmarkEnd w:id="1426"/>
      <w:r>
        <w:rPr>
          <w:vertAlign w:val="baseline"/>
        </w:rPr>
        <w:t>named</w:t>
      </w:r>
      <w:r>
        <w:rPr>
          <w:vertAlign w:val="baseline"/>
        </w:rPr>
        <w:t> a party to the said indenture.” This enactment was limited to estates or interests in, and to </w:t>
      </w:r>
      <w:bookmarkStart w:name="_bookmark1425" w:id="1427"/>
      <w:bookmarkEnd w:id="1427"/>
      <w:r>
        <w:rPr>
          <w:vertAlign w:val="baseline"/>
        </w:rPr>
        <w:t>conditions</w:t>
      </w:r>
      <w:r>
        <w:rPr>
          <w:vertAlign w:val="baseline"/>
        </w:rPr>
        <w:t> or covenants respecting, tenements or hereditaments, i.e. to real property. </w:t>
      </w:r>
      <w:r>
        <w:rPr>
          <w:color w:val="005DA1"/>
          <w:u w:val="single" w:color="005DA1"/>
          <w:vertAlign w:val="superscript"/>
        </w:rPr>
        <w:t>753</w:t>
      </w:r>
      <w:r>
        <w:rPr>
          <w:color w:val="005DA1"/>
          <w:vertAlign w:val="baseline"/>
        </w:rPr>
        <w:t> </w:t>
      </w:r>
      <w:r>
        <w:rPr>
          <w:vertAlign w:val="baseline"/>
        </w:rPr>
        <w:t>It was later held that the enactment was further limited, in the case of covenants, to those which ran with the </w:t>
      </w:r>
      <w:r>
        <w:rPr>
          <w:spacing w:val="-2"/>
          <w:vertAlign w:val="baseline"/>
        </w:rPr>
        <w:t>land.</w:t>
      </w:r>
    </w:p>
    <w:p>
      <w:pPr>
        <w:spacing w:line="111" w:lineRule="exact" w:before="0"/>
        <w:ind w:left="165" w:right="0" w:firstLine="0"/>
        <w:jc w:val="left"/>
        <w:rPr>
          <w:sz w:val="12"/>
        </w:rPr>
      </w:pPr>
      <w:r>
        <w:rPr>
          <w:color w:val="005DA1"/>
          <w:spacing w:val="-5"/>
          <w:sz w:val="12"/>
          <w:u w:val="single" w:color="005DA1"/>
        </w:rPr>
        <w:t>754</w:t>
      </w:r>
    </w:p>
    <w:p>
      <w:pPr>
        <w:pStyle w:val="BodyText"/>
        <w:rPr>
          <w:sz w:val="12"/>
        </w:rPr>
      </w:pPr>
    </w:p>
    <w:p>
      <w:pPr>
        <w:pStyle w:val="BodyText"/>
        <w:rPr>
          <w:sz w:val="12"/>
        </w:rPr>
      </w:pPr>
    </w:p>
    <w:p>
      <w:pPr>
        <w:pStyle w:val="BodyText"/>
        <w:spacing w:before="9"/>
        <w:rPr>
          <w:sz w:val="12"/>
        </w:rPr>
      </w:pPr>
    </w:p>
    <w:p>
      <w:pPr>
        <w:pStyle w:val="Heading2"/>
      </w:pPr>
      <w:r>
        <w:rPr/>
        <w:t>18-</w:t>
      </w:r>
      <w:r>
        <w:rPr>
          <w:spacing w:val="-5"/>
        </w:rPr>
        <w:t>129</w:t>
      </w:r>
    </w:p>
    <w:p>
      <w:pPr>
        <w:pStyle w:val="BodyText"/>
        <w:spacing w:line="235" w:lineRule="auto" w:before="203"/>
        <w:ind w:left="165" w:right="167"/>
        <w:jc w:val="both"/>
      </w:pPr>
      <w:r>
        <w:rPr/>
        <w:t>Section 5 of the 1845 Act was replaced by s.56 of the Law of Property Act 1925, subs.(1) of </w:t>
      </w:r>
      <w:r>
        <w:rPr/>
        <w:t>which provides:</w:t>
      </w:r>
      <w:r>
        <w:rPr>
          <w:spacing w:val="1"/>
        </w:rPr>
        <w:t> </w:t>
      </w:r>
      <w:r>
        <w:rPr/>
        <w:t>“A</w:t>
      </w:r>
      <w:r>
        <w:rPr>
          <w:spacing w:val="1"/>
        </w:rPr>
        <w:t> </w:t>
      </w:r>
      <w:r>
        <w:rPr/>
        <w:t>person</w:t>
      </w:r>
      <w:r>
        <w:rPr>
          <w:spacing w:val="1"/>
        </w:rPr>
        <w:t> </w:t>
      </w:r>
      <w:r>
        <w:rPr/>
        <w:t>may</w:t>
      </w:r>
      <w:r>
        <w:rPr>
          <w:spacing w:val="1"/>
        </w:rPr>
        <w:t> </w:t>
      </w:r>
      <w:r>
        <w:rPr/>
        <w:t>take</w:t>
      </w:r>
      <w:r>
        <w:rPr>
          <w:spacing w:val="1"/>
        </w:rPr>
        <w:t> </w:t>
      </w:r>
      <w:r>
        <w:rPr/>
        <w:t>an</w:t>
      </w:r>
      <w:r>
        <w:rPr>
          <w:spacing w:val="1"/>
        </w:rPr>
        <w:t> </w:t>
      </w:r>
      <w:r>
        <w:rPr/>
        <w:t>immediate</w:t>
      </w:r>
      <w:r>
        <w:rPr>
          <w:spacing w:val="1"/>
        </w:rPr>
        <w:t> </w:t>
      </w:r>
      <w:r>
        <w:rPr/>
        <w:t>or</w:t>
      </w:r>
      <w:r>
        <w:rPr>
          <w:spacing w:val="1"/>
        </w:rPr>
        <w:t> </w:t>
      </w:r>
      <w:r>
        <w:rPr/>
        <w:t>other</w:t>
      </w:r>
      <w:r>
        <w:rPr>
          <w:spacing w:val="1"/>
        </w:rPr>
        <w:t> </w:t>
      </w:r>
      <w:r>
        <w:rPr/>
        <w:t>interest</w:t>
      </w:r>
      <w:r>
        <w:rPr>
          <w:spacing w:val="1"/>
        </w:rPr>
        <w:t> </w:t>
      </w:r>
      <w:r>
        <w:rPr/>
        <w:t>in</w:t>
      </w:r>
      <w:r>
        <w:rPr>
          <w:spacing w:val="1"/>
        </w:rPr>
        <w:t> </w:t>
      </w:r>
      <w:r>
        <w:rPr/>
        <w:t>land</w:t>
      </w:r>
      <w:r>
        <w:rPr>
          <w:spacing w:val="1"/>
        </w:rPr>
        <w:t> </w:t>
      </w:r>
      <w:r>
        <w:rPr/>
        <w:t>or</w:t>
      </w:r>
      <w:r>
        <w:rPr>
          <w:spacing w:val="1"/>
        </w:rPr>
        <w:t> </w:t>
      </w:r>
      <w:r>
        <w:rPr/>
        <w:t>other</w:t>
      </w:r>
      <w:r>
        <w:rPr>
          <w:spacing w:val="1"/>
        </w:rPr>
        <w:t> </w:t>
      </w:r>
      <w:r>
        <w:rPr/>
        <w:t>property,</w:t>
      </w:r>
      <w:r>
        <w:rPr>
          <w:spacing w:val="1"/>
        </w:rPr>
        <w:t> </w:t>
      </w:r>
      <w:r>
        <w:rPr/>
        <w:t>or</w:t>
      </w:r>
      <w:r>
        <w:rPr>
          <w:spacing w:val="1"/>
        </w:rPr>
        <w:t> </w:t>
      </w:r>
      <w:r>
        <w:rPr/>
        <w:t>the</w:t>
      </w:r>
      <w:r>
        <w:rPr>
          <w:spacing w:val="1"/>
        </w:rPr>
        <w:t> </w:t>
      </w:r>
      <w:r>
        <w:rPr/>
        <w:t>benefit</w:t>
      </w:r>
      <w:r>
        <w:rPr>
          <w:spacing w:val="1"/>
        </w:rPr>
        <w:t> </w:t>
      </w:r>
      <w:r>
        <w:rPr>
          <w:spacing w:val="-5"/>
        </w:rPr>
        <w:t>of</w:t>
      </w:r>
    </w:p>
    <w:p>
      <w:pPr>
        <w:pStyle w:val="BodyText"/>
        <w:spacing w:after="0" w:line="235" w:lineRule="auto"/>
        <w:jc w:val="both"/>
        <w:sectPr>
          <w:headerReference w:type="default" r:id="rId21"/>
          <w:pgSz w:w="11900" w:h="16840"/>
          <w:pgMar w:header="971" w:footer="0" w:top="1160" w:bottom="280" w:left="1275" w:right="1275"/>
          <w:pgNumType w:start="1"/>
        </w:sectPr>
      </w:pPr>
    </w:p>
    <w:p>
      <w:pPr>
        <w:pStyle w:val="BodyText"/>
        <w:spacing w:before="124"/>
      </w:pPr>
    </w:p>
    <w:p>
      <w:pPr>
        <w:pStyle w:val="BodyText"/>
        <w:spacing w:line="235" w:lineRule="auto" w:before="1"/>
        <w:ind w:left="164" w:right="167"/>
        <w:jc w:val="both"/>
      </w:pPr>
      <w:r>
        <w:rPr/>
        <w:t>any condition, right of entry, covenant or agreement over or respecting land or other </w:t>
      </w:r>
      <w:r>
        <w:rPr/>
        <w:t>property, although he may not be named as a party to the conveyance or other instrument.” The 1925 Act further defines “property” to include “any thing in action.”s.205(1)(xx) In </w:t>
      </w:r>
      <w:r>
        <w:rPr>
          <w:rFonts w:ascii="Arial" w:hAnsi="Arial"/>
          <w:i/>
        </w:rPr>
        <w:t>Beswick v Beswick </w:t>
      </w:r>
      <w:r>
        <w:rPr/>
        <w:t>Lord Denning M.R. and Danckwerts L.J. held that a promise in writing by A to B to pay a sum of money to </w:t>
      </w:r>
      <w:bookmarkStart w:name="_bookmark1426" w:id="1428"/>
      <w:bookmarkEnd w:id="1428"/>
      <w:r>
        <w:rPr/>
        <w:t>C</w:t>
      </w:r>
      <w:r>
        <w:rPr/>
        <w:t> would, by virtue of this definition of “property,” be within s.56(1) and so give C a right to enforce the promise against A. </w:t>
      </w:r>
      <w:r>
        <w:rPr>
          <w:color w:val="005DA1"/>
          <w:u w:val="single" w:color="005DA1"/>
          <w:vertAlign w:val="superscript"/>
        </w:rPr>
        <w:t>755</w:t>
      </w:r>
      <w:r>
        <w:rPr>
          <w:color w:val="005DA1"/>
          <w:vertAlign w:val="baseline"/>
        </w:rPr>
        <w:t> </w:t>
      </w:r>
      <w:r>
        <w:rPr>
          <w:vertAlign w:val="baseline"/>
        </w:rPr>
        <w:t>But in the House of Lords this view was rejected, principally on the ground that the definition of “property” in the Act was stated to apply “unless the context otherwise requires.” The context in s.56(1) did otherwise require, since s.56(1) was part of a consolidating Act and was </w:t>
      </w:r>
      <w:bookmarkStart w:name="_bookmark1427" w:id="1429"/>
      <w:bookmarkEnd w:id="1429"/>
      <w:r>
        <w:rPr>
          <w:vertAlign w:val="baseline"/>
        </w:rPr>
        <w:t>designed</w:t>
      </w:r>
      <w:r>
        <w:rPr>
          <w:vertAlign w:val="baseline"/>
        </w:rPr>
        <w:t> to reproduce s.5 of the 1845 Act, which admittedly did not have the wide effect suggested </w:t>
      </w:r>
      <w:bookmarkStart w:name="_bookmark1428" w:id="1430"/>
      <w:bookmarkEnd w:id="1430"/>
      <w:r>
        <w:rPr>
          <w:vertAlign w:val="baseline"/>
        </w:rPr>
        <w:t>for</w:t>
      </w:r>
      <w:r>
        <w:rPr>
          <w:vertAlign w:val="baseline"/>
        </w:rPr>
        <w:t> s.56(1). </w:t>
      </w:r>
      <w:r>
        <w:rPr>
          <w:color w:val="005DA1"/>
          <w:u w:val="single" w:color="005DA1"/>
          <w:vertAlign w:val="superscript"/>
        </w:rPr>
        <w:t>756</w:t>
      </w:r>
      <w:r>
        <w:rPr>
          <w:color w:val="005DA1"/>
          <w:vertAlign w:val="baseline"/>
        </w:rPr>
        <w:t> </w:t>
      </w:r>
      <w:r>
        <w:rPr>
          <w:vertAlign w:val="baseline"/>
        </w:rPr>
        <w:t>There was, moreover, nothing in the legislative history of s.56(1) to support the view </w:t>
      </w:r>
      <w:bookmarkStart w:name="_bookmark1429" w:id="1431"/>
      <w:bookmarkEnd w:id="1431"/>
      <w:r>
        <w:rPr>
          <w:vertAlign w:val="baseline"/>
        </w:rPr>
        <w:t>that</w:t>
      </w:r>
      <w:r>
        <w:rPr>
          <w:vertAlign w:val="baseline"/>
        </w:rPr>
        <w:t> the subsection was intended to abolish the doctrine of privity in relation to written contracts </w:t>
      </w:r>
      <w:r>
        <w:rPr>
          <w:color w:val="005DA1"/>
          <w:u w:val="single" w:color="005DA1"/>
          <w:vertAlign w:val="superscript"/>
        </w:rPr>
        <w:t>757</w:t>
      </w:r>
      <w:r>
        <w:rPr>
          <w:vertAlign w:val="baseline"/>
        </w:rPr>
        <w:t>; </w:t>
      </w:r>
      <w:bookmarkStart w:name="_bookmark1430" w:id="1432"/>
      <w:bookmarkEnd w:id="1432"/>
      <w:r>
        <w:rPr>
          <w:vertAlign w:val="baseline"/>
        </w:rPr>
        <w:t>indeed,</w:t>
      </w:r>
      <w:r>
        <w:rPr>
          <w:vertAlign w:val="baseline"/>
        </w:rPr>
        <w:t> that legislative history gives some support to the view that no such change was intended. </w:t>
      </w:r>
      <w:r>
        <w:rPr>
          <w:color w:val="005DA1"/>
          <w:u w:val="single" w:color="005DA1"/>
          <w:vertAlign w:val="superscript"/>
        </w:rPr>
        <w:t>758</w:t>
      </w:r>
      <w:r>
        <w:rPr>
          <w:color w:val="005DA1"/>
          <w:vertAlign w:val="baseline"/>
        </w:rPr>
        <w:t> </w:t>
      </w:r>
      <w:bookmarkStart w:name="_bookmark1431" w:id="1433"/>
      <w:bookmarkEnd w:id="1433"/>
      <w:r>
        <w:rPr>
          <w:color w:val="005DA1"/>
          <w:w w:val="92"/>
          <w:vertAlign w:val="baseline"/>
        </w:rPr>
      </w:r>
      <w:r>
        <w:rPr>
          <w:vertAlign w:val="baseline"/>
        </w:rPr>
        <w:t>The enacting words </w:t>
      </w:r>
      <w:r>
        <w:rPr>
          <w:color w:val="005DA1"/>
          <w:u w:val="single" w:color="005DA1"/>
          <w:vertAlign w:val="superscript"/>
        </w:rPr>
        <w:t>759</w:t>
      </w:r>
      <w:r>
        <w:rPr>
          <w:color w:val="005DA1"/>
          <w:vertAlign w:val="baseline"/>
        </w:rPr>
        <w:t> </w:t>
      </w:r>
      <w:r>
        <w:rPr>
          <w:vertAlign w:val="baseline"/>
        </w:rPr>
        <w:t>of s.56(1) also give some support to this view. They refer to the case in which a person is not </w:t>
      </w:r>
      <w:r>
        <w:rPr>
          <w:rFonts w:ascii="Arial" w:hAnsi="Arial"/>
          <w:i/>
          <w:vertAlign w:val="baseline"/>
        </w:rPr>
        <w:t>named as </w:t>
      </w:r>
      <w:r>
        <w:rPr>
          <w:vertAlign w:val="baseline"/>
        </w:rPr>
        <w:t>a party: not to the case in which he </w:t>
      </w:r>
      <w:r>
        <w:rPr>
          <w:rFonts w:ascii="Arial" w:hAnsi="Arial"/>
          <w:i/>
          <w:vertAlign w:val="baseline"/>
        </w:rPr>
        <w:t>is not </w:t>
      </w:r>
      <w:r>
        <w:rPr>
          <w:vertAlign w:val="baseline"/>
        </w:rPr>
        <w:t>a party. </w:t>
      </w:r>
      <w:r>
        <w:rPr>
          <w:color w:val="005DA1"/>
          <w:u w:val="single" w:color="005DA1"/>
          <w:vertAlign w:val="superscript"/>
        </w:rPr>
        <w:t>760</w:t>
      </w:r>
    </w:p>
    <w:p>
      <w:pPr>
        <w:pStyle w:val="BodyText"/>
        <w:spacing w:before="76"/>
      </w:pPr>
    </w:p>
    <w:p>
      <w:pPr>
        <w:pStyle w:val="Heading2"/>
      </w:pPr>
      <w:r>
        <w:rPr/>
        <w:t>18-</w:t>
      </w:r>
      <w:r>
        <w:rPr>
          <w:spacing w:val="-5"/>
        </w:rPr>
        <w:t>130</w:t>
      </w:r>
    </w:p>
    <w:p>
      <w:pPr>
        <w:pStyle w:val="BodyText"/>
        <w:spacing w:line="235" w:lineRule="auto" w:before="202"/>
        <w:ind w:left="164" w:right="167"/>
        <w:jc w:val="both"/>
      </w:pPr>
      <w:bookmarkStart w:name="_bookmark1432" w:id="1434"/>
      <w:bookmarkEnd w:id="1434"/>
      <w:r>
        <w:rPr/>
      </w:r>
      <w:r>
        <w:rPr/>
        <w:t>Section 56(1) therefore does not apply to a bare promise in writing by A to B to pay a sum of </w:t>
      </w:r>
      <w:r>
        <w:rPr/>
        <w:t>money</w:t>
      </w:r>
      <w:r>
        <w:rPr>
          <w:spacing w:val="40"/>
        </w:rPr>
        <w:t> </w:t>
      </w:r>
      <w:r>
        <w:rPr/>
        <w:t>to C; and the correctness of a number of previous decisions to this effect </w:t>
      </w:r>
      <w:r>
        <w:rPr>
          <w:color w:val="005DA1"/>
          <w:u w:val="single" w:color="005DA1"/>
          <w:vertAlign w:val="superscript"/>
        </w:rPr>
        <w:t>761</w:t>
      </w:r>
      <w:r>
        <w:rPr>
          <w:color w:val="005DA1"/>
          <w:vertAlign w:val="baseline"/>
        </w:rPr>
        <w:t> </w:t>
      </w:r>
      <w:r>
        <w:rPr>
          <w:vertAlign w:val="baseline"/>
        </w:rPr>
        <w:t>is reaffirmed by the House of Lords in </w:t>
      </w:r>
      <w:r>
        <w:rPr>
          <w:rFonts w:ascii="Arial"/>
          <w:i/>
          <w:vertAlign w:val="baseline"/>
        </w:rPr>
        <w:t>Beswick v Beswick</w:t>
      </w:r>
      <w:r>
        <w:rPr>
          <w:vertAlign w:val="baseline"/>
        </w:rPr>
        <w:t>. But the question, to what other cases the subsection does </w:t>
      </w:r>
      <w:bookmarkStart w:name="_bookmark1433" w:id="1435"/>
      <w:bookmarkEnd w:id="1435"/>
      <w:r>
        <w:rPr>
          <w:vertAlign w:val="baseline"/>
        </w:rPr>
        <w:t>apply,</w:t>
      </w:r>
      <w:r>
        <w:rPr>
          <w:vertAlign w:val="baseline"/>
        </w:rPr>
        <w:t> remains one of great difficulty. There is support in the speeches in </w:t>
      </w:r>
      <w:r>
        <w:rPr>
          <w:rFonts w:ascii="Arial"/>
          <w:i/>
          <w:vertAlign w:val="baseline"/>
        </w:rPr>
        <w:t>Beswick v Beswick </w:t>
      </w:r>
      <w:r>
        <w:rPr>
          <w:vertAlign w:val="baseline"/>
        </w:rPr>
        <w:t>for the </w:t>
      </w:r>
      <w:bookmarkStart w:name="_bookmark1434" w:id="1436"/>
      <w:bookmarkEnd w:id="1436"/>
      <w:r>
        <w:rPr>
          <w:vertAlign w:val="baseline"/>
        </w:rPr>
        <w:t>following</w:t>
      </w:r>
      <w:r>
        <w:rPr>
          <w:vertAlign w:val="baseline"/>
        </w:rPr>
        <w:t> limitations on the scope of s.56(1): namely, that it applies only (1) to real property </w:t>
      </w:r>
      <w:r>
        <w:rPr>
          <w:color w:val="005DA1"/>
          <w:u w:val="single" w:color="005DA1"/>
          <w:vertAlign w:val="superscript"/>
        </w:rPr>
        <w:t>762</w:t>
      </w:r>
      <w:r>
        <w:rPr>
          <w:color w:val="005DA1"/>
          <w:vertAlign w:val="baseline"/>
        </w:rPr>
        <w:t> </w:t>
      </w:r>
      <w:r>
        <w:rPr>
          <w:vertAlign w:val="baseline"/>
        </w:rPr>
        <w:t>(2) to </w:t>
      </w:r>
      <w:bookmarkStart w:name="_bookmark1435" w:id="1437"/>
      <w:bookmarkEnd w:id="1437"/>
      <w:r>
        <w:rPr>
          <w:vertAlign w:val="baseline"/>
        </w:rPr>
        <w:t>covenants</w:t>
      </w:r>
      <w:r>
        <w:rPr>
          <w:vertAlign w:val="baseline"/>
        </w:rPr>
        <w:t> running with the land </w:t>
      </w:r>
      <w:r>
        <w:rPr>
          <w:color w:val="005DA1"/>
          <w:u w:val="single" w:color="005DA1"/>
          <w:vertAlign w:val="superscript"/>
        </w:rPr>
        <w:t>763</w:t>
      </w:r>
      <w:r>
        <w:rPr>
          <w:vertAlign w:val="baseline"/>
        </w:rPr>
        <w:t>; (3) to cases where the instrument is not merely for the benefit of </w:t>
      </w:r>
      <w:bookmarkStart w:name="_bookmark1436" w:id="1438"/>
      <w:bookmarkEnd w:id="1438"/>
      <w:r>
        <w:rPr>
          <w:vertAlign w:val="baseline"/>
        </w:rPr>
        <w:t>the</w:t>
      </w:r>
      <w:r>
        <w:rPr>
          <w:vertAlign w:val="baseline"/>
        </w:rPr>
        <w:t> third party but purports to contain a grant to or covenant with him</w:t>
      </w:r>
      <w:r>
        <w:rPr>
          <w:spacing w:val="-1"/>
          <w:vertAlign w:val="baseline"/>
        </w:rPr>
        <w:t> </w:t>
      </w:r>
      <w:r>
        <w:rPr>
          <w:color w:val="005DA1"/>
          <w:u w:val="single" w:color="005DA1"/>
          <w:vertAlign w:val="superscript"/>
        </w:rPr>
        <w:t>764</w:t>
      </w:r>
      <w:r>
        <w:rPr>
          <w:vertAlign w:val="baseline"/>
        </w:rPr>
        <w:t>; and (4) to deeds strictly </w:t>
      </w:r>
      <w:r>
        <w:rPr>
          <w:rFonts w:ascii="Arial"/>
          <w:i/>
          <w:vertAlign w:val="baseline"/>
        </w:rPr>
        <w:t>inter partes</w:t>
      </w:r>
      <w:r>
        <w:rPr>
          <w:vertAlign w:val="baseline"/>
        </w:rPr>
        <w:t>. </w:t>
      </w:r>
      <w:r>
        <w:rPr>
          <w:color w:val="005DA1"/>
          <w:u w:val="single" w:color="005DA1"/>
          <w:vertAlign w:val="superscript"/>
        </w:rPr>
        <w:t>765</w:t>
      </w:r>
      <w:r>
        <w:rPr>
          <w:color w:val="005DA1"/>
          <w:vertAlign w:val="baseline"/>
        </w:rPr>
        <w:t> </w:t>
      </w:r>
      <w:r>
        <w:rPr>
          <w:vertAlign w:val="baseline"/>
        </w:rPr>
        <w:t>But there is no clear majority in the speeches in favour of the imposition of all, some or even one of these restrictions, so that the precise scope of the subsection has not been clarified. </w:t>
      </w:r>
      <w:bookmarkStart w:name="_bookmark1437" w:id="1439"/>
      <w:bookmarkEnd w:id="1439"/>
      <w:r>
        <w:rPr>
          <w:vertAlign w:val="baseline"/>
        </w:rPr>
        <w:t>There</w:t>
      </w:r>
      <w:r>
        <w:rPr>
          <w:vertAlign w:val="baseline"/>
        </w:rPr>
        <w:t> appear to be only three reported cases in which s.56(1) has actually been applied. The first </w:t>
      </w:r>
      <w:bookmarkStart w:name="_bookmark1438" w:id="1440"/>
      <w:bookmarkEnd w:id="1440"/>
      <w:r>
        <w:rPr>
          <w:vertAlign w:val="baseline"/>
        </w:rPr>
        <w:t>case</w:t>
      </w:r>
      <w:r>
        <w:rPr>
          <w:vertAlign w:val="baseline"/>
        </w:rPr>
        <w:t> </w:t>
      </w:r>
      <w:r>
        <w:rPr>
          <w:color w:val="005DA1"/>
          <w:u w:val="single" w:color="005DA1"/>
          <w:vertAlign w:val="superscript"/>
        </w:rPr>
        <w:t>766</w:t>
      </w:r>
      <w:r>
        <w:rPr>
          <w:color w:val="005DA1"/>
          <w:vertAlign w:val="baseline"/>
        </w:rPr>
        <w:t> </w:t>
      </w:r>
      <w:r>
        <w:rPr>
          <w:vertAlign w:val="baseline"/>
        </w:rPr>
        <w:t>is consistent with all four of the above limitations, the second </w:t>
      </w:r>
      <w:r>
        <w:rPr>
          <w:color w:val="005DA1"/>
          <w:u w:val="single" w:color="005DA1"/>
          <w:vertAlign w:val="superscript"/>
        </w:rPr>
        <w:t>767</w:t>
      </w:r>
      <w:r>
        <w:rPr>
          <w:color w:val="005DA1"/>
          <w:vertAlign w:val="baseline"/>
        </w:rPr>
        <w:t> </w:t>
      </w:r>
      <w:r>
        <w:rPr>
          <w:vertAlign w:val="baseline"/>
        </w:rPr>
        <w:t>case is consistent only with the last two and it is not clear whether the third is consistent with any of them. </w:t>
      </w:r>
      <w:r>
        <w:rPr>
          <w:color w:val="005DA1"/>
          <w:u w:val="single" w:color="005DA1"/>
          <w:vertAlign w:val="superscript"/>
        </w:rPr>
        <w:t>768</w:t>
      </w:r>
      <w:r>
        <w:rPr>
          <w:color w:val="005DA1"/>
          <w:vertAlign w:val="baseline"/>
        </w:rPr>
        <w:t> </w:t>
      </w:r>
      <w:r>
        <w:rPr>
          <w:vertAlign w:val="baseline"/>
        </w:rPr>
        <w:t>The third limitation </w:t>
      </w:r>
      <w:r>
        <w:rPr>
          <w:color w:val="005DA1"/>
          <w:u w:val="single" w:color="005DA1"/>
          <w:vertAlign w:val="superscript"/>
        </w:rPr>
        <w:t>769</w:t>
      </w:r>
      <w:r>
        <w:rPr>
          <w:color w:val="005DA1"/>
          <w:vertAlign w:val="baseline"/>
        </w:rPr>
        <w:t> </w:t>
      </w:r>
      <w:bookmarkStart w:name="_bookmark1439" w:id="1441"/>
      <w:bookmarkEnd w:id="1441"/>
      <w:r>
        <w:rPr>
          <w:color w:val="005DA1"/>
          <w:spacing w:val="21"/>
          <w:vertAlign w:val="baseline"/>
        </w:rPr>
      </w:r>
      <w:r>
        <w:rPr>
          <w:vertAlign w:val="baseline"/>
        </w:rPr>
        <w:t>was regarded as the operative one in the first two of the above three cases and in a number of other cases in which the courts have refused to apply the subsection </w:t>
      </w:r>
      <w:r>
        <w:rPr>
          <w:color w:val="005DA1"/>
          <w:u w:val="single" w:color="005DA1"/>
          <w:vertAlign w:val="superscript"/>
        </w:rPr>
        <w:t>770</w:t>
      </w:r>
      <w:r>
        <w:rPr>
          <w:vertAlign w:val="baseline"/>
        </w:rPr>
        <w:t>; and as it was, at any rate,</w:t>
      </w:r>
      <w:r>
        <w:rPr>
          <w:spacing w:val="40"/>
          <w:vertAlign w:val="baseline"/>
        </w:rPr>
        <w:t> </w:t>
      </w:r>
      <w:r>
        <w:rPr>
          <w:vertAlign w:val="baseline"/>
        </w:rPr>
        <w:t>not decisively rejected in </w:t>
      </w:r>
      <w:r>
        <w:rPr>
          <w:rFonts w:ascii="Arial"/>
          <w:i/>
          <w:vertAlign w:val="baseline"/>
        </w:rPr>
        <w:t>Beswick v Beswick</w:t>
      </w:r>
      <w:r>
        <w:rPr>
          <w:vertAlign w:val="baseline"/>
        </w:rPr>
        <w:t>, it is probable that the subsection will be applied only where the requirements of this limitation are satisfied. There is also much to be said on historical grounds for the fourth limitation, which is consistent with all the cases, though it does not form a ground of decision in any of them. The scope of s.56(1) is further limited by a rule which it was not </w:t>
      </w:r>
      <w:bookmarkStart w:name="_bookmark1440" w:id="1442"/>
      <w:bookmarkEnd w:id="1442"/>
      <w:r>
        <w:rPr>
          <w:vertAlign w:val="baseline"/>
        </w:rPr>
        <w:t>necessary</w:t>
      </w:r>
      <w:r>
        <w:rPr>
          <w:vertAlign w:val="baseline"/>
        </w:rPr>
        <w:t> to consider in </w:t>
      </w:r>
      <w:r>
        <w:rPr>
          <w:rFonts w:ascii="Arial"/>
          <w:i/>
          <w:vertAlign w:val="baseline"/>
        </w:rPr>
        <w:t>Beswick v Beswick</w:t>
      </w:r>
      <w:r>
        <w:rPr>
          <w:vertAlign w:val="baseline"/>
        </w:rPr>
        <w:t>, namely, that a person cannot take the benefit of a </w:t>
      </w:r>
      <w:bookmarkStart w:name="_bookmark1441" w:id="1443"/>
      <w:bookmarkEnd w:id="1443"/>
      <w:r>
        <w:rPr>
          <w:vertAlign w:val="baseline"/>
        </w:rPr>
        <w:t>covenant</w:t>
      </w:r>
      <w:r>
        <w:rPr>
          <w:vertAlign w:val="baseline"/>
        </w:rPr>
        <w:t> under the subsection unless he, or his predecessor in title, was in existence </w:t>
      </w:r>
      <w:r>
        <w:rPr>
          <w:color w:val="005DA1"/>
          <w:u w:val="single" w:color="005DA1"/>
          <w:vertAlign w:val="superscript"/>
        </w:rPr>
        <w:t>771</w:t>
      </w:r>
      <w:r>
        <w:rPr>
          <w:color w:val="005DA1"/>
          <w:vertAlign w:val="baseline"/>
        </w:rPr>
        <w:t> </w:t>
      </w:r>
      <w:r>
        <w:rPr>
          <w:vertAlign w:val="baseline"/>
        </w:rPr>
        <w:t>and identifiable in accordance with the terms of the instrument at the time when it was made. </w:t>
      </w:r>
      <w:r>
        <w:rPr>
          <w:color w:val="005DA1"/>
          <w:u w:val="single" w:color="005DA1"/>
          <w:vertAlign w:val="superscript"/>
        </w:rPr>
        <w:t>772</w:t>
      </w:r>
    </w:p>
    <w:p>
      <w:pPr>
        <w:pStyle w:val="BodyText"/>
      </w:pPr>
    </w:p>
    <w:p>
      <w:pPr>
        <w:pStyle w:val="BodyText"/>
        <w:spacing w:before="31"/>
      </w:pPr>
    </w:p>
    <w:p>
      <w:pPr>
        <w:spacing w:before="0"/>
        <w:ind w:left="165" w:right="0" w:firstLine="0"/>
        <w:jc w:val="left"/>
        <w:rPr>
          <w:rFonts w:ascii="Arial"/>
          <w:b/>
          <w:sz w:val="18"/>
        </w:rPr>
      </w:pPr>
      <w:bookmarkStart w:name="_bookmark1442" w:id="1444"/>
      <w:bookmarkEnd w:id="1444"/>
      <w:r>
        <w:rPr/>
      </w:r>
      <w:r>
        <w:rPr>
          <w:rFonts w:ascii="Arial"/>
          <w:b/>
          <w:sz w:val="18"/>
        </w:rPr>
        <w:t>Life insurance </w:t>
      </w:r>
      <w:r>
        <w:rPr>
          <w:rFonts w:ascii="Arial"/>
          <w:b/>
          <w:color w:val="005DA1"/>
          <w:spacing w:val="-5"/>
          <w:sz w:val="18"/>
          <w:u w:val="single" w:color="005DA1"/>
          <w:vertAlign w:val="superscript"/>
        </w:rPr>
        <w:t>773</w:t>
      </w:r>
    </w:p>
    <w:p>
      <w:pPr>
        <w:pStyle w:val="BodyText"/>
        <w:spacing w:before="41"/>
        <w:rPr>
          <w:rFonts w:ascii="Arial"/>
          <w:b/>
          <w:sz w:val="18"/>
        </w:rPr>
      </w:pPr>
    </w:p>
    <w:p>
      <w:pPr>
        <w:pStyle w:val="Heading2"/>
      </w:pPr>
      <w:r>
        <w:rPr/>
        <w:t>18-</w:t>
      </w:r>
      <w:r>
        <w:rPr>
          <w:spacing w:val="-5"/>
        </w:rPr>
        <w:t>131</w:t>
      </w:r>
    </w:p>
    <w:p>
      <w:pPr>
        <w:pStyle w:val="BodyText"/>
        <w:spacing w:line="235" w:lineRule="auto" w:before="203"/>
        <w:ind w:left="164" w:right="167"/>
        <w:jc w:val="both"/>
      </w:pPr>
      <w:r>
        <w:rPr/>
        <w:t>Section 11 of the Married Women’s Property Act 1882 provides that where a man insures his life for </w:t>
      </w:r>
      <w:bookmarkStart w:name="_bookmark1443" w:id="1445"/>
      <w:bookmarkEnd w:id="1445"/>
      <w:r>
        <w:rPr/>
        <w:t>the</w:t>
      </w:r>
      <w:r>
        <w:rPr/>
        <w:t> benefit of his wife or children, or where a woman insures her life for the benefit of her husband or children, </w:t>
      </w:r>
      <w:r>
        <w:rPr>
          <w:color w:val="005DA1"/>
          <w:u w:val="single" w:color="005DA1"/>
          <w:vertAlign w:val="superscript"/>
        </w:rPr>
        <w:t>774</w:t>
      </w:r>
      <w:r>
        <w:rPr>
          <w:color w:val="005DA1"/>
          <w:vertAlign w:val="baseline"/>
        </w:rPr>
        <w:t> </w:t>
      </w:r>
      <w:r>
        <w:rPr>
          <w:vertAlign w:val="baseline"/>
        </w:rPr>
        <w:t>the policy “shall create a trust in favour of the objects therein named”; any reference to </w:t>
      </w:r>
      <w:bookmarkStart w:name="_bookmark1444" w:id="1446"/>
      <w:bookmarkEnd w:id="1446"/>
      <w:r>
        <w:rPr>
          <w:vertAlign w:val="baseline"/>
        </w:rPr>
        <w:t>“husband”</w:t>
      </w:r>
      <w:r>
        <w:rPr>
          <w:vertAlign w:val="baseline"/>
        </w:rPr>
        <w:t> and “wife” in this section is now to be “read as including a reference to a person who is married</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person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sex”.</w:t>
      </w:r>
      <w:r>
        <w:rPr>
          <w:spacing w:val="-2"/>
          <w:vertAlign w:val="baseline"/>
        </w:rPr>
        <w:t> </w:t>
      </w:r>
      <w:r>
        <w:rPr>
          <w:color w:val="005DA1"/>
          <w:u w:val="single" w:color="005DA1"/>
          <w:vertAlign w:val="superscript"/>
        </w:rPr>
        <w:t>775</w:t>
      </w:r>
      <w:r>
        <w:rPr>
          <w:color w:val="005DA1"/>
          <w:spacing w:val="-2"/>
          <w:vertAlign w:val="baseline"/>
        </w:rPr>
        <w:t> </w:t>
      </w:r>
      <w:r>
        <w:rPr>
          <w:vertAlign w:val="baseline"/>
        </w:rPr>
        <w:t>By</w:t>
      </w:r>
      <w:r>
        <w:rPr>
          <w:spacing w:val="-2"/>
          <w:vertAlign w:val="baseline"/>
        </w:rPr>
        <w:t> </w:t>
      </w:r>
      <w:r>
        <w:rPr>
          <w:vertAlign w:val="baseline"/>
        </w:rPr>
        <w:t>virtue</w:t>
      </w:r>
      <w:r>
        <w:rPr>
          <w:spacing w:val="-2"/>
          <w:vertAlign w:val="baseline"/>
        </w:rPr>
        <w:t> </w:t>
      </w:r>
      <w:r>
        <w:rPr>
          <w:vertAlign w:val="baseline"/>
        </w:rPr>
        <w:t>of</w:t>
      </w:r>
      <w:r>
        <w:rPr>
          <w:spacing w:val="-2"/>
          <w:vertAlign w:val="baseline"/>
        </w:rPr>
        <w:t> </w:t>
      </w:r>
      <w:r>
        <w:rPr>
          <w:vertAlign w:val="baseline"/>
        </w:rPr>
        <w:t>s.70</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Civil</w:t>
      </w:r>
      <w:r>
        <w:rPr>
          <w:spacing w:val="-2"/>
          <w:vertAlign w:val="baseline"/>
        </w:rPr>
        <w:t> </w:t>
      </w:r>
      <w:r>
        <w:rPr>
          <w:vertAlign w:val="baseline"/>
        </w:rPr>
        <w:t>Partnership</w:t>
      </w:r>
      <w:r>
        <w:rPr>
          <w:spacing w:val="-2"/>
          <w:vertAlign w:val="baseline"/>
        </w:rPr>
        <w:t> </w:t>
      </w:r>
      <w:r>
        <w:rPr>
          <w:vertAlign w:val="baseline"/>
        </w:rPr>
        <w:t>Act</w:t>
      </w:r>
      <w:r>
        <w:rPr>
          <w:spacing w:val="-2"/>
          <w:vertAlign w:val="baseline"/>
        </w:rPr>
        <w:t> </w:t>
      </w:r>
      <w:r>
        <w:rPr>
          <w:vertAlign w:val="baseline"/>
        </w:rPr>
        <w:t>2004,</w:t>
      </w:r>
      <w:r>
        <w:rPr>
          <w:spacing w:val="-2"/>
          <w:vertAlign w:val="baseline"/>
        </w:rPr>
        <w:t> </w:t>
      </w:r>
      <w:r>
        <w:rPr>
          <w:color w:val="005DA1"/>
          <w:u w:val="single" w:color="005DA1"/>
          <w:vertAlign w:val="superscript"/>
        </w:rPr>
        <w:t>776</w:t>
      </w:r>
      <w:r>
        <w:rPr>
          <w:color w:val="005DA1"/>
          <w:spacing w:val="-2"/>
          <w:vertAlign w:val="baseline"/>
        </w:rPr>
        <w:t> </w:t>
      </w:r>
      <w:r>
        <w:rPr>
          <w:vertAlign w:val="baseline"/>
        </w:rPr>
        <w:t>section 11 of the 1882 Act also applies to “a policy of assurance (a) effected by a civil partner on his own life, and (b) expressed to be for the benefit of his civil partner, or of his children, or of his civil partner and </w:t>
      </w:r>
      <w:bookmarkStart w:name="_bookmark1445" w:id="1447"/>
      <w:bookmarkEnd w:id="1447"/>
      <w:r>
        <w:rPr>
          <w:vertAlign w:val="baseline"/>
        </w:rPr>
        <w:t>children,</w:t>
      </w:r>
      <w:r>
        <w:rPr>
          <w:vertAlign w:val="baseline"/>
        </w:rPr>
        <w:t> or any of them.” Section 11 (as so extended) applies only where a person insures his or her own life and not where the policy is on the life of the beneficiary </w:t>
      </w:r>
      <w:r>
        <w:rPr>
          <w:color w:val="005DA1"/>
          <w:u w:val="single" w:color="005DA1"/>
          <w:vertAlign w:val="superscript"/>
        </w:rPr>
        <w:t>777</w:t>
      </w:r>
      <w:r>
        <w:rPr>
          <w:vertAlign w:val="baseline"/>
        </w:rPr>
        <w:t>; and it is restricted to policies for </w:t>
      </w:r>
      <w:bookmarkStart w:name="_bookmark1446" w:id="1448"/>
      <w:bookmarkEnd w:id="1448"/>
      <w:r>
        <w:rPr>
          <w:vertAlign w:val="baseline"/>
        </w:rPr>
        <w:t>the</w:t>
      </w:r>
      <w:r>
        <w:rPr>
          <w:vertAlign w:val="baseline"/>
        </w:rPr>
        <w:t> benefit of spouses, civil partners and children and so does not apply in favour of other </w:t>
      </w:r>
      <w:bookmarkStart w:name="_bookmark1447" w:id="1449"/>
      <w:bookmarkEnd w:id="1449"/>
      <w:r>
        <w:rPr>
          <w:vertAlign w:val="baseline"/>
        </w:rPr>
        <w:t>dependants.</w:t>
      </w:r>
      <w:r>
        <w:rPr>
          <w:vertAlign w:val="baseline"/>
        </w:rPr>
        <w:t> </w:t>
      </w:r>
      <w:r>
        <w:rPr>
          <w:color w:val="005DA1"/>
          <w:u w:val="single" w:color="005DA1"/>
          <w:vertAlign w:val="superscript"/>
        </w:rPr>
        <w:t>778</w:t>
      </w:r>
      <w:r>
        <w:rPr>
          <w:color w:val="005DA1"/>
          <w:vertAlign w:val="baseline"/>
        </w:rPr>
        <w:t> </w:t>
      </w:r>
      <w:r>
        <w:rPr>
          <w:vertAlign w:val="baseline"/>
        </w:rPr>
        <w:t>These restrictions on the scope of s.11 are not affected by the Contracts (Rights of Third Parties) Act, 1999 </w:t>
      </w:r>
      <w:r>
        <w:rPr>
          <w:color w:val="005DA1"/>
          <w:u w:val="single" w:color="005DA1"/>
          <w:vertAlign w:val="superscript"/>
        </w:rPr>
        <w:t>779</w:t>
      </w:r>
      <w:r>
        <w:rPr>
          <w:vertAlign w:val="baseline"/>
        </w:rPr>
        <w:t>; but persons who have no rights under s.11 of the 1882 Act (as extended </w:t>
      </w:r>
      <w:bookmarkStart w:name="_bookmark1448" w:id="1450"/>
      <w:bookmarkEnd w:id="1450"/>
      <w:r>
        <w:rPr>
          <w:vertAlign w:val="baseline"/>
        </w:rPr>
        <w:t>by</w:t>
      </w:r>
      <w:r>
        <w:rPr>
          <w:vertAlign w:val="baseline"/>
        </w:rPr>
        <w:t> s.70 of the 2004 Act) may, if the requirements of the 1999 Act are satisfied, acquire the </w:t>
      </w:r>
      <w:r>
        <w:rPr>
          <w:vertAlign w:val="baseline"/>
        </w:rPr>
        <w:t>more </w:t>
      </w:r>
      <w:bookmarkStart w:name="_bookmark1449" w:id="1451"/>
      <w:bookmarkEnd w:id="1451"/>
      <w:r>
        <w:rPr>
          <w:vertAlign w:val="baseline"/>
        </w:rPr>
        <w:t>restricted</w:t>
      </w:r>
      <w:r>
        <w:rPr>
          <w:vertAlign w:val="baseline"/>
        </w:rPr>
        <w:t> </w:t>
      </w:r>
      <w:r>
        <w:rPr>
          <w:color w:val="005DA1"/>
          <w:u w:val="single" w:color="005DA1"/>
          <w:vertAlign w:val="superscript"/>
        </w:rPr>
        <w:t>780</w:t>
      </w:r>
      <w:r>
        <w:rPr>
          <w:color w:val="005DA1"/>
          <w:vertAlign w:val="baseline"/>
        </w:rPr>
        <w:t> </w:t>
      </w:r>
      <w:r>
        <w:rPr>
          <w:vertAlign w:val="baseline"/>
        </w:rPr>
        <w:t>rights conferred on third parties by that Act. They may also have enforceable rights</w:t>
      </w:r>
      <w:r>
        <w:rPr>
          <w:spacing w:val="40"/>
          <w:vertAlign w:val="baseline"/>
        </w:rPr>
        <w:t> </w:t>
      </w:r>
      <w:r>
        <w:rPr>
          <w:vertAlign w:val="baseline"/>
        </w:rPr>
        <w:t>under the trust device discussed in para.18-080 above. </w:t>
      </w:r>
      <w:r>
        <w:rPr>
          <w:color w:val="005DA1"/>
          <w:u w:val="single" w:color="005DA1"/>
          <w:vertAlign w:val="superscript"/>
        </w:rPr>
        <w:t>781</w:t>
      </w:r>
    </w:p>
    <w:p>
      <w:pPr>
        <w:pStyle w:val="BodyText"/>
        <w:spacing w:after="0" w:line="235" w:lineRule="auto"/>
        <w:jc w:val="both"/>
        <w:sectPr>
          <w:pgSz w:w="11900" w:h="16840"/>
          <w:pgMar w:header="971" w:footer="0" w:top="1160" w:bottom="280" w:left="1275" w:right="1275"/>
        </w:sectPr>
      </w:pPr>
    </w:p>
    <w:p>
      <w:pPr>
        <w:pStyle w:val="BodyText"/>
        <w:rPr>
          <w:sz w:val="18"/>
        </w:rPr>
      </w:pPr>
    </w:p>
    <w:p>
      <w:pPr>
        <w:pStyle w:val="BodyText"/>
        <w:spacing w:before="179"/>
        <w:rPr>
          <w:sz w:val="18"/>
        </w:rPr>
      </w:pPr>
    </w:p>
    <w:p>
      <w:pPr>
        <w:spacing w:before="0"/>
        <w:ind w:left="165" w:right="0" w:firstLine="0"/>
        <w:jc w:val="left"/>
        <w:rPr>
          <w:rFonts w:ascii="Arial"/>
          <w:b/>
          <w:sz w:val="18"/>
        </w:rPr>
      </w:pPr>
      <w:r>
        <w:rPr>
          <w:rFonts w:ascii="Arial"/>
          <w:b/>
          <w:sz w:val="18"/>
        </w:rPr>
        <w:t>Motor </w:t>
      </w:r>
      <w:r>
        <w:rPr>
          <w:rFonts w:ascii="Arial"/>
          <w:b/>
          <w:spacing w:val="-2"/>
          <w:sz w:val="18"/>
        </w:rPr>
        <w:t>insurance</w:t>
      </w:r>
    </w:p>
    <w:p>
      <w:pPr>
        <w:pStyle w:val="BodyText"/>
        <w:spacing w:before="41"/>
        <w:rPr>
          <w:rFonts w:ascii="Arial"/>
          <w:b/>
          <w:sz w:val="18"/>
        </w:rPr>
      </w:pPr>
    </w:p>
    <w:p>
      <w:pPr>
        <w:pStyle w:val="Heading2"/>
        <w:spacing w:before="1"/>
      </w:pPr>
      <w:r>
        <w:rPr/>
        <w:t>18-</w:t>
      </w:r>
      <w:r>
        <w:rPr>
          <w:spacing w:val="-5"/>
        </w:rPr>
        <w:t>132</w:t>
      </w:r>
    </w:p>
    <w:p>
      <w:pPr>
        <w:pStyle w:val="BodyText"/>
        <w:spacing w:line="235" w:lineRule="auto" w:before="202"/>
        <w:ind w:left="165" w:right="167"/>
        <w:jc w:val="both"/>
      </w:pPr>
      <w:r>
        <w:rPr/>
        <w:t>A person driving a motor vehicle with the consent of the owner can, by statute, take the benefit of a </w:t>
      </w:r>
      <w:bookmarkStart w:name="_bookmark1450" w:id="1452"/>
      <w:bookmarkEnd w:id="1452"/>
      <w:r>
        <w:rPr/>
        <w:t>provision</w:t>
      </w:r>
      <w:r>
        <w:rPr/>
        <w:t> in his favour in the owner’s insurance policy without having to prove that the owner intended to constitute himself trustee. </w:t>
      </w:r>
      <w:r>
        <w:rPr>
          <w:color w:val="005DA1"/>
          <w:u w:val="single" w:color="005DA1"/>
          <w:vertAlign w:val="superscript"/>
        </w:rPr>
        <w:t>782</w:t>
      </w:r>
    </w:p>
    <w:p>
      <w:pPr>
        <w:pStyle w:val="BodyText"/>
      </w:pPr>
    </w:p>
    <w:p>
      <w:pPr>
        <w:pStyle w:val="BodyText"/>
        <w:spacing w:before="38"/>
      </w:pPr>
    </w:p>
    <w:p>
      <w:pPr>
        <w:spacing w:before="0"/>
        <w:ind w:left="165" w:right="0" w:firstLine="0"/>
        <w:jc w:val="left"/>
        <w:rPr>
          <w:rFonts w:ascii="Arial"/>
          <w:b/>
          <w:sz w:val="18"/>
        </w:rPr>
      </w:pPr>
      <w:r>
        <w:rPr>
          <w:rFonts w:ascii="Arial"/>
          <w:b/>
          <w:sz w:val="18"/>
        </w:rPr>
        <w:t>Insurance by persons with limited </w:t>
      </w:r>
      <w:r>
        <w:rPr>
          <w:rFonts w:ascii="Arial"/>
          <w:b/>
          <w:spacing w:val="-2"/>
          <w:sz w:val="18"/>
        </w:rPr>
        <w:t>interests</w:t>
      </w:r>
    </w:p>
    <w:p>
      <w:pPr>
        <w:pStyle w:val="BodyText"/>
        <w:spacing w:before="41"/>
        <w:rPr>
          <w:rFonts w:ascii="Arial"/>
          <w:b/>
          <w:sz w:val="18"/>
        </w:rPr>
      </w:pPr>
    </w:p>
    <w:p>
      <w:pPr>
        <w:pStyle w:val="Heading2"/>
      </w:pPr>
      <w:r>
        <w:rPr/>
        <w:t>18-</w:t>
      </w:r>
      <w:r>
        <w:rPr>
          <w:spacing w:val="-5"/>
        </w:rPr>
        <w:t>133</w:t>
      </w:r>
    </w:p>
    <w:p>
      <w:pPr>
        <w:pStyle w:val="BodyText"/>
        <w:spacing w:line="235" w:lineRule="auto" w:before="203"/>
        <w:ind w:left="165" w:right="167"/>
        <w:jc w:val="both"/>
      </w:pPr>
      <w:r>
        <w:rPr/>
        <w:t>If a person insures for its full value property in which he has only a limited interest, he may be able to </w:t>
      </w:r>
      <w:bookmarkStart w:name="_bookmark1451" w:id="1453"/>
      <w:bookmarkEnd w:id="1453"/>
      <w:r>
        <w:rPr/>
        <w:t>recover</w:t>
      </w:r>
      <w:r>
        <w:rPr/>
        <w:t> in full from the insurer but be liable to pay over to the other person interested any sum exceeding his own loss. </w:t>
      </w:r>
      <w:r>
        <w:rPr>
          <w:color w:val="005DA1"/>
          <w:u w:val="single" w:color="005DA1"/>
          <w:vertAlign w:val="superscript"/>
        </w:rPr>
        <w:t>783</w:t>
      </w:r>
      <w:r>
        <w:rPr>
          <w:color w:val="005DA1"/>
          <w:vertAlign w:val="baseline"/>
        </w:rPr>
        <w:t> </w:t>
      </w:r>
      <w:r>
        <w:rPr>
          <w:vertAlign w:val="baseline"/>
        </w:rPr>
        <w:t>A number of real or supposed common law limitations on this </w:t>
      </w:r>
      <w:r>
        <w:rPr>
          <w:vertAlign w:val="baseline"/>
        </w:rPr>
        <w:t>principle have been removed by statute. For example, s.14(2) of the Marine Insurance Act 1906 provides that any person who has an interest in the subject-matter of a policy of marine insurance can insure “on behalf of and for the benefit of other persons interested as well as for his own benefit.” On a somewhat similar principle, where property is sold and suffers damage before the sale is completed, </w:t>
      </w:r>
      <w:bookmarkStart w:name="_bookmark1452" w:id="1454"/>
      <w:bookmarkEnd w:id="1454"/>
      <w:r>
        <w:rPr>
          <w:vertAlign w:val="baseline"/>
        </w:rPr>
        <w:t>any</w:t>
      </w:r>
      <w:r>
        <w:rPr>
          <w:spacing w:val="-1"/>
          <w:vertAlign w:val="baseline"/>
        </w:rPr>
        <w:t> </w:t>
      </w:r>
      <w:r>
        <w:rPr>
          <w:vertAlign w:val="baseline"/>
        </w:rPr>
        <w:t>insurance</w:t>
      </w:r>
      <w:r>
        <w:rPr>
          <w:spacing w:val="-1"/>
          <w:vertAlign w:val="baseline"/>
        </w:rPr>
        <w:t> </w:t>
      </w:r>
      <w:r>
        <w:rPr>
          <w:vertAlign w:val="baseline"/>
        </w:rPr>
        <w:t>money</w:t>
      </w:r>
      <w:r>
        <w:rPr>
          <w:spacing w:val="-1"/>
          <w:vertAlign w:val="baseline"/>
        </w:rPr>
        <w:t> </w:t>
      </w:r>
      <w:r>
        <w:rPr>
          <w:vertAlign w:val="baseline"/>
        </w:rPr>
        <w:t>to</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vendor</w:t>
      </w:r>
      <w:r>
        <w:rPr>
          <w:spacing w:val="-1"/>
          <w:vertAlign w:val="baseline"/>
        </w:rPr>
        <w:t> </w:t>
      </w:r>
      <w:r>
        <w:rPr>
          <w:vertAlign w:val="baseline"/>
        </w:rPr>
        <w:t>is</w:t>
      </w:r>
      <w:r>
        <w:rPr>
          <w:spacing w:val="-1"/>
          <w:vertAlign w:val="baseline"/>
        </w:rPr>
        <w:t> </w:t>
      </w:r>
      <w:r>
        <w:rPr>
          <w:vertAlign w:val="baseline"/>
        </w:rPr>
        <w:t>entitled</w:t>
      </w:r>
      <w:r>
        <w:rPr>
          <w:spacing w:val="-1"/>
          <w:vertAlign w:val="baseline"/>
        </w:rPr>
        <w:t> </w:t>
      </w:r>
      <w:r>
        <w:rPr>
          <w:vertAlign w:val="baseline"/>
        </w:rPr>
        <w:t>in</w:t>
      </w:r>
      <w:r>
        <w:rPr>
          <w:spacing w:val="-1"/>
          <w:vertAlign w:val="baseline"/>
        </w:rPr>
        <w:t> </w:t>
      </w:r>
      <w:r>
        <w:rPr>
          <w:vertAlign w:val="baseline"/>
        </w:rPr>
        <w:t>respect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damage</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held</w:t>
      </w:r>
      <w:r>
        <w:rPr>
          <w:spacing w:val="-1"/>
          <w:vertAlign w:val="baseline"/>
        </w:rPr>
        <w:t> </w:t>
      </w:r>
      <w:r>
        <w:rPr>
          <w:vertAlign w:val="baseline"/>
        </w:rPr>
        <w:t>by</w:t>
      </w:r>
      <w:r>
        <w:rPr>
          <w:spacing w:val="-1"/>
          <w:vertAlign w:val="baseline"/>
        </w:rPr>
        <w:t> </w:t>
      </w:r>
      <w:r>
        <w:rPr>
          <w:vertAlign w:val="baseline"/>
        </w:rPr>
        <w:t>him</w:t>
      </w:r>
      <w:r>
        <w:rPr>
          <w:spacing w:val="-1"/>
          <w:vertAlign w:val="baseline"/>
        </w:rPr>
        <w:t> </w:t>
      </w:r>
      <w:r>
        <w:rPr>
          <w:vertAlign w:val="baseline"/>
        </w:rPr>
        <w:t>for the purchaser, and be paid over to the purchaser on completion. </w:t>
      </w:r>
      <w:r>
        <w:rPr>
          <w:color w:val="005DA1"/>
          <w:u w:val="single" w:color="005DA1"/>
          <w:vertAlign w:val="superscript"/>
        </w:rPr>
        <w:t>784</w:t>
      </w:r>
    </w:p>
    <w:p>
      <w:pPr>
        <w:pStyle w:val="BodyText"/>
      </w:pPr>
    </w:p>
    <w:p>
      <w:pPr>
        <w:pStyle w:val="BodyText"/>
        <w:spacing w:before="35"/>
      </w:pPr>
    </w:p>
    <w:p>
      <w:pPr>
        <w:spacing w:before="0"/>
        <w:ind w:left="165" w:right="0" w:firstLine="0"/>
        <w:jc w:val="left"/>
        <w:rPr>
          <w:rFonts w:ascii="Arial"/>
          <w:b/>
          <w:sz w:val="18"/>
        </w:rPr>
      </w:pPr>
      <w:r>
        <w:rPr>
          <w:rFonts w:ascii="Arial"/>
          <w:b/>
          <w:sz w:val="18"/>
        </w:rPr>
        <w:t>Fire </w:t>
      </w:r>
      <w:r>
        <w:rPr>
          <w:rFonts w:ascii="Arial"/>
          <w:b/>
          <w:spacing w:val="-2"/>
          <w:sz w:val="18"/>
        </w:rPr>
        <w:t>insurance</w:t>
      </w:r>
    </w:p>
    <w:p>
      <w:pPr>
        <w:pStyle w:val="BodyText"/>
        <w:spacing w:before="41"/>
        <w:rPr>
          <w:rFonts w:ascii="Arial"/>
          <w:b/>
          <w:sz w:val="18"/>
        </w:rPr>
      </w:pPr>
    </w:p>
    <w:p>
      <w:pPr>
        <w:pStyle w:val="Heading2"/>
      </w:pPr>
      <w:r>
        <w:rPr/>
        <w:t>18-</w:t>
      </w:r>
      <w:r>
        <w:rPr>
          <w:spacing w:val="-5"/>
        </w:rPr>
        <w:t>134</w:t>
      </w:r>
    </w:p>
    <w:p>
      <w:pPr>
        <w:pStyle w:val="BodyText"/>
        <w:spacing w:line="235" w:lineRule="auto" w:before="203"/>
        <w:ind w:left="165" w:right="167"/>
        <w:jc w:val="both"/>
      </w:pPr>
      <w:bookmarkStart w:name="_bookmark1453" w:id="1455"/>
      <w:bookmarkEnd w:id="1455"/>
      <w:r>
        <w:rPr/>
      </w:r>
      <w:r>
        <w:rPr/>
        <w:t>Where an insured house is destroyed by fire, “any person … interested” may require the insurance </w:t>
      </w:r>
      <w:bookmarkStart w:name="_bookmark1454" w:id="1456"/>
      <w:bookmarkEnd w:id="1456"/>
      <w:r>
        <w:rPr/>
        <w:t>money</w:t>
      </w:r>
      <w:r>
        <w:rPr/>
        <w:t> to be laid out towards reinstating the house. </w:t>
      </w:r>
      <w:r>
        <w:rPr>
          <w:color w:val="005DA1"/>
          <w:u w:val="single" w:color="005DA1"/>
          <w:vertAlign w:val="superscript"/>
        </w:rPr>
        <w:t>785</w:t>
      </w:r>
      <w:r>
        <w:rPr>
          <w:color w:val="005DA1"/>
          <w:vertAlign w:val="baseline"/>
        </w:rPr>
        <w:t> </w:t>
      </w:r>
      <w:r>
        <w:rPr>
          <w:vertAlign w:val="baseline"/>
        </w:rPr>
        <w:t>Thus a tenant may claim under his </w:t>
      </w:r>
      <w:r>
        <w:rPr>
          <w:vertAlign w:val="baseline"/>
        </w:rPr>
        <w:t>landlord’s insurance; and vice versa. </w:t>
      </w:r>
      <w:r>
        <w:rPr>
          <w:color w:val="005DA1"/>
          <w:u w:val="single" w:color="005DA1"/>
          <w:vertAlign w:val="superscript"/>
        </w:rPr>
        <w:t>786</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Solicitors’ indemnity </w:t>
      </w:r>
      <w:r>
        <w:rPr>
          <w:rFonts w:ascii="Arial" w:hAnsi="Arial"/>
          <w:b/>
          <w:spacing w:val="-2"/>
          <w:sz w:val="18"/>
        </w:rPr>
        <w:t>insurance</w:t>
      </w:r>
    </w:p>
    <w:p>
      <w:pPr>
        <w:pStyle w:val="BodyText"/>
        <w:spacing w:before="42"/>
        <w:rPr>
          <w:rFonts w:ascii="Arial"/>
          <w:b/>
          <w:sz w:val="18"/>
        </w:rPr>
      </w:pPr>
    </w:p>
    <w:p>
      <w:pPr>
        <w:pStyle w:val="Heading2"/>
      </w:pPr>
      <w:r>
        <w:rPr/>
        <w:t>18-</w:t>
      </w:r>
      <w:r>
        <w:rPr>
          <w:spacing w:val="-5"/>
        </w:rPr>
        <w:t>135</w:t>
      </w:r>
    </w:p>
    <w:p>
      <w:pPr>
        <w:pStyle w:val="BodyText"/>
        <w:spacing w:line="235" w:lineRule="auto" w:before="202"/>
        <w:ind w:left="164" w:right="167"/>
        <w:jc w:val="both"/>
      </w:pPr>
      <w:r>
        <w:rPr/>
        <w:t>Under s.37 of the Solicitors Act 1974, a scheme has been established by the Law Society for </w:t>
      </w:r>
      <w:r>
        <w:rPr/>
        <w:t>the compulsory insurance of solicitors against liability for professional negligence or breach of duty. The scheme takes the form of a contract between the Society and insurers, whereby the insurers undertake, on being paid the appropriate premiums, to provide indemnity insurance to solicitors. It</w:t>
      </w:r>
      <w:r>
        <w:rPr>
          <w:spacing w:val="80"/>
        </w:rPr>
        <w:t> </w:t>
      </w:r>
      <w:bookmarkStart w:name="_bookmark1455" w:id="1457"/>
      <w:bookmarkEnd w:id="1457"/>
      <w:r>
        <w:rPr/>
        <w:t>has</w:t>
      </w:r>
      <w:r>
        <w:rPr/>
        <w:t> been held that the scheme gives rise to reciprocal rights and duties between the insurers and </w:t>
      </w:r>
      <w:bookmarkStart w:name="_bookmark1456" w:id="1458"/>
      <w:bookmarkEnd w:id="1458"/>
      <w:r>
        <w:rPr/>
        <w:t>solicitors.</w:t>
      </w:r>
      <w:r>
        <w:rPr/>
        <w:t> </w:t>
      </w:r>
      <w:r>
        <w:rPr>
          <w:color w:val="005DA1"/>
          <w:u w:val="single" w:color="005DA1"/>
          <w:vertAlign w:val="superscript"/>
        </w:rPr>
        <w:t>787</w:t>
      </w:r>
      <w:r>
        <w:rPr>
          <w:color w:val="005DA1"/>
          <w:vertAlign w:val="baseline"/>
        </w:rPr>
        <w:t> </w:t>
      </w:r>
      <w:r>
        <w:rPr>
          <w:vertAlign w:val="baseline"/>
        </w:rPr>
        <w:t>This result follows “by virtue of public law, not the ordinary English private law of contract” </w:t>
      </w:r>
      <w:r>
        <w:rPr>
          <w:color w:val="005DA1"/>
          <w:u w:val="single" w:color="005DA1"/>
          <w:vertAlign w:val="superscript"/>
        </w:rPr>
        <w:t>788</w:t>
      </w:r>
      <w:r>
        <w:rPr>
          <w:color w:val="005DA1"/>
          <w:vertAlign w:val="baseline"/>
        </w:rPr>
        <w:t> </w:t>
      </w:r>
      <w:r>
        <w:rPr>
          <w:vertAlign w:val="baseline"/>
        </w:rPr>
        <w:t>for in operating the scheme the Society acts, not in its private capacity as a professional association, but in its public capacity, as a body one of whose functions is to protect members of the public against loss which they may suffer from dealings with solicitors.</w:t>
      </w:r>
    </w:p>
    <w:p>
      <w:pPr>
        <w:pStyle w:val="BodyText"/>
      </w:pPr>
    </w:p>
    <w:p>
      <w:pPr>
        <w:pStyle w:val="BodyText"/>
        <w:spacing w:before="35"/>
      </w:pPr>
    </w:p>
    <w:p>
      <w:pPr>
        <w:spacing w:before="1"/>
        <w:ind w:left="165" w:right="0" w:firstLine="0"/>
        <w:jc w:val="left"/>
        <w:rPr>
          <w:rFonts w:ascii="Arial" w:hAnsi="Arial"/>
          <w:b/>
          <w:sz w:val="18"/>
        </w:rPr>
      </w:pPr>
      <w:r>
        <w:rPr>
          <w:rFonts w:ascii="Arial" w:hAnsi="Arial"/>
          <w:b/>
          <w:sz w:val="18"/>
        </w:rPr>
        <w:t>Third parties’ rights against </w:t>
      </w:r>
      <w:r>
        <w:rPr>
          <w:rFonts w:ascii="Arial" w:hAnsi="Arial"/>
          <w:b/>
          <w:spacing w:val="-2"/>
          <w:sz w:val="18"/>
        </w:rPr>
        <w:t>insurers</w:t>
      </w:r>
    </w:p>
    <w:p>
      <w:pPr>
        <w:pStyle w:val="BodyText"/>
        <w:spacing w:before="41"/>
        <w:rPr>
          <w:rFonts w:ascii="Arial"/>
          <w:b/>
          <w:sz w:val="18"/>
        </w:rPr>
      </w:pPr>
    </w:p>
    <w:p>
      <w:pPr>
        <w:pStyle w:val="Heading2"/>
      </w:pPr>
      <w:r>
        <w:rPr/>
        <w:t>18-</w:t>
      </w:r>
      <w:r>
        <w:rPr>
          <w:spacing w:val="-5"/>
        </w:rPr>
        <w:t>136</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Our concern here is not with insurance contracts which purport to confer benefits on third parties, but with those which insure the promisee against liability to third parties. Under the Third Parties </w:t>
      </w:r>
      <w:bookmarkStart w:name="_bookmark1457" w:id="1459"/>
      <w:bookmarkEnd w:id="1459"/>
      <w:r>
        <w:rPr/>
        <w:t>(Rights</w:t>
      </w:r>
      <w:r>
        <w:rPr>
          <w:spacing w:val="-1"/>
        </w:rPr>
        <w:t> </w:t>
      </w:r>
      <w:r>
        <w:rPr/>
        <w:t>against</w:t>
      </w:r>
      <w:r>
        <w:rPr>
          <w:spacing w:val="-1"/>
        </w:rPr>
        <w:t> </w:t>
      </w:r>
      <w:r>
        <w:rPr/>
        <w:t>Insurers)</w:t>
      </w:r>
      <w:r>
        <w:rPr>
          <w:spacing w:val="-1"/>
        </w:rPr>
        <w:t> </w:t>
      </w:r>
      <w:r>
        <w:rPr/>
        <w:t>Act</w:t>
      </w:r>
      <w:r>
        <w:rPr>
          <w:spacing w:val="-1"/>
        </w:rPr>
        <w:t> </w:t>
      </w:r>
      <w:r>
        <w:rPr/>
        <w:t>1930,</w:t>
      </w:r>
      <w:r>
        <w:rPr>
          <w:spacing w:val="-1"/>
        </w:rPr>
        <w:t> </w:t>
      </w:r>
      <w:r>
        <w:rPr/>
        <w:t>a</w:t>
      </w:r>
      <w:r>
        <w:rPr>
          <w:spacing w:val="-1"/>
        </w:rPr>
        <w:t> </w:t>
      </w:r>
      <w:r>
        <w:rPr/>
        <w:t>third</w:t>
      </w:r>
      <w:r>
        <w:rPr>
          <w:spacing w:val="-1"/>
        </w:rPr>
        <w:t> </w:t>
      </w:r>
      <w:r>
        <w:rPr/>
        <w:t>party</w:t>
      </w:r>
      <w:r>
        <w:rPr>
          <w:spacing w:val="-1"/>
        </w:rPr>
        <w:t> </w:t>
      </w:r>
      <w:r>
        <w:rPr/>
        <w:t>may</w:t>
      </w:r>
      <w:r>
        <w:rPr>
          <w:spacing w:val="-1"/>
        </w:rPr>
        <w:t> </w:t>
      </w:r>
      <w:r>
        <w:rPr/>
        <w:t>in</w:t>
      </w:r>
      <w:r>
        <w:rPr>
          <w:spacing w:val="-1"/>
        </w:rPr>
        <w:t> </w:t>
      </w:r>
      <w:r>
        <w:rPr/>
        <w:t>certain</w:t>
      </w:r>
      <w:r>
        <w:rPr>
          <w:spacing w:val="-1"/>
        </w:rPr>
        <w:t> </w:t>
      </w:r>
      <w:r>
        <w:rPr/>
        <w:t>circumstances</w:t>
      </w:r>
      <w:r>
        <w:rPr>
          <w:spacing w:val="-1"/>
        </w:rPr>
        <w:t> </w:t>
      </w:r>
      <w:r>
        <w:rPr/>
        <w:t>enforce</w:t>
      </w:r>
      <w:r>
        <w:rPr>
          <w:spacing w:val="-1"/>
        </w:rPr>
        <w:t> </w:t>
      </w:r>
      <w:r>
        <w:rPr/>
        <w:t>the</w:t>
      </w:r>
      <w:r>
        <w:rPr>
          <w:spacing w:val="-1"/>
        </w:rPr>
        <w:t> </w:t>
      </w:r>
      <w:r>
        <w:rPr/>
        <w:t>rights</w:t>
      </w:r>
      <w:r>
        <w:rPr>
          <w:spacing w:val="-1"/>
        </w:rPr>
        <w:t> </w:t>
      </w:r>
      <w:r>
        <w:rPr/>
        <w:t>of</w:t>
      </w:r>
      <w:r>
        <w:rPr>
          <w:spacing w:val="-1"/>
        </w:rPr>
        <w:t> </w:t>
      </w:r>
      <w:r>
        <w:rPr/>
        <w:t>the insured under the policy </w:t>
      </w:r>
      <w:r>
        <w:rPr>
          <w:color w:val="005DA1"/>
          <w:u w:val="single" w:color="005DA1"/>
          <w:vertAlign w:val="superscript"/>
        </w:rPr>
        <w:t>789</w:t>
      </w:r>
      <w:r>
        <w:rPr>
          <w:color w:val="005DA1"/>
          <w:vertAlign w:val="baseline"/>
        </w:rPr>
        <w:t> </w:t>
      </w:r>
      <w:r>
        <w:rPr>
          <w:vertAlign w:val="baseline"/>
        </w:rPr>
        <w:t>by proceeding against the insurance company. </w:t>
      </w:r>
      <w:r>
        <w:rPr>
          <w:color w:val="005DA1"/>
          <w:u w:val="single" w:color="005DA1"/>
          <w:vertAlign w:val="superscript"/>
        </w:rPr>
        <w:t>790</w:t>
      </w:r>
      <w:r>
        <w:rPr>
          <w:color w:val="005DA1"/>
          <w:vertAlign w:val="baseline"/>
        </w:rPr>
        <w:t> </w:t>
      </w:r>
      <w:r>
        <w:rPr>
          <w:vertAlign w:val="baseline"/>
        </w:rPr>
        <w:t>The 1930 Act is to be </w:t>
      </w:r>
      <w:bookmarkStart w:name="_bookmark1458" w:id="1460"/>
      <w:bookmarkEnd w:id="1460"/>
      <w:r>
        <w:rPr>
          <w:vertAlign w:val="baseline"/>
        </w:rPr>
        <w:t>repealed</w:t>
      </w:r>
      <w:r>
        <w:rPr>
          <w:vertAlign w:val="baseline"/>
        </w:rPr>
        <w:t> and replaced by the Third Parties (Rights against Insurers) Act 2010, which gives effect to proposals</w:t>
      </w:r>
      <w:r>
        <w:rPr>
          <w:spacing w:val="9"/>
          <w:vertAlign w:val="baseline"/>
        </w:rPr>
        <w:t> </w:t>
      </w:r>
      <w:r>
        <w:rPr>
          <w:vertAlign w:val="baseline"/>
        </w:rPr>
        <w:t>for</w:t>
      </w:r>
      <w:r>
        <w:rPr>
          <w:spacing w:val="10"/>
          <w:vertAlign w:val="baseline"/>
        </w:rPr>
        <w:t> </w:t>
      </w:r>
      <w:r>
        <w:rPr>
          <w:vertAlign w:val="baseline"/>
        </w:rPr>
        <w:t>reform</w:t>
      </w:r>
      <w:r>
        <w:rPr>
          <w:spacing w:val="10"/>
          <w:vertAlign w:val="baseline"/>
        </w:rPr>
        <w:t> </w:t>
      </w:r>
      <w:r>
        <w:rPr>
          <w:vertAlign w:val="baseline"/>
        </w:rPr>
        <w:t>made</w:t>
      </w:r>
      <w:r>
        <w:rPr>
          <w:spacing w:val="10"/>
          <w:vertAlign w:val="baseline"/>
        </w:rPr>
        <w:t> </w:t>
      </w:r>
      <w:r>
        <w:rPr>
          <w:vertAlign w:val="baseline"/>
        </w:rPr>
        <w:t>by</w:t>
      </w:r>
      <w:r>
        <w:rPr>
          <w:spacing w:val="10"/>
          <w:vertAlign w:val="baseline"/>
        </w:rPr>
        <w:t> </w:t>
      </w:r>
      <w:r>
        <w:rPr>
          <w:vertAlign w:val="baseline"/>
        </w:rPr>
        <w:t>the</w:t>
      </w:r>
      <w:r>
        <w:rPr>
          <w:spacing w:val="10"/>
          <w:vertAlign w:val="baseline"/>
        </w:rPr>
        <w:t> </w:t>
      </w:r>
      <w:r>
        <w:rPr>
          <w:vertAlign w:val="baseline"/>
        </w:rPr>
        <w:t>Law</w:t>
      </w:r>
      <w:r>
        <w:rPr>
          <w:spacing w:val="10"/>
          <w:vertAlign w:val="baseline"/>
        </w:rPr>
        <w:t> </w:t>
      </w:r>
      <w:r>
        <w:rPr>
          <w:vertAlign w:val="baseline"/>
        </w:rPr>
        <w:t>Commissions.</w:t>
      </w:r>
      <w:r>
        <w:rPr>
          <w:spacing w:val="9"/>
          <w:vertAlign w:val="baseline"/>
        </w:rPr>
        <w:t> </w:t>
      </w:r>
      <w:r>
        <w:rPr>
          <w:color w:val="005DA1"/>
          <w:u w:val="single" w:color="005DA1"/>
          <w:vertAlign w:val="superscript"/>
        </w:rPr>
        <w:t>791</w:t>
      </w:r>
      <w:r>
        <w:rPr>
          <w:color w:val="005DA1"/>
          <w:spacing w:val="10"/>
          <w:vertAlign w:val="baseline"/>
        </w:rPr>
        <w:t> </w:t>
      </w:r>
      <w:r>
        <w:rPr>
          <w:vertAlign w:val="baseline"/>
        </w:rPr>
        <w:t>The</w:t>
      </w:r>
      <w:r>
        <w:rPr>
          <w:spacing w:val="10"/>
          <w:vertAlign w:val="baseline"/>
        </w:rPr>
        <w:t> </w:t>
      </w:r>
      <w:r>
        <w:rPr>
          <w:vertAlign w:val="baseline"/>
        </w:rPr>
        <w:t>principal</w:t>
      </w:r>
      <w:r>
        <w:rPr>
          <w:spacing w:val="10"/>
          <w:vertAlign w:val="baseline"/>
        </w:rPr>
        <w:t> </w:t>
      </w:r>
      <w:r>
        <w:rPr>
          <w:vertAlign w:val="baseline"/>
        </w:rPr>
        <w:t>provisions</w:t>
      </w:r>
      <w:r>
        <w:rPr>
          <w:spacing w:val="10"/>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2010</w:t>
      </w:r>
      <w:r>
        <w:rPr>
          <w:spacing w:val="10"/>
          <w:vertAlign w:val="baseline"/>
        </w:rPr>
        <w:t> </w:t>
      </w:r>
      <w:r>
        <w:rPr>
          <w:vertAlign w:val="baseline"/>
        </w:rPr>
        <w:t>Act</w:t>
      </w:r>
      <w:r>
        <w:rPr>
          <w:spacing w:val="10"/>
          <w:vertAlign w:val="baseline"/>
        </w:rPr>
        <w:t> </w:t>
      </w:r>
      <w:r>
        <w:rPr>
          <w:spacing w:val="-5"/>
          <w:vertAlign w:val="baseline"/>
        </w:rPr>
        <w:t>are</w:t>
      </w:r>
    </w:p>
    <w:p>
      <w:pPr>
        <w:pStyle w:val="BodyText"/>
        <w:spacing w:after="0" w:line="235" w:lineRule="auto"/>
        <w:jc w:val="both"/>
        <w:sectPr>
          <w:pgSz w:w="11900" w:h="16840"/>
          <w:pgMar w:header="971" w:footer="0" w:top="1160" w:bottom="280" w:left="1275" w:right="1275"/>
        </w:sectPr>
      </w:pPr>
    </w:p>
    <w:p>
      <w:pPr>
        <w:pStyle w:val="BodyText"/>
        <w:spacing w:before="144"/>
      </w:pPr>
    </w:p>
    <w:p>
      <w:pPr>
        <w:pStyle w:val="BodyText"/>
        <w:spacing w:line="235" w:lineRule="auto" w:before="1"/>
        <w:ind w:left="165" w:right="168"/>
      </w:pPr>
      <w:bookmarkStart w:name="_bookmark1459" w:id="1461"/>
      <w:bookmarkEnd w:id="1461"/>
      <w:r>
        <w:rPr/>
      </w:r>
      <w:r>
        <w:rPr/>
        <w:t>outlined in the footnote below to this sentence. </w:t>
      </w:r>
      <w:r>
        <w:rPr>
          <w:color w:val="005DA1"/>
          <w:u w:val="single" w:color="005DA1"/>
          <w:vertAlign w:val="superscript"/>
        </w:rPr>
        <w:t>792</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At the time of writing, none of these provisions has been brought into force.</w:t>
      </w:r>
    </w:p>
    <w:p>
      <w:pPr>
        <w:pStyle w:val="BodyText"/>
      </w:pPr>
    </w:p>
    <w:p>
      <w:pPr>
        <w:pStyle w:val="BodyText"/>
        <w:spacing w:before="37"/>
      </w:pPr>
    </w:p>
    <w:p>
      <w:pPr>
        <w:spacing w:before="1"/>
        <w:ind w:left="165" w:right="0" w:firstLine="0"/>
        <w:jc w:val="left"/>
        <w:rPr>
          <w:rFonts w:ascii="Arial" w:hAnsi="Arial"/>
          <w:b/>
          <w:sz w:val="18"/>
        </w:rPr>
      </w:pPr>
      <w:r>
        <w:rPr>
          <w:rFonts w:ascii="Arial" w:hAnsi="Arial"/>
          <w:b/>
          <w:sz w:val="18"/>
        </w:rPr>
        <w:t>The Motor Insurers’ </w:t>
      </w:r>
      <w:r>
        <w:rPr>
          <w:rFonts w:ascii="Arial" w:hAnsi="Arial"/>
          <w:b/>
          <w:spacing w:val="-2"/>
          <w:sz w:val="18"/>
        </w:rPr>
        <w:t>Bureau</w:t>
      </w:r>
    </w:p>
    <w:p>
      <w:pPr>
        <w:pStyle w:val="BodyText"/>
        <w:spacing w:before="41"/>
        <w:rPr>
          <w:rFonts w:ascii="Arial"/>
          <w:b/>
          <w:sz w:val="18"/>
        </w:rPr>
      </w:pPr>
    </w:p>
    <w:p>
      <w:pPr>
        <w:pStyle w:val="Heading2"/>
      </w:pPr>
      <w:r>
        <w:rPr/>
        <w:t>18-</w:t>
      </w:r>
      <w:r>
        <w:rPr>
          <w:spacing w:val="-5"/>
        </w:rPr>
        <w:t>137</w:t>
      </w:r>
    </w:p>
    <w:p>
      <w:pPr>
        <w:pStyle w:val="BodyText"/>
        <w:spacing w:before="92"/>
        <w:rPr>
          <w:rFonts w:ascii="Arial"/>
          <w:b/>
        </w:rPr>
      </w:pPr>
    </w:p>
    <w:p>
      <w:pPr>
        <w:pStyle w:val="BodyText"/>
        <w:spacing w:line="235" w:lineRule="auto" w:before="1"/>
        <w:ind w:left="165" w:right="167"/>
        <w:jc w:val="both"/>
      </w:pPr>
      <w:r>
        <w:rPr>
          <w:position w:val="-2"/>
        </w:rPr>
        <w:drawing>
          <wp:inline distT="0" distB="0" distL="0" distR="0">
            <wp:extent cx="107988" cy="107988"/>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the case of victims of motor accidents, the statutory rights described in para.18-136 above </w:t>
      </w:r>
      <w:r>
        <w:rPr/>
        <w:t>are </w:t>
      </w:r>
      <w:bookmarkStart w:name="_bookmark1460" w:id="1462"/>
      <w:bookmarkEnd w:id="1462"/>
      <w:r>
        <w:rPr/>
        <w:t>supplemented</w:t>
      </w:r>
      <w:r>
        <w:rPr>
          <w:spacing w:val="6"/>
        </w:rPr>
        <w:t> </w:t>
      </w:r>
      <w:r>
        <w:rPr/>
        <w:t>by</w:t>
      </w:r>
      <w:r>
        <w:rPr>
          <w:spacing w:val="6"/>
        </w:rPr>
        <w:t> </w:t>
      </w:r>
      <w:r>
        <w:rPr/>
        <w:t>an</w:t>
      </w:r>
      <w:r>
        <w:rPr>
          <w:spacing w:val="6"/>
        </w:rPr>
        <w:t> </w:t>
      </w:r>
      <w:r>
        <w:rPr/>
        <w:t>agreement</w:t>
      </w:r>
      <w:r>
        <w:rPr>
          <w:spacing w:val="6"/>
        </w:rPr>
        <w:t> </w:t>
      </w:r>
      <w:r>
        <w:rPr/>
        <w:t>originally</w:t>
      </w:r>
      <w:r>
        <w:rPr>
          <w:spacing w:val="6"/>
        </w:rPr>
        <w:t> </w:t>
      </w:r>
      <w:r>
        <w:rPr/>
        <w:t>made</w:t>
      </w:r>
      <w:r>
        <w:rPr>
          <w:spacing w:val="6"/>
        </w:rPr>
        <w:t> </w:t>
      </w:r>
      <w:r>
        <w:rPr/>
        <w:t>between</w:t>
      </w:r>
      <w:r>
        <w:rPr>
          <w:spacing w:val="6"/>
        </w:rPr>
        <w:t> </w:t>
      </w:r>
      <w:r>
        <w:rPr/>
        <w:t>the</w:t>
      </w:r>
      <w:r>
        <w:rPr>
          <w:spacing w:val="6"/>
        </w:rPr>
        <w:t> </w:t>
      </w:r>
      <w:r>
        <w:rPr/>
        <w:t>Motor</w:t>
      </w:r>
      <w:r>
        <w:rPr>
          <w:spacing w:val="6"/>
        </w:rPr>
        <w:t> </w:t>
      </w:r>
      <w:r>
        <w:rPr/>
        <w:t>Insurers’</w:t>
      </w:r>
      <w:r>
        <w:rPr>
          <w:spacing w:val="6"/>
        </w:rPr>
        <w:t> </w:t>
      </w:r>
      <w:r>
        <w:rPr/>
        <w:t>Bureau</w:t>
      </w:r>
      <w:r>
        <w:rPr>
          <w:spacing w:val="6"/>
        </w:rPr>
        <w:t> </w:t>
      </w:r>
      <w:r>
        <w:rPr/>
        <w:t>and</w:t>
      </w:r>
      <w:r>
        <w:rPr>
          <w:spacing w:val="6"/>
        </w:rPr>
        <w:t> </w:t>
      </w:r>
      <w:r>
        <w:rPr/>
        <w:t>the</w:t>
      </w:r>
      <w:r>
        <w:rPr>
          <w:spacing w:val="6"/>
        </w:rPr>
        <w:t> </w:t>
      </w:r>
      <w:r>
        <w:rPr>
          <w:spacing w:val="-2"/>
        </w:rPr>
        <w:t>Minister</w:t>
      </w:r>
    </w:p>
    <w:p>
      <w:pPr>
        <w:pStyle w:val="BodyText"/>
        <w:spacing w:line="235" w:lineRule="auto" w:before="119"/>
        <w:ind w:left="165" w:right="167"/>
        <w:jc w:val="both"/>
      </w:pPr>
      <w:r>
        <w:rPr/>
        <w:t>of Transport. </w:t>
      </w:r>
      <w:r>
        <w:rPr>
          <w:color w:val="005DA1"/>
          <w:u w:val="single" w:color="005DA1"/>
          <w:vertAlign w:val="superscript"/>
        </w:rPr>
        <w:t>793</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30"/>
          <w:vertAlign w:val="baseline"/>
        </w:rPr>
        <w:t> </w:t>
      </w:r>
      <w:r>
        <w:rPr>
          <w:vertAlign w:val="baseline"/>
        </w:rPr>
        <w:t>This provides that, in the circumstances specified in the agreement, the </w:t>
      </w:r>
      <w:r>
        <w:rPr>
          <w:vertAlign w:val="baseline"/>
        </w:rPr>
        <w:t>Bureau will pay any judgment (to the extent to which it remains unsatisfied) in respect of any liability which is required to be covered by a policy of insurance under the statutory scheme of compulsory motor </w:t>
      </w:r>
      <w:bookmarkStart w:name="_bookmark1461" w:id="1463"/>
      <w:bookmarkEnd w:id="1463"/>
      <w:r>
        <w:rPr>
          <w:vertAlign w:val="baseline"/>
        </w:rPr>
        <w:t>insurance.</w:t>
      </w:r>
      <w:r>
        <w:rPr>
          <w:vertAlign w:val="baseline"/>
        </w:rPr>
        <w:t> At common law, a person who is injured in a road accident cannot technically sue on the </w:t>
      </w:r>
      <w:bookmarkStart w:name="_bookmark1462" w:id="1464"/>
      <w:bookmarkEnd w:id="1464"/>
      <w:r>
        <w:rPr>
          <w:vertAlign w:val="baseline"/>
        </w:rPr>
        <w:t>agreement</w:t>
      </w:r>
      <w:r>
        <w:rPr>
          <w:vertAlign w:val="baseline"/>
        </w:rPr>
        <w:t> as he is not a party to it. </w:t>
      </w:r>
      <w:r>
        <w:rPr>
          <w:color w:val="005DA1"/>
          <w:u w:val="single" w:color="005DA1"/>
          <w:vertAlign w:val="superscript"/>
        </w:rPr>
        <w:t>794</w:t>
      </w:r>
      <w:r>
        <w:rPr>
          <w:color w:val="005DA1"/>
          <w:vertAlign w:val="baseline"/>
        </w:rPr>
        <w:t> </w:t>
      </w:r>
      <w:r>
        <w:rPr>
          <w:vertAlign w:val="baseline"/>
        </w:rPr>
        <w:t>But the agreement may be specifically enforced b the </w:t>
      </w:r>
      <w:bookmarkStart w:name="_bookmark1463" w:id="1465"/>
      <w:bookmarkEnd w:id="1465"/>
      <w:r>
        <w:rPr>
          <w:vertAlign w:val="baseline"/>
        </w:rPr>
        <w:t>appropriate</w:t>
      </w:r>
      <w:r>
        <w:rPr>
          <w:spacing w:val="9"/>
          <w:vertAlign w:val="baseline"/>
        </w:rPr>
        <w:t> </w:t>
      </w:r>
      <w:r>
        <w:rPr>
          <w:vertAlign w:val="baseline"/>
        </w:rPr>
        <w:t>Minister</w:t>
      </w:r>
      <w:r>
        <w:rPr>
          <w:spacing w:val="10"/>
          <w:vertAlign w:val="baseline"/>
        </w:rPr>
        <w:t> </w:t>
      </w:r>
      <w:r>
        <w:rPr>
          <w:color w:val="005DA1"/>
          <w:u w:val="single" w:color="005DA1"/>
          <w:vertAlign w:val="superscript"/>
        </w:rPr>
        <w:t>795</w:t>
      </w:r>
      <w:r>
        <w:rPr>
          <w:vertAlign w:val="baseline"/>
        </w:rPr>
        <w:t>;</w:t>
      </w:r>
      <w:r>
        <w:rPr>
          <w:spacing w:val="9"/>
          <w:vertAlign w:val="baseline"/>
        </w:rPr>
        <w:t> </w:t>
      </w:r>
      <w:r>
        <w:rPr>
          <w:vertAlign w:val="baseline"/>
        </w:rPr>
        <w:t>and</w:t>
      </w:r>
      <w:r>
        <w:rPr>
          <w:spacing w:val="10"/>
          <w:vertAlign w:val="baseline"/>
        </w:rPr>
        <w:t> </w:t>
      </w:r>
      <w:r>
        <w:rPr>
          <w:vertAlign w:val="baseline"/>
        </w:rPr>
        <w:t>although</w:t>
      </w:r>
      <w:r>
        <w:rPr>
          <w:spacing w:val="9"/>
          <w:vertAlign w:val="baseline"/>
        </w:rPr>
        <w:t> </w:t>
      </w:r>
      <w:r>
        <w:rPr>
          <w:vertAlign w:val="baseline"/>
        </w:rPr>
        <w:t>“the</w:t>
      </w:r>
      <w:r>
        <w:rPr>
          <w:spacing w:val="10"/>
          <w:vertAlign w:val="baseline"/>
        </w:rPr>
        <w:t> </w:t>
      </w:r>
      <w:r>
        <w:rPr>
          <w:vertAlign w:val="baseline"/>
        </w:rPr>
        <w:t>foundations</w:t>
      </w:r>
      <w:r>
        <w:rPr>
          <w:spacing w:val="10"/>
          <w:vertAlign w:val="baseline"/>
        </w:rPr>
        <w:t> </w:t>
      </w:r>
      <w:r>
        <w:rPr>
          <w:vertAlign w:val="baseline"/>
        </w:rPr>
        <w:t>in</w:t>
      </w:r>
      <w:r>
        <w:rPr>
          <w:spacing w:val="9"/>
          <w:vertAlign w:val="baseline"/>
        </w:rPr>
        <w:t> </w:t>
      </w:r>
      <w:r>
        <w:rPr>
          <w:vertAlign w:val="baseline"/>
        </w:rPr>
        <w:t>jurisprudence”</w:t>
      </w:r>
      <w:r>
        <w:rPr>
          <w:spacing w:val="10"/>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agreement</w:t>
      </w:r>
      <w:r>
        <w:rPr>
          <w:spacing w:val="10"/>
          <w:vertAlign w:val="baseline"/>
        </w:rPr>
        <w:t> </w:t>
      </w:r>
      <w:r>
        <w:rPr>
          <w:vertAlign w:val="baseline"/>
        </w:rPr>
        <w:t>“are</w:t>
      </w:r>
      <w:r>
        <w:rPr>
          <w:spacing w:val="9"/>
          <w:vertAlign w:val="baseline"/>
        </w:rPr>
        <w:t> </w:t>
      </w:r>
      <w:r>
        <w:rPr>
          <w:spacing w:val="-2"/>
          <w:vertAlign w:val="baseline"/>
        </w:rPr>
        <w:t>better</w:t>
      </w:r>
    </w:p>
    <w:p>
      <w:pPr>
        <w:pStyle w:val="BodyText"/>
        <w:spacing w:before="114"/>
        <w:ind w:left="165"/>
        <w:jc w:val="both"/>
      </w:pPr>
      <w:bookmarkStart w:name="_bookmark1464" w:id="1466"/>
      <w:bookmarkEnd w:id="1466"/>
      <w:r>
        <w:rPr/>
      </w:r>
      <w:r>
        <w:rPr/>
        <w:t>not</w:t>
      </w:r>
      <w:r>
        <w:rPr>
          <w:spacing w:val="23"/>
        </w:rPr>
        <w:t> </w:t>
      </w:r>
      <w:r>
        <w:rPr/>
        <w:t>questioned,”</w:t>
      </w:r>
      <w:r>
        <w:rPr>
          <w:spacing w:val="22"/>
        </w:rPr>
        <w:t> </w:t>
      </w:r>
      <w:r>
        <w:rPr>
          <w:color w:val="005DA1"/>
          <w:u w:val="single" w:color="005DA1"/>
          <w:vertAlign w:val="superscript"/>
        </w:rPr>
        <w:t>796</w:t>
      </w:r>
      <w:r>
        <w:rPr>
          <w:color w:val="005DA1"/>
          <w:spacing w:val="62"/>
          <w:vertAlign w:val="baseline"/>
        </w:rPr>
        <w:t>  </w:t>
      </w:r>
      <w:r>
        <w:rPr>
          <w:color w:val="005DA1"/>
          <w:spacing w:val="16"/>
          <w:position w:val="-2"/>
          <w:vertAlign w:val="baseline"/>
        </w:rPr>
        <w:drawing>
          <wp:inline distT="0" distB="0" distL="0" distR="0">
            <wp:extent cx="107988" cy="107988"/>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12"/>
          <w:vertAlign w:val="baseline"/>
        </w:rPr>
        <w:t> </w:t>
      </w:r>
      <w:r>
        <w:rPr>
          <w:vertAlign w:val="baseline"/>
        </w:rPr>
        <w:t>the</w:t>
      </w:r>
      <w:r>
        <w:rPr>
          <w:spacing w:val="23"/>
          <w:vertAlign w:val="baseline"/>
        </w:rPr>
        <w:t> </w:t>
      </w:r>
      <w:r>
        <w:rPr>
          <w:vertAlign w:val="baseline"/>
        </w:rPr>
        <w:t>Bureau’s</w:t>
      </w:r>
      <w:r>
        <w:rPr>
          <w:spacing w:val="23"/>
          <w:vertAlign w:val="baseline"/>
        </w:rPr>
        <w:t> </w:t>
      </w:r>
      <w:r>
        <w:rPr>
          <w:vertAlign w:val="baseline"/>
        </w:rPr>
        <w:t>policy</w:t>
      </w:r>
      <w:r>
        <w:rPr>
          <w:spacing w:val="24"/>
          <w:vertAlign w:val="baseline"/>
        </w:rPr>
        <w:t> </w:t>
      </w:r>
      <w:r>
        <w:rPr>
          <w:vertAlign w:val="baseline"/>
        </w:rPr>
        <w:t>is</w:t>
      </w:r>
      <w:r>
        <w:rPr>
          <w:spacing w:val="23"/>
          <w:vertAlign w:val="baseline"/>
        </w:rPr>
        <w:t> </w:t>
      </w:r>
      <w:r>
        <w:rPr>
          <w:vertAlign w:val="baseline"/>
        </w:rPr>
        <w:t>not</w:t>
      </w:r>
      <w:r>
        <w:rPr>
          <w:spacing w:val="23"/>
          <w:vertAlign w:val="baseline"/>
        </w:rPr>
        <w:t> </w:t>
      </w:r>
      <w:r>
        <w:rPr>
          <w:vertAlign w:val="baseline"/>
        </w:rPr>
        <w:t>to</w:t>
      </w:r>
      <w:r>
        <w:rPr>
          <w:spacing w:val="23"/>
          <w:vertAlign w:val="baseline"/>
        </w:rPr>
        <w:t> </w:t>
      </w:r>
      <w:r>
        <w:rPr>
          <w:vertAlign w:val="baseline"/>
        </w:rPr>
        <w:t>rely</w:t>
      </w:r>
      <w:r>
        <w:rPr>
          <w:spacing w:val="23"/>
          <w:vertAlign w:val="baseline"/>
        </w:rPr>
        <w:t> </w:t>
      </w:r>
      <w:r>
        <w:rPr>
          <w:vertAlign w:val="baseline"/>
        </w:rPr>
        <w:t>on</w:t>
      </w:r>
      <w:r>
        <w:rPr>
          <w:spacing w:val="23"/>
          <w:vertAlign w:val="baseline"/>
        </w:rPr>
        <w:t> </w:t>
      </w:r>
      <w:r>
        <w:rPr>
          <w:vertAlign w:val="baseline"/>
        </w:rPr>
        <w:t>the</w:t>
      </w:r>
      <w:r>
        <w:rPr>
          <w:spacing w:val="24"/>
          <w:vertAlign w:val="baseline"/>
        </w:rPr>
        <w:t> </w:t>
      </w:r>
      <w:r>
        <w:rPr>
          <w:vertAlign w:val="baseline"/>
        </w:rPr>
        <w:t>doctrine</w:t>
      </w:r>
      <w:r>
        <w:rPr>
          <w:spacing w:val="23"/>
          <w:vertAlign w:val="baseline"/>
        </w:rPr>
        <w:t> </w:t>
      </w:r>
      <w:r>
        <w:rPr>
          <w:vertAlign w:val="baseline"/>
        </w:rPr>
        <w:t>of</w:t>
      </w:r>
      <w:r>
        <w:rPr>
          <w:spacing w:val="23"/>
          <w:vertAlign w:val="baseline"/>
        </w:rPr>
        <w:t> </w:t>
      </w:r>
      <w:r>
        <w:rPr>
          <w:vertAlign w:val="baseline"/>
        </w:rPr>
        <w:t>privity</w:t>
      </w:r>
      <w:r>
        <w:rPr>
          <w:spacing w:val="23"/>
          <w:vertAlign w:val="baseline"/>
        </w:rPr>
        <w:t> </w:t>
      </w:r>
      <w:r>
        <w:rPr>
          <w:vertAlign w:val="baseline"/>
        </w:rPr>
        <w:t>as</w:t>
      </w:r>
      <w:r>
        <w:rPr>
          <w:spacing w:val="23"/>
          <w:vertAlign w:val="baseline"/>
        </w:rPr>
        <w:t> </w:t>
      </w:r>
      <w:r>
        <w:rPr>
          <w:vertAlign w:val="baseline"/>
        </w:rPr>
        <w:t>a</w:t>
      </w:r>
      <w:r>
        <w:rPr>
          <w:spacing w:val="23"/>
          <w:vertAlign w:val="baseline"/>
        </w:rPr>
        <w:t> </w:t>
      </w:r>
      <w:r>
        <w:rPr>
          <w:vertAlign w:val="baseline"/>
        </w:rPr>
        <w:t>defence</w:t>
      </w:r>
      <w:r>
        <w:rPr>
          <w:spacing w:val="24"/>
          <w:vertAlign w:val="baseline"/>
        </w:rPr>
        <w:t> </w:t>
      </w:r>
      <w:r>
        <w:rPr>
          <w:spacing w:val="-5"/>
          <w:vertAlign w:val="baseline"/>
        </w:rPr>
        <w:t>to</w:t>
      </w:r>
    </w:p>
    <w:p>
      <w:pPr>
        <w:pStyle w:val="BodyText"/>
        <w:spacing w:line="235" w:lineRule="auto" w:before="119"/>
        <w:ind w:left="164" w:right="167"/>
        <w:jc w:val="both"/>
      </w:pPr>
      <w:r>
        <w:rPr/>
        <w:t>claims by the injured parties themselves. </w:t>
      </w:r>
      <w:r>
        <w:rPr>
          <w:color w:val="005DA1"/>
          <w:u w:val="single" w:color="005DA1"/>
          <w:vertAlign w:val="superscript"/>
        </w:rPr>
        <w:t>797</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6"/>
          <w:vertAlign w:val="baseline"/>
        </w:rPr>
        <w:t> </w:t>
      </w:r>
      <w:r>
        <w:rPr>
          <w:vertAlign w:val="baseline"/>
        </w:rPr>
        <w:t>It is also now possible to draft the relevant </w:t>
      </w:r>
      <w:bookmarkStart w:name="_bookmark1465" w:id="1467"/>
      <w:bookmarkEnd w:id="1467"/>
      <w:r>
        <w:rPr>
          <w:vertAlign w:val="baseline"/>
        </w:rPr>
        <w:t>agreements</w:t>
      </w:r>
      <w:r>
        <w:rPr>
          <w:vertAlign w:val="baseline"/>
        </w:rPr>
        <w:t> between the Bureau and the Secretary of State in such a way as to enable the victim </w:t>
      </w:r>
      <w:r>
        <w:rPr>
          <w:vertAlign w:val="baseline"/>
        </w:rPr>
        <w:t>to enforce them in his own right under s.1 of the Contracts (Rights of Third Parties) Act 1999. </w:t>
      </w:r>
      <w:r>
        <w:rPr>
          <w:color w:val="005DA1"/>
          <w:u w:val="single" w:color="005DA1"/>
          <w:vertAlign w:val="superscript"/>
        </w:rPr>
        <w:t>798</w:t>
      </w:r>
    </w:p>
    <w:p>
      <w:pPr>
        <w:pStyle w:val="BodyText"/>
      </w:pPr>
    </w:p>
    <w:p>
      <w:pPr>
        <w:pStyle w:val="BodyText"/>
        <w:spacing w:before="37"/>
      </w:pPr>
    </w:p>
    <w:p>
      <w:pPr>
        <w:spacing w:before="0"/>
        <w:ind w:left="165" w:right="0" w:firstLine="0"/>
        <w:jc w:val="both"/>
        <w:rPr>
          <w:rFonts w:ascii="Arial"/>
          <w:b/>
          <w:sz w:val="18"/>
        </w:rPr>
      </w:pPr>
      <w:r>
        <w:rPr>
          <w:rFonts w:ascii="Arial"/>
          <w:b/>
          <w:sz w:val="18"/>
        </w:rPr>
        <w:t>Defective </w:t>
      </w:r>
      <w:r>
        <w:rPr>
          <w:rFonts w:ascii="Arial"/>
          <w:b/>
          <w:spacing w:val="-2"/>
          <w:sz w:val="18"/>
        </w:rPr>
        <w:t>premises</w:t>
      </w:r>
    </w:p>
    <w:p>
      <w:pPr>
        <w:pStyle w:val="BodyText"/>
        <w:spacing w:before="41"/>
        <w:rPr>
          <w:rFonts w:ascii="Arial"/>
          <w:b/>
          <w:sz w:val="18"/>
        </w:rPr>
      </w:pPr>
    </w:p>
    <w:p>
      <w:pPr>
        <w:pStyle w:val="Heading2"/>
      </w:pPr>
      <w:r>
        <w:rPr/>
        <w:t>18-</w:t>
      </w:r>
      <w:r>
        <w:rPr>
          <w:spacing w:val="-5"/>
        </w:rPr>
        <w:t>138</w:t>
      </w:r>
    </w:p>
    <w:p>
      <w:pPr>
        <w:pStyle w:val="BodyText"/>
        <w:spacing w:line="235" w:lineRule="auto" w:before="203"/>
        <w:ind w:left="164" w:right="166"/>
        <w:jc w:val="both"/>
      </w:pPr>
      <w:r>
        <w:rPr/>
        <w:t>Under the Occupiers’ Liability Act 1957, an occupier of premises who is bound by contract to permit persons who are strangers to the contract to enter or use the premises owes them (subject to any </w:t>
      </w:r>
      <w:bookmarkStart w:name="_bookmark1466" w:id="1468"/>
      <w:bookmarkEnd w:id="1468"/>
      <w:r>
        <w:rPr/>
        <w:t>contrary</w:t>
      </w:r>
      <w:r>
        <w:rPr/>
        <w:t> provision in the contract) not only the common duty of care but also any stricter obligation he may undertake towards the other contracting party. </w:t>
      </w:r>
      <w:r>
        <w:rPr>
          <w:color w:val="005DA1"/>
          <w:u w:val="single" w:color="005DA1"/>
          <w:vertAlign w:val="superscript"/>
        </w:rPr>
        <w:t>799</w:t>
      </w:r>
      <w:r>
        <w:rPr>
          <w:color w:val="005DA1"/>
          <w:vertAlign w:val="baseline"/>
        </w:rPr>
        <w:t> </w:t>
      </w:r>
      <w:r>
        <w:rPr>
          <w:vertAlign w:val="baseline"/>
        </w:rPr>
        <w:t>The Defective Premises Act 1972 imposes </w:t>
      </w:r>
      <w:bookmarkStart w:name="_bookmark1467" w:id="1469"/>
      <w:bookmarkEnd w:id="1469"/>
      <w:r>
        <w:rPr>
          <w:vertAlign w:val="baseline"/>
        </w:rPr>
        <w:t>certain</w:t>
      </w:r>
      <w:r>
        <w:rPr>
          <w:vertAlign w:val="baseline"/>
        </w:rPr>
        <w:t> duties on a person who takes on work for or in connection with the provision of a dwelling. </w:t>
      </w:r>
      <w:bookmarkStart w:name="_bookmark1468" w:id="1470"/>
      <w:bookmarkEnd w:id="1470"/>
      <w:r>
        <w:rPr>
          <w:vertAlign w:val="baseline"/>
        </w:rPr>
        <w:t>These</w:t>
      </w:r>
      <w:r>
        <w:rPr>
          <w:vertAlign w:val="baseline"/>
        </w:rPr>
        <w:t> duties are owed not only to the person to whose order </w:t>
      </w:r>
      <w:r>
        <w:rPr>
          <w:color w:val="005DA1"/>
          <w:u w:val="single" w:color="005DA1"/>
          <w:vertAlign w:val="superscript"/>
        </w:rPr>
        <w:t>800</w:t>
      </w:r>
      <w:r>
        <w:rPr>
          <w:color w:val="005DA1"/>
          <w:vertAlign w:val="baseline"/>
        </w:rPr>
        <w:t> </w:t>
      </w:r>
      <w:r>
        <w:rPr>
          <w:vertAlign w:val="baseline"/>
        </w:rPr>
        <w:t>the dwelling is provided but also </w:t>
      </w:r>
      <w:r>
        <w:rPr>
          <w:vertAlign w:val="baseline"/>
        </w:rPr>
        <w:t>to </w:t>
      </w:r>
      <w:bookmarkStart w:name="_bookmark1469" w:id="1471"/>
      <w:bookmarkEnd w:id="1471"/>
      <w:r>
        <w:rPr>
          <w:vertAlign w:val="baseline"/>
        </w:rPr>
        <w:t>any</w:t>
      </w:r>
      <w:r>
        <w:rPr>
          <w:vertAlign w:val="baseline"/>
        </w:rPr>
        <w:t> person who acquires an interest (whether legal or equitable) in the dwelling. </w:t>
      </w:r>
      <w:r>
        <w:rPr>
          <w:color w:val="005DA1"/>
          <w:u w:val="single" w:color="005DA1"/>
          <w:vertAlign w:val="superscript"/>
        </w:rPr>
        <w:t>801</w:t>
      </w:r>
      <w:r>
        <w:rPr>
          <w:color w:val="005DA1"/>
          <w:vertAlign w:val="baseline"/>
        </w:rPr>
        <w:t> </w:t>
      </w:r>
      <w:r>
        <w:rPr>
          <w:vertAlign w:val="baseline"/>
        </w:rPr>
        <w:t>The Act also</w:t>
      </w:r>
      <w:r>
        <w:rPr>
          <w:spacing w:val="40"/>
          <w:vertAlign w:val="baseline"/>
        </w:rPr>
        <w:t> </w:t>
      </w:r>
      <w:r>
        <w:rPr>
          <w:vertAlign w:val="baseline"/>
        </w:rPr>
        <w:t>deals with the case where premises are let under a tenancy which puts on the landlord an obligation </w:t>
      </w:r>
      <w:r>
        <w:rPr>
          <w:color w:val="005DA1"/>
          <w:u w:val="single" w:color="005DA1"/>
          <w:vertAlign w:val="superscript"/>
        </w:rPr>
        <w:t>802</w:t>
      </w:r>
      <w:r>
        <w:rPr>
          <w:color w:val="005DA1"/>
          <w:vertAlign w:val="baseline"/>
        </w:rPr>
        <w:t> </w:t>
      </w:r>
      <w:r>
        <w:rPr>
          <w:vertAlign w:val="baseline"/>
        </w:rPr>
        <w:t>to the tenant for the maintenance or repair of the premises. The landlord in such a case owes a duty to all persons, who might reasonably be expected to be affected by defects in the state of the </w:t>
      </w:r>
      <w:bookmarkStart w:name="_bookmark1470" w:id="1472"/>
      <w:bookmarkEnd w:id="1472"/>
      <w:r>
        <w:rPr>
          <w:vertAlign w:val="baseline"/>
        </w:rPr>
        <w:t>premises,</w:t>
      </w:r>
      <w:r>
        <w:rPr>
          <w:vertAlign w:val="baseline"/>
        </w:rPr>
        <w:t> to take reasonable care to see that such persons are reasonably safe from personal injury or damage to their property caused by a relevant defect. </w:t>
      </w:r>
      <w:r>
        <w:rPr>
          <w:color w:val="005DA1"/>
          <w:u w:val="single" w:color="005DA1"/>
          <w:vertAlign w:val="superscript"/>
        </w:rPr>
        <w:t>803</w:t>
      </w:r>
    </w:p>
    <w:p>
      <w:pPr>
        <w:pStyle w:val="BodyText"/>
      </w:pPr>
    </w:p>
    <w:p>
      <w:pPr>
        <w:pStyle w:val="BodyText"/>
        <w:spacing w:before="35"/>
      </w:pPr>
      <w:r>
        <w:rPr/>
        <mc:AlternateContent>
          <mc:Choice Requires="wps">
            <w:drawing>
              <wp:anchor distT="0" distB="0" distL="0" distR="0" allowOverlap="1" layoutInCell="1" locked="0" behindDoc="1" simplePos="0" relativeHeight="487641600">
                <wp:simplePos x="0" y="0"/>
                <wp:positionH relativeFrom="page">
                  <wp:posOffset>914400</wp:posOffset>
                </wp:positionH>
                <wp:positionV relativeFrom="paragraph">
                  <wp:posOffset>183874</wp:posOffset>
                </wp:positionV>
                <wp:extent cx="5724525"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8285pt;width:450.75pt;height:.1pt;mso-position-horizontal-relative:page;mso-position-vertical-relative:paragraph;z-index:-15674880;mso-wrap-distance-left:0;mso-wrap-distance-right:0" id="docshape36"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86272">
                <wp:simplePos x="0" y="0"/>
                <wp:positionH relativeFrom="page">
                  <wp:posOffset>914400</wp:posOffset>
                </wp:positionH>
                <wp:positionV relativeFrom="paragraph">
                  <wp:posOffset>97116</wp:posOffset>
                </wp:positionV>
                <wp:extent cx="4953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30208" from="72pt,7.646976pt" to="75.892pt,7.646976pt" stroked="true" strokeweight=".5pt" strokecolor="#005da1">
                <v:stroke dashstyle="solid"/>
                <w10:wrap type="none"/>
              </v:line>
            </w:pict>
          </mc:Fallback>
        </mc:AlternateContent>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5"/>
      </w:pPr>
    </w:p>
    <w:p>
      <w:pPr>
        <w:pStyle w:val="BodyText"/>
        <w:tabs>
          <w:tab w:pos="705" w:val="left" w:leader="none"/>
        </w:tabs>
        <w:ind w:left="165"/>
      </w:pPr>
      <w:bookmarkStart w:name="_bookmark1471" w:id="1473"/>
      <w:bookmarkEnd w:id="1473"/>
      <w:r>
        <w:rPr/>
      </w:r>
      <w:hyperlink w:history="true" w:anchor="_bookmark1416">
        <w:r>
          <w:rPr>
            <w:color w:val="005DA1"/>
            <w:spacing w:val="-4"/>
            <w:position w:val="5"/>
            <w:sz w:val="14"/>
            <w:u w:val="single" w:color="005DA1"/>
          </w:rPr>
          <w:t>742</w:t>
        </w:r>
      </w:hyperlink>
      <w:r>
        <w:rPr>
          <w:spacing w:val="-4"/>
          <w:position w:val="5"/>
          <w:sz w:val="14"/>
        </w:rPr>
        <w:t>.</w:t>
      </w:r>
      <w:r>
        <w:rPr>
          <w:position w:val="5"/>
          <w:sz w:val="14"/>
        </w:rPr>
        <w:tab/>
      </w:r>
      <w:r>
        <w:rPr/>
        <w:t>See</w:t>
      </w:r>
      <w:r>
        <w:rPr>
          <w:spacing w:val="-2"/>
        </w:rPr>
        <w:t> </w:t>
      </w:r>
      <w:r>
        <w:rPr/>
        <w:t>s.7(1) of the 1999 </w:t>
      </w:r>
      <w:r>
        <w:rPr>
          <w:spacing w:val="-4"/>
        </w:rPr>
        <w:t>Act.</w:t>
      </w:r>
    </w:p>
    <w:p>
      <w:pPr>
        <w:pStyle w:val="BodyText"/>
        <w:spacing w:before="5"/>
      </w:pPr>
    </w:p>
    <w:p>
      <w:pPr>
        <w:pStyle w:val="BodyText"/>
        <w:spacing w:line="227" w:lineRule="exact"/>
        <w:ind w:left="165"/>
        <w:jc w:val="both"/>
      </w:pPr>
      <w:bookmarkStart w:name="_bookmark1472" w:id="1474"/>
      <w:bookmarkEnd w:id="1474"/>
      <w:r>
        <w:rPr/>
      </w:r>
      <w:hyperlink w:history="true" w:anchor="_bookmark1417">
        <w:r>
          <w:rPr>
            <w:color w:val="005DA1"/>
            <w:position w:val="5"/>
            <w:sz w:val="14"/>
            <w:u w:val="single" w:color="005DA1"/>
          </w:rPr>
          <w:t>743</w:t>
        </w:r>
      </w:hyperlink>
      <w:r>
        <w:rPr>
          <w:position w:val="5"/>
          <w:sz w:val="14"/>
        </w:rPr>
        <w:t>.</w:t>
      </w:r>
      <w:r>
        <w:rPr>
          <w:spacing w:val="75"/>
          <w:w w:val="150"/>
          <w:position w:val="5"/>
          <w:sz w:val="14"/>
        </w:rPr>
        <w:t>  </w:t>
      </w:r>
      <w:r>
        <w:rPr/>
        <w:t>Elliott</w:t>
      </w:r>
      <w:r>
        <w:rPr>
          <w:spacing w:val="60"/>
        </w:rPr>
        <w:t> </w:t>
      </w:r>
      <w:r>
        <w:rPr/>
        <w:t>(1956)</w:t>
      </w:r>
      <w:r>
        <w:rPr>
          <w:spacing w:val="58"/>
        </w:rPr>
        <w:t> </w:t>
      </w:r>
      <w:r>
        <w:rPr/>
        <w:t>20</w:t>
      </w:r>
      <w:r>
        <w:rPr>
          <w:spacing w:val="59"/>
        </w:rPr>
        <w:t> </w:t>
      </w:r>
      <w:r>
        <w:rPr/>
        <w:t>Conv.</w:t>
      </w:r>
      <w:r>
        <w:rPr>
          <w:spacing w:val="59"/>
        </w:rPr>
        <w:t> </w:t>
      </w:r>
      <w:r>
        <w:rPr/>
        <w:t>43,</w:t>
      </w:r>
      <w:r>
        <w:rPr>
          <w:spacing w:val="59"/>
        </w:rPr>
        <w:t> </w:t>
      </w:r>
      <w:r>
        <w:rPr/>
        <w:t>114;</w:t>
      </w:r>
      <w:r>
        <w:rPr>
          <w:spacing w:val="59"/>
        </w:rPr>
        <w:t> </w:t>
      </w:r>
      <w:r>
        <w:rPr/>
        <w:t>Andrews</w:t>
      </w:r>
      <w:r>
        <w:rPr>
          <w:spacing w:val="59"/>
        </w:rPr>
        <w:t> </w:t>
      </w:r>
      <w:r>
        <w:rPr/>
        <w:t>(1959)</w:t>
      </w:r>
      <w:r>
        <w:rPr>
          <w:spacing w:val="59"/>
        </w:rPr>
        <w:t> </w:t>
      </w:r>
      <w:r>
        <w:rPr/>
        <w:t>23</w:t>
      </w:r>
      <w:r>
        <w:rPr>
          <w:spacing w:val="59"/>
        </w:rPr>
        <w:t> </w:t>
      </w:r>
      <w:r>
        <w:rPr/>
        <w:t>Conv.</w:t>
      </w:r>
      <w:r>
        <w:rPr>
          <w:spacing w:val="59"/>
        </w:rPr>
        <w:t> </w:t>
      </w:r>
      <w:r>
        <w:rPr/>
        <w:t>179;</w:t>
      </w:r>
      <w:r>
        <w:rPr>
          <w:spacing w:val="59"/>
        </w:rPr>
        <w:t> </w:t>
      </w:r>
      <w:r>
        <w:rPr/>
        <w:t>Wade</w:t>
      </w:r>
      <w:r>
        <w:rPr>
          <w:spacing w:val="59"/>
        </w:rPr>
        <w:t> </w:t>
      </w:r>
      <w:r>
        <w:rPr/>
        <w:t>[1964]</w:t>
      </w:r>
      <w:r>
        <w:rPr>
          <w:spacing w:val="59"/>
        </w:rPr>
        <w:t> </w:t>
      </w:r>
      <w:r>
        <w:rPr/>
        <w:t>C.L.J.</w:t>
      </w:r>
      <w:r>
        <w:rPr>
          <w:spacing w:val="59"/>
        </w:rPr>
        <w:t> </w:t>
      </w:r>
      <w:r>
        <w:rPr>
          <w:spacing w:val="-5"/>
        </w:rPr>
        <w:t>66;</w:t>
      </w:r>
    </w:p>
    <w:p>
      <w:pPr>
        <w:pStyle w:val="BodyText"/>
        <w:spacing w:line="235" w:lineRule="auto" w:before="1"/>
        <w:ind w:left="705" w:right="167"/>
        <w:jc w:val="both"/>
      </w:pPr>
      <w:r>
        <w:rPr/>
        <w:t>Furmston (1960) 23 M.L.R. 380–385; Ellinger (1963) 26 M.L.R. 396; all these comments </w:t>
      </w:r>
      <w:r>
        <w:rPr/>
        <w:t>on s.56(1) must now be read in the light of the decision of the House of Lords in </w:t>
      </w:r>
      <w:r>
        <w:rPr>
          <w:rFonts w:ascii="Arial" w:hAnsi="Arial"/>
          <w:i/>
        </w:rPr>
        <w:t>Beswick v</w:t>
      </w:r>
      <w:r>
        <w:rPr>
          <w:rFonts w:ascii="Arial" w:hAnsi="Arial"/>
          <w:i/>
          <w:spacing w:val="40"/>
        </w:rPr>
        <w:t> </w:t>
      </w:r>
      <w:r>
        <w:rPr>
          <w:rFonts w:ascii="Arial" w:hAnsi="Arial"/>
          <w:i/>
        </w:rPr>
        <w:t>Beswick [1968] A.C. 58</w:t>
      </w:r>
      <w:r>
        <w:rPr/>
        <w:t>, below para.18-130.</w:t>
      </w:r>
    </w:p>
    <w:p>
      <w:pPr>
        <w:pStyle w:val="BodyText"/>
        <w:spacing w:before="9"/>
      </w:pPr>
    </w:p>
    <w:p>
      <w:pPr>
        <w:spacing w:line="235" w:lineRule="auto" w:before="0"/>
        <w:ind w:left="705" w:right="167" w:hanging="541"/>
        <w:jc w:val="both"/>
        <w:rPr>
          <w:sz w:val="20"/>
        </w:rPr>
      </w:pPr>
      <w:bookmarkStart w:name="_bookmark1473" w:id="1475"/>
      <w:bookmarkEnd w:id="1475"/>
      <w:r>
        <w:rPr/>
      </w:r>
      <w:hyperlink w:history="true" w:anchor="_bookmark1418">
        <w:r>
          <w:rPr>
            <w:color w:val="005DA1"/>
            <w:position w:val="5"/>
            <w:sz w:val="14"/>
            <w:u w:val="single" w:color="005DA1"/>
          </w:rPr>
          <w:t>744</w:t>
        </w:r>
      </w:hyperlink>
      <w:r>
        <w:rPr>
          <w:position w:val="5"/>
          <w:sz w:val="14"/>
        </w:rPr>
        <w:t>.</w:t>
      </w:r>
      <w:r>
        <w:rPr>
          <w:spacing w:val="80"/>
          <w:w w:val="150"/>
          <w:position w:val="5"/>
          <w:sz w:val="14"/>
        </w:rPr>
        <w:t> </w:t>
      </w:r>
      <w:r>
        <w:rPr>
          <w:rFonts w:ascii="Arial"/>
          <w:i/>
          <w:sz w:val="20"/>
        </w:rPr>
        <w:t>Scudamore v Vanderstene (1587) 2 Co.Inst. 673</w:t>
      </w:r>
      <w:r>
        <w:rPr>
          <w:sz w:val="20"/>
        </w:rPr>
        <w:t>; </w:t>
      </w:r>
      <w:r>
        <w:rPr>
          <w:rFonts w:ascii="Arial"/>
          <w:i/>
          <w:sz w:val="20"/>
        </w:rPr>
        <w:t>Storer v Gordon (1814) 3 M. &amp; S. 308</w:t>
      </w:r>
      <w:r>
        <w:rPr>
          <w:sz w:val="20"/>
        </w:rPr>
        <w:t>;</w:t>
      </w:r>
      <w:r>
        <w:rPr>
          <w:spacing w:val="40"/>
          <w:sz w:val="20"/>
        </w:rPr>
        <w:t> </w:t>
      </w:r>
      <w:r>
        <w:rPr>
          <w:rFonts w:ascii="Arial"/>
          <w:i/>
          <w:sz w:val="20"/>
        </w:rPr>
        <w:t>Berkeley v Hardy (1826) 5 B. &amp; C. 355</w:t>
      </w:r>
      <w:r>
        <w:rPr>
          <w:sz w:val="20"/>
        </w:rPr>
        <w:t>; </w:t>
      </w:r>
      <w:r>
        <w:rPr>
          <w:rFonts w:ascii="Arial"/>
          <w:i/>
          <w:sz w:val="20"/>
        </w:rPr>
        <w:t>Southampton v Brown (1827) 6 B. &amp; C. 718</w:t>
      </w:r>
      <w:r>
        <w:rPr>
          <w:sz w:val="20"/>
        </w:rPr>
        <w:t>; </w:t>
      </w:r>
      <w:r>
        <w:rPr>
          <w:rFonts w:ascii="Arial"/>
          <w:i/>
          <w:sz w:val="20"/>
        </w:rPr>
        <w:t>Gardner </w:t>
      </w:r>
      <w:r>
        <w:rPr>
          <w:rFonts w:ascii="Arial"/>
          <w:i/>
          <w:sz w:val="20"/>
        </w:rPr>
        <w:t>v Lachlan (1836) 8 Sim. 123</w:t>
      </w:r>
      <w:r>
        <w:rPr>
          <w:sz w:val="20"/>
        </w:rPr>
        <w:t>. The rule was also applied to composition deeds; the cases on this subject</w:t>
      </w:r>
      <w:r>
        <w:rPr>
          <w:spacing w:val="16"/>
          <w:sz w:val="20"/>
        </w:rPr>
        <w:t> </w:t>
      </w:r>
      <w:r>
        <w:rPr>
          <w:sz w:val="20"/>
        </w:rPr>
        <w:t>are</w:t>
      </w:r>
      <w:r>
        <w:rPr>
          <w:spacing w:val="17"/>
          <w:sz w:val="20"/>
        </w:rPr>
        <w:t> </w:t>
      </w:r>
      <w:r>
        <w:rPr>
          <w:sz w:val="20"/>
        </w:rPr>
        <w:t>impossible</w:t>
      </w:r>
      <w:r>
        <w:rPr>
          <w:spacing w:val="17"/>
          <w:sz w:val="20"/>
        </w:rPr>
        <w:t> </w:t>
      </w:r>
      <w:r>
        <w:rPr>
          <w:sz w:val="20"/>
        </w:rPr>
        <w:t>to</w:t>
      </w:r>
      <w:r>
        <w:rPr>
          <w:spacing w:val="17"/>
          <w:sz w:val="20"/>
        </w:rPr>
        <w:t> </w:t>
      </w:r>
      <w:r>
        <w:rPr>
          <w:sz w:val="20"/>
        </w:rPr>
        <w:t>reconcile</w:t>
      </w:r>
      <w:r>
        <w:rPr>
          <w:spacing w:val="17"/>
          <w:sz w:val="20"/>
        </w:rPr>
        <w:t> </w:t>
      </w:r>
      <w:r>
        <w:rPr>
          <w:sz w:val="20"/>
        </w:rPr>
        <w:t>(see</w:t>
      </w:r>
      <w:r>
        <w:rPr>
          <w:spacing w:val="16"/>
          <w:sz w:val="20"/>
        </w:rPr>
        <w:t> </w:t>
      </w:r>
      <w:r>
        <w:rPr>
          <w:rFonts w:ascii="Arial"/>
          <w:i/>
          <w:sz w:val="20"/>
        </w:rPr>
        <w:t>Isaacs</w:t>
      </w:r>
      <w:r>
        <w:rPr>
          <w:rFonts w:ascii="Arial"/>
          <w:i/>
          <w:spacing w:val="17"/>
          <w:sz w:val="20"/>
        </w:rPr>
        <w:t> </w:t>
      </w:r>
      <w:r>
        <w:rPr>
          <w:rFonts w:ascii="Arial"/>
          <w:i/>
          <w:sz w:val="20"/>
        </w:rPr>
        <w:t>v</w:t>
      </w:r>
      <w:r>
        <w:rPr>
          <w:rFonts w:ascii="Arial"/>
          <w:i/>
          <w:spacing w:val="17"/>
          <w:sz w:val="20"/>
        </w:rPr>
        <w:t> </w:t>
      </w:r>
      <w:r>
        <w:rPr>
          <w:rFonts w:ascii="Arial"/>
          <w:i/>
          <w:sz w:val="20"/>
        </w:rPr>
        <w:t>Green</w:t>
      </w:r>
      <w:r>
        <w:rPr>
          <w:rFonts w:ascii="Arial"/>
          <w:i/>
          <w:spacing w:val="17"/>
          <w:sz w:val="20"/>
        </w:rPr>
        <w:t> </w:t>
      </w:r>
      <w:r>
        <w:rPr>
          <w:rFonts w:ascii="Arial"/>
          <w:i/>
          <w:sz w:val="20"/>
        </w:rPr>
        <w:t>(1867)</w:t>
      </w:r>
      <w:r>
        <w:rPr>
          <w:rFonts w:ascii="Arial"/>
          <w:i/>
          <w:spacing w:val="17"/>
          <w:sz w:val="20"/>
        </w:rPr>
        <w:t> </w:t>
      </w:r>
      <w:r>
        <w:rPr>
          <w:rFonts w:ascii="Arial"/>
          <w:i/>
          <w:sz w:val="20"/>
        </w:rPr>
        <w:t>L.R.</w:t>
      </w:r>
      <w:r>
        <w:rPr>
          <w:rFonts w:ascii="Arial"/>
          <w:i/>
          <w:spacing w:val="17"/>
          <w:sz w:val="20"/>
        </w:rPr>
        <w:t> </w:t>
      </w:r>
      <w:r>
        <w:rPr>
          <w:rFonts w:ascii="Arial"/>
          <w:i/>
          <w:sz w:val="20"/>
        </w:rPr>
        <w:t>2</w:t>
      </w:r>
      <w:r>
        <w:rPr>
          <w:rFonts w:ascii="Arial"/>
          <w:i/>
          <w:spacing w:val="17"/>
          <w:sz w:val="20"/>
        </w:rPr>
        <w:t> </w:t>
      </w:r>
      <w:r>
        <w:rPr>
          <w:rFonts w:ascii="Arial"/>
          <w:i/>
          <w:sz w:val="20"/>
        </w:rPr>
        <w:t>Ex.</w:t>
      </w:r>
      <w:r>
        <w:rPr>
          <w:rFonts w:ascii="Arial"/>
          <w:i/>
          <w:spacing w:val="17"/>
          <w:sz w:val="20"/>
        </w:rPr>
        <w:t> </w:t>
      </w:r>
      <w:r>
        <w:rPr>
          <w:rFonts w:ascii="Arial"/>
          <w:i/>
          <w:sz w:val="20"/>
        </w:rPr>
        <w:t>352,</w:t>
      </w:r>
      <w:r>
        <w:rPr>
          <w:rFonts w:ascii="Arial"/>
          <w:i/>
          <w:spacing w:val="17"/>
          <w:sz w:val="20"/>
        </w:rPr>
        <w:t> </w:t>
      </w:r>
      <w:r>
        <w:rPr>
          <w:rFonts w:ascii="Arial"/>
          <w:i/>
          <w:sz w:val="20"/>
        </w:rPr>
        <w:t>355</w:t>
      </w:r>
      <w:r>
        <w:rPr>
          <w:sz w:val="20"/>
        </w:rPr>
        <w:t>)</w:t>
      </w:r>
      <w:r>
        <w:rPr>
          <w:spacing w:val="17"/>
          <w:sz w:val="20"/>
        </w:rPr>
        <w:t> </w:t>
      </w:r>
      <w:r>
        <w:rPr>
          <w:sz w:val="20"/>
        </w:rPr>
        <w:t>but</w:t>
      </w:r>
      <w:r>
        <w:rPr>
          <w:spacing w:val="17"/>
          <w:sz w:val="20"/>
        </w:rPr>
        <w:t> </w:t>
      </w:r>
      <w:r>
        <w:rPr>
          <w:spacing w:val="-4"/>
          <w:sz w:val="20"/>
        </w:rPr>
        <w:t>have</w:t>
      </w:r>
    </w:p>
    <w:p>
      <w:pPr>
        <w:spacing w:after="0" w:line="235" w:lineRule="auto"/>
        <w:jc w:val="both"/>
        <w:rPr>
          <w:sz w:val="20"/>
        </w:rPr>
        <w:sectPr>
          <w:pgSz w:w="11900" w:h="16840"/>
          <w:pgMar w:header="971" w:footer="0" w:top="1160" w:bottom="280" w:left="1275" w:right="1275"/>
        </w:sectPr>
      </w:pPr>
    </w:p>
    <w:p>
      <w:pPr>
        <w:pStyle w:val="BodyText"/>
        <w:spacing w:before="24"/>
      </w:pPr>
    </w:p>
    <w:p>
      <w:pPr>
        <w:pStyle w:val="BodyText"/>
        <w:spacing w:line="235" w:lineRule="auto" w:before="1"/>
        <w:ind w:left="705"/>
      </w:pPr>
      <w:r>
        <w:rPr/>
        <w:t>become obsolete in view of the Deeds of Arrangement Act 1914, repealed in part by </w:t>
      </w:r>
      <w:r>
        <w:rPr/>
        <w:t>Insolvency Act 1985, s.235 and Sch.10, Pt III and amended by Insolvency Act 1986, s.439(2).</w:t>
      </w:r>
    </w:p>
    <w:p>
      <w:pPr>
        <w:pStyle w:val="BodyText"/>
        <w:spacing w:before="5"/>
      </w:pPr>
    </w:p>
    <w:p>
      <w:pPr>
        <w:pStyle w:val="BodyText"/>
        <w:tabs>
          <w:tab w:pos="705" w:val="left" w:leader="none"/>
        </w:tabs>
        <w:ind w:left="165"/>
      </w:pPr>
      <w:bookmarkStart w:name="_bookmark1474" w:id="1476"/>
      <w:bookmarkEnd w:id="1476"/>
      <w:r>
        <w:rPr/>
      </w:r>
      <w:hyperlink w:history="true" w:anchor="_bookmark1418">
        <w:r>
          <w:rPr>
            <w:color w:val="005DA1"/>
            <w:spacing w:val="-4"/>
            <w:position w:val="5"/>
            <w:sz w:val="14"/>
            <w:u w:val="single" w:color="005DA1"/>
          </w:rPr>
          <w:t>745</w:t>
        </w:r>
      </w:hyperlink>
      <w:r>
        <w:rPr>
          <w:spacing w:val="-4"/>
          <w:position w:val="5"/>
          <w:sz w:val="14"/>
        </w:rPr>
        <w:t>.</w:t>
      </w:r>
      <w:r>
        <w:rPr>
          <w:position w:val="5"/>
          <w:sz w:val="14"/>
        </w:rPr>
        <w:tab/>
      </w:r>
      <w:r>
        <w:rPr/>
        <w:t>cf. above </w:t>
      </w:r>
      <w:r>
        <w:rPr>
          <w:spacing w:val="-2"/>
        </w:rPr>
        <w:t>para.1–137.</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475" w:id="1477"/>
      <w:bookmarkEnd w:id="1477"/>
      <w:r>
        <w:rPr/>
      </w:r>
      <w:hyperlink w:history="true" w:anchor="_bookmark1418">
        <w:r>
          <w:rPr>
            <w:color w:val="005DA1"/>
            <w:spacing w:val="-4"/>
            <w:position w:val="5"/>
            <w:sz w:val="14"/>
            <w:u w:val="single" w:color="005DA1"/>
          </w:rPr>
          <w:t>746</w:t>
        </w:r>
      </w:hyperlink>
      <w:r>
        <w:rPr>
          <w:spacing w:val="-4"/>
          <w:position w:val="5"/>
          <w:sz w:val="14"/>
        </w:rPr>
        <w:t>.</w:t>
      </w:r>
      <w:r>
        <w:rPr>
          <w:position w:val="5"/>
          <w:sz w:val="14"/>
        </w:rPr>
        <w:tab/>
      </w:r>
      <w:r>
        <w:rPr>
          <w:rFonts w:ascii="Arial"/>
          <w:i/>
          <w:sz w:val="20"/>
        </w:rPr>
        <w:t>Cooker v Child (1763) 2 Lev. 74</w:t>
      </w:r>
      <w:r>
        <w:rPr>
          <w:sz w:val="20"/>
        </w:rPr>
        <w:t>; </w:t>
      </w:r>
      <w:r>
        <w:rPr>
          <w:rFonts w:ascii="Arial"/>
          <w:i/>
          <w:sz w:val="20"/>
        </w:rPr>
        <w:t>Chelsea &amp; Waldham Green Building Soc. v Armstrong </w:t>
      </w:r>
      <w:r>
        <w:rPr>
          <w:rFonts w:ascii="Arial"/>
          <w:i/>
          <w:sz w:val="20"/>
        </w:rPr>
        <w:t>[1951] Ch.</w:t>
      </w:r>
      <w:r>
        <w:rPr>
          <w:rFonts w:ascii="Arial"/>
          <w:i/>
          <w:spacing w:val="9"/>
          <w:sz w:val="20"/>
        </w:rPr>
        <w:t> </w:t>
      </w:r>
      <w:r>
        <w:rPr>
          <w:rFonts w:ascii="Arial"/>
          <w:i/>
          <w:sz w:val="20"/>
        </w:rPr>
        <w:t>853</w:t>
      </w:r>
      <w:r>
        <w:rPr>
          <w:sz w:val="20"/>
        </w:rPr>
        <w:t>,</w:t>
      </w:r>
      <w:r>
        <w:rPr>
          <w:spacing w:val="10"/>
          <w:sz w:val="20"/>
        </w:rPr>
        <w:t> </w:t>
      </w:r>
      <w:r>
        <w:rPr>
          <w:sz w:val="20"/>
        </w:rPr>
        <w:t>discussed</w:t>
      </w:r>
      <w:r>
        <w:rPr>
          <w:spacing w:val="10"/>
          <w:sz w:val="20"/>
        </w:rPr>
        <w:t> </w:t>
      </w:r>
      <w:r>
        <w:rPr>
          <w:sz w:val="20"/>
        </w:rPr>
        <w:t>in</w:t>
      </w:r>
      <w:r>
        <w:rPr>
          <w:spacing w:val="10"/>
          <w:sz w:val="20"/>
        </w:rPr>
        <w:t> </w:t>
      </w:r>
      <w:r>
        <w:rPr>
          <w:rFonts w:ascii="Arial"/>
          <w:i/>
          <w:sz w:val="20"/>
        </w:rPr>
        <w:t>Moody</w:t>
      </w:r>
      <w:r>
        <w:rPr>
          <w:rFonts w:ascii="Arial"/>
          <w:i/>
          <w:spacing w:val="10"/>
          <w:sz w:val="20"/>
        </w:rPr>
        <w:t> </w:t>
      </w:r>
      <w:r>
        <w:rPr>
          <w:rFonts w:ascii="Arial"/>
          <w:i/>
          <w:sz w:val="20"/>
        </w:rPr>
        <w:t>v</w:t>
      </w:r>
      <w:r>
        <w:rPr>
          <w:rFonts w:ascii="Arial"/>
          <w:i/>
          <w:spacing w:val="10"/>
          <w:sz w:val="20"/>
        </w:rPr>
        <w:t> </w:t>
      </w:r>
      <w:r>
        <w:rPr>
          <w:rFonts w:ascii="Arial"/>
          <w:i/>
          <w:sz w:val="20"/>
        </w:rPr>
        <w:t>Condor</w:t>
      </w:r>
      <w:r>
        <w:rPr>
          <w:rFonts w:ascii="Arial"/>
          <w:i/>
          <w:spacing w:val="10"/>
          <w:sz w:val="20"/>
        </w:rPr>
        <w:t> </w:t>
      </w:r>
      <w:r>
        <w:rPr>
          <w:rFonts w:ascii="Arial"/>
          <w:i/>
          <w:sz w:val="20"/>
        </w:rPr>
        <w:t>Insurance</w:t>
      </w:r>
      <w:r>
        <w:rPr>
          <w:rFonts w:ascii="Arial"/>
          <w:i/>
          <w:spacing w:val="10"/>
          <w:sz w:val="20"/>
        </w:rPr>
        <w:t> </w:t>
      </w:r>
      <w:r>
        <w:rPr>
          <w:rFonts w:ascii="Arial"/>
          <w:i/>
          <w:sz w:val="20"/>
        </w:rPr>
        <w:t>Ltd</w:t>
      </w:r>
      <w:r>
        <w:rPr>
          <w:rFonts w:ascii="Arial"/>
          <w:i/>
          <w:spacing w:val="10"/>
          <w:sz w:val="20"/>
        </w:rPr>
        <w:t> </w:t>
      </w:r>
      <w:r>
        <w:rPr>
          <w:rFonts w:ascii="Arial"/>
          <w:i/>
          <w:sz w:val="20"/>
        </w:rPr>
        <w:t>[2006]</w:t>
      </w:r>
      <w:r>
        <w:rPr>
          <w:rFonts w:ascii="Arial"/>
          <w:i/>
          <w:spacing w:val="10"/>
          <w:sz w:val="20"/>
        </w:rPr>
        <w:t> </w:t>
      </w:r>
      <w:r>
        <w:rPr>
          <w:rFonts w:ascii="Arial"/>
          <w:i/>
          <w:sz w:val="20"/>
        </w:rPr>
        <w:t>EWHC</w:t>
      </w:r>
      <w:r>
        <w:rPr>
          <w:rFonts w:ascii="Arial"/>
          <w:i/>
          <w:spacing w:val="10"/>
          <w:sz w:val="20"/>
        </w:rPr>
        <w:t> </w:t>
      </w:r>
      <w:r>
        <w:rPr>
          <w:rFonts w:ascii="Arial"/>
          <w:i/>
          <w:sz w:val="20"/>
        </w:rPr>
        <w:t>100</w:t>
      </w:r>
      <w:r>
        <w:rPr>
          <w:rFonts w:ascii="Arial"/>
          <w:i/>
          <w:spacing w:val="10"/>
          <w:sz w:val="20"/>
        </w:rPr>
        <w:t> </w:t>
      </w:r>
      <w:r>
        <w:rPr>
          <w:rFonts w:ascii="Arial"/>
          <w:i/>
          <w:sz w:val="20"/>
        </w:rPr>
        <w:t>(Ch),</w:t>
      </w:r>
      <w:r>
        <w:rPr>
          <w:rFonts w:ascii="Arial"/>
          <w:i/>
          <w:spacing w:val="10"/>
          <w:sz w:val="20"/>
        </w:rPr>
        <w:t> </w:t>
      </w:r>
      <w:r>
        <w:rPr>
          <w:rFonts w:ascii="Arial"/>
          <w:i/>
          <w:sz w:val="20"/>
        </w:rPr>
        <w:t>[2006]</w:t>
      </w:r>
      <w:r>
        <w:rPr>
          <w:rFonts w:ascii="Arial"/>
          <w:i/>
          <w:spacing w:val="10"/>
          <w:sz w:val="20"/>
        </w:rPr>
        <w:t> </w:t>
      </w:r>
      <w:r>
        <w:rPr>
          <w:rFonts w:ascii="Arial"/>
          <w:i/>
          <w:sz w:val="20"/>
        </w:rPr>
        <w:t>1</w:t>
      </w:r>
      <w:r>
        <w:rPr>
          <w:rFonts w:ascii="Arial"/>
          <w:i/>
          <w:spacing w:val="10"/>
          <w:sz w:val="20"/>
        </w:rPr>
        <w:t> </w:t>
      </w:r>
      <w:r>
        <w:rPr>
          <w:rFonts w:ascii="Arial"/>
          <w:i/>
          <w:spacing w:val="-2"/>
          <w:sz w:val="20"/>
        </w:rPr>
        <w:t>W.L.R.</w:t>
      </w:r>
    </w:p>
    <w:p>
      <w:pPr>
        <w:spacing w:line="225" w:lineRule="exact" w:before="0"/>
        <w:ind w:left="705" w:right="0" w:firstLine="0"/>
        <w:jc w:val="left"/>
        <w:rPr>
          <w:sz w:val="20"/>
        </w:rPr>
      </w:pPr>
      <w:r>
        <w:rPr>
          <w:rFonts w:ascii="Arial" w:hAnsi="Arial"/>
          <w:i/>
          <w:sz w:val="20"/>
        </w:rPr>
        <w:t>1847</w:t>
      </w:r>
      <w:r>
        <w:rPr>
          <w:rFonts w:ascii="Arial" w:hAnsi="Arial"/>
          <w:i/>
          <w:spacing w:val="-1"/>
          <w:sz w:val="20"/>
        </w:rPr>
        <w:t> </w:t>
      </w:r>
      <w:r>
        <w:rPr>
          <w:sz w:val="20"/>
        </w:rPr>
        <w:t>at </w:t>
      </w:r>
      <w:r>
        <w:rPr>
          <w:spacing w:val="-2"/>
          <w:sz w:val="20"/>
        </w:rPr>
        <w:t>[24]–[27].</w:t>
      </w:r>
    </w:p>
    <w:p>
      <w:pPr>
        <w:pStyle w:val="BodyText"/>
        <w:spacing w:before="9"/>
      </w:pPr>
    </w:p>
    <w:p>
      <w:pPr>
        <w:tabs>
          <w:tab w:pos="705" w:val="left" w:leader="none"/>
        </w:tabs>
        <w:spacing w:line="235" w:lineRule="auto" w:before="0"/>
        <w:ind w:left="705" w:right="168" w:hanging="541"/>
        <w:jc w:val="left"/>
        <w:rPr>
          <w:sz w:val="20"/>
        </w:rPr>
      </w:pPr>
      <w:bookmarkStart w:name="_bookmark1476" w:id="1478"/>
      <w:bookmarkEnd w:id="1478"/>
      <w:r>
        <w:rPr/>
      </w:r>
      <w:hyperlink w:history="true" w:anchor="_bookmark1419">
        <w:r>
          <w:rPr>
            <w:color w:val="005DA1"/>
            <w:spacing w:val="-4"/>
            <w:position w:val="5"/>
            <w:sz w:val="14"/>
            <w:u w:val="single" w:color="005DA1"/>
          </w:rPr>
          <w:t>747</w:t>
        </w:r>
      </w:hyperlink>
      <w:r>
        <w:rPr>
          <w:spacing w:val="-4"/>
          <w:position w:val="5"/>
          <w:sz w:val="14"/>
        </w:rPr>
        <w:t>.</w:t>
      </w:r>
      <w:r>
        <w:rPr>
          <w:position w:val="5"/>
          <w:sz w:val="14"/>
        </w:rPr>
        <w:tab/>
      </w:r>
      <w:r>
        <w:rPr>
          <w:rFonts w:ascii="Arial"/>
          <w:i/>
          <w:sz w:val="20"/>
        </w:rPr>
        <w:t>Sunderland</w:t>
      </w:r>
      <w:r>
        <w:rPr>
          <w:rFonts w:ascii="Arial"/>
          <w:i/>
          <w:spacing w:val="40"/>
          <w:sz w:val="20"/>
        </w:rPr>
        <w:t> </w:t>
      </w:r>
      <w:r>
        <w:rPr>
          <w:rFonts w:ascii="Arial"/>
          <w:i/>
          <w:sz w:val="20"/>
        </w:rPr>
        <w:t>Marine</w:t>
      </w:r>
      <w:r>
        <w:rPr>
          <w:rFonts w:ascii="Arial"/>
          <w:i/>
          <w:spacing w:val="40"/>
          <w:sz w:val="20"/>
        </w:rPr>
        <w:t> </w:t>
      </w:r>
      <w:r>
        <w:rPr>
          <w:rFonts w:ascii="Arial"/>
          <w:i/>
          <w:sz w:val="20"/>
        </w:rPr>
        <w:t>Insurance</w:t>
      </w:r>
      <w:r>
        <w:rPr>
          <w:rFonts w:ascii="Arial"/>
          <w:i/>
          <w:spacing w:val="40"/>
          <w:sz w:val="20"/>
        </w:rPr>
        <w:t> </w:t>
      </w:r>
      <w:r>
        <w:rPr>
          <w:rFonts w:ascii="Arial"/>
          <w:i/>
          <w:sz w:val="20"/>
        </w:rPr>
        <w:t>Co</w:t>
      </w:r>
      <w:r>
        <w:rPr>
          <w:rFonts w:ascii="Arial"/>
          <w:i/>
          <w:spacing w:val="40"/>
          <w:sz w:val="20"/>
        </w:rPr>
        <w:t> </w:t>
      </w:r>
      <w:r>
        <w:rPr>
          <w:rFonts w:ascii="Arial"/>
          <w:i/>
          <w:sz w:val="20"/>
        </w:rPr>
        <w:t>v</w:t>
      </w:r>
      <w:r>
        <w:rPr>
          <w:rFonts w:ascii="Arial"/>
          <w:i/>
          <w:spacing w:val="40"/>
          <w:sz w:val="20"/>
        </w:rPr>
        <w:t> </w:t>
      </w:r>
      <w:r>
        <w:rPr>
          <w:rFonts w:ascii="Arial"/>
          <w:i/>
          <w:sz w:val="20"/>
        </w:rPr>
        <w:t>Kearney</w:t>
      </w:r>
      <w:r>
        <w:rPr>
          <w:rFonts w:ascii="Arial"/>
          <w:i/>
          <w:spacing w:val="40"/>
          <w:sz w:val="20"/>
        </w:rPr>
        <w:t> </w:t>
      </w:r>
      <w:r>
        <w:rPr>
          <w:rFonts w:ascii="Arial"/>
          <w:i/>
          <w:sz w:val="20"/>
        </w:rPr>
        <w:t>(1851)</w:t>
      </w:r>
      <w:r>
        <w:rPr>
          <w:rFonts w:ascii="Arial"/>
          <w:i/>
          <w:spacing w:val="40"/>
          <w:sz w:val="20"/>
        </w:rPr>
        <w:t> </w:t>
      </w:r>
      <w:r>
        <w:rPr>
          <w:rFonts w:ascii="Arial"/>
          <w:i/>
          <w:sz w:val="20"/>
        </w:rPr>
        <w:t>16</w:t>
      </w:r>
      <w:r>
        <w:rPr>
          <w:rFonts w:ascii="Arial"/>
          <w:i/>
          <w:spacing w:val="40"/>
          <w:sz w:val="20"/>
        </w:rPr>
        <w:t> </w:t>
      </w:r>
      <w:r>
        <w:rPr>
          <w:rFonts w:ascii="Arial"/>
          <w:i/>
          <w:sz w:val="20"/>
        </w:rPr>
        <w:t>Q.B.</w:t>
      </w:r>
      <w:r>
        <w:rPr>
          <w:rFonts w:ascii="Arial"/>
          <w:i/>
          <w:spacing w:val="40"/>
          <w:sz w:val="20"/>
        </w:rPr>
        <w:t> </w:t>
      </w:r>
      <w:r>
        <w:rPr>
          <w:rFonts w:ascii="Arial"/>
          <w:i/>
          <w:sz w:val="20"/>
        </w:rPr>
        <w:t>925</w:t>
      </w:r>
      <w:r>
        <w:rPr>
          <w:sz w:val="20"/>
        </w:rPr>
        <w:t>,</w:t>
      </w:r>
      <w:r>
        <w:rPr>
          <w:spacing w:val="40"/>
          <w:sz w:val="20"/>
        </w:rPr>
        <w:t> </w:t>
      </w:r>
      <w:r>
        <w:rPr>
          <w:sz w:val="20"/>
        </w:rPr>
        <w:t>qualifying</w:t>
      </w:r>
      <w:r>
        <w:rPr>
          <w:spacing w:val="40"/>
          <w:sz w:val="20"/>
        </w:rPr>
        <w:t> </w:t>
      </w:r>
      <w:r>
        <w:rPr>
          <w:rFonts w:ascii="Arial"/>
          <w:i/>
          <w:sz w:val="20"/>
        </w:rPr>
        <w:t>Green</w:t>
      </w:r>
      <w:r>
        <w:rPr>
          <w:rFonts w:ascii="Arial"/>
          <w:i/>
          <w:spacing w:val="40"/>
          <w:sz w:val="20"/>
        </w:rPr>
        <w:t> </w:t>
      </w:r>
      <w:r>
        <w:rPr>
          <w:rFonts w:ascii="Arial"/>
          <w:i/>
          <w:sz w:val="20"/>
        </w:rPr>
        <w:t>v</w:t>
      </w:r>
      <w:r>
        <w:rPr>
          <w:rFonts w:ascii="Arial"/>
          <w:i/>
          <w:spacing w:val="40"/>
          <w:sz w:val="20"/>
        </w:rPr>
        <w:t> </w:t>
      </w:r>
      <w:r>
        <w:rPr>
          <w:rFonts w:ascii="Arial"/>
          <w:i/>
          <w:sz w:val="20"/>
        </w:rPr>
        <w:t>Horn (1694) 1 Salk. 197</w:t>
      </w:r>
      <w:r>
        <w:rPr>
          <w:sz w:val="20"/>
        </w:rPr>
        <w:t>.</w:t>
      </w:r>
    </w:p>
    <w:p>
      <w:pPr>
        <w:pStyle w:val="BodyText"/>
        <w:spacing w:before="5"/>
      </w:pPr>
    </w:p>
    <w:p>
      <w:pPr>
        <w:pStyle w:val="BodyText"/>
        <w:tabs>
          <w:tab w:pos="705" w:val="left" w:leader="none"/>
        </w:tabs>
        <w:ind w:left="165"/>
      </w:pPr>
      <w:bookmarkStart w:name="_bookmark1477" w:id="1479"/>
      <w:bookmarkEnd w:id="1479"/>
      <w:r>
        <w:rPr/>
      </w:r>
      <w:hyperlink w:history="true" w:anchor="_bookmark1420">
        <w:r>
          <w:rPr>
            <w:color w:val="005DA1"/>
            <w:spacing w:val="-4"/>
            <w:position w:val="5"/>
            <w:sz w:val="14"/>
            <w:u w:val="single" w:color="005DA1"/>
          </w:rPr>
          <w:t>748</w:t>
        </w:r>
      </w:hyperlink>
      <w:r>
        <w:rPr>
          <w:spacing w:val="-4"/>
          <w:position w:val="5"/>
          <w:sz w:val="14"/>
        </w:rPr>
        <w:t>.</w:t>
      </w:r>
      <w:r>
        <w:rPr>
          <w:position w:val="5"/>
          <w:sz w:val="14"/>
        </w:rPr>
        <w:tab/>
      </w:r>
      <w:r>
        <w:rPr/>
        <w:t>Law of Property Act 1925, </w:t>
      </w:r>
      <w:r>
        <w:rPr>
          <w:spacing w:val="-2"/>
        </w:rPr>
        <w:t>s.56(2).</w:t>
      </w:r>
    </w:p>
    <w:p>
      <w:pPr>
        <w:pStyle w:val="BodyText"/>
        <w:spacing w:before="5"/>
      </w:pPr>
    </w:p>
    <w:p>
      <w:pPr>
        <w:tabs>
          <w:tab w:pos="705" w:val="left" w:leader="none"/>
        </w:tabs>
        <w:spacing w:before="0"/>
        <w:ind w:left="165" w:right="0" w:firstLine="0"/>
        <w:jc w:val="left"/>
        <w:rPr>
          <w:sz w:val="20"/>
        </w:rPr>
      </w:pPr>
      <w:bookmarkStart w:name="_bookmark1478" w:id="1480"/>
      <w:bookmarkEnd w:id="1480"/>
      <w:r>
        <w:rPr/>
      </w:r>
      <w:hyperlink w:history="true" w:anchor="_bookmark1421">
        <w:r>
          <w:rPr>
            <w:color w:val="005DA1"/>
            <w:spacing w:val="-4"/>
            <w:position w:val="5"/>
            <w:sz w:val="14"/>
            <w:u w:val="single" w:color="005DA1"/>
          </w:rPr>
          <w:t>749</w:t>
        </w:r>
      </w:hyperlink>
      <w:r>
        <w:rPr>
          <w:spacing w:val="-4"/>
          <w:position w:val="5"/>
          <w:sz w:val="14"/>
        </w:rPr>
        <w:t>.</w:t>
      </w:r>
      <w:r>
        <w:rPr>
          <w:position w:val="5"/>
          <w:sz w:val="14"/>
        </w:rPr>
        <w:tab/>
      </w:r>
      <w:r>
        <w:rPr>
          <w:rFonts w:ascii="Arial"/>
          <w:i/>
          <w:sz w:val="20"/>
        </w:rPr>
        <w:t>Moody v Condor Insurance Ltd [2006] EWHC 100 (Ch), [2006] 1 W.L.R. 1847</w:t>
      </w:r>
      <w:r>
        <w:rPr>
          <w:rFonts w:ascii="Arial"/>
          <w:i/>
          <w:spacing w:val="-1"/>
          <w:sz w:val="20"/>
        </w:rPr>
        <w:t> </w:t>
      </w:r>
      <w:r>
        <w:rPr>
          <w:sz w:val="20"/>
        </w:rPr>
        <w:t>at </w:t>
      </w:r>
      <w:r>
        <w:rPr>
          <w:spacing w:val="-2"/>
          <w:sz w:val="20"/>
        </w:rPr>
        <w:t>[16].</w:t>
      </w:r>
    </w:p>
    <w:p>
      <w:pPr>
        <w:pStyle w:val="BodyText"/>
        <w:spacing w:before="9"/>
      </w:pPr>
    </w:p>
    <w:p>
      <w:pPr>
        <w:pStyle w:val="BodyText"/>
        <w:tabs>
          <w:tab w:pos="705" w:val="left" w:leader="none"/>
        </w:tabs>
        <w:spacing w:line="235" w:lineRule="auto"/>
        <w:ind w:left="705" w:right="167" w:hanging="541"/>
      </w:pPr>
      <w:bookmarkStart w:name="_bookmark1479" w:id="1481"/>
      <w:bookmarkEnd w:id="1481"/>
      <w:r>
        <w:rPr/>
      </w:r>
      <w:hyperlink w:history="true" w:anchor="_bookmark1422">
        <w:r>
          <w:rPr>
            <w:color w:val="005DA1"/>
            <w:spacing w:val="-4"/>
            <w:position w:val="5"/>
            <w:sz w:val="14"/>
            <w:u w:val="single" w:color="005DA1"/>
          </w:rPr>
          <w:t>750</w:t>
        </w:r>
      </w:hyperlink>
      <w:r>
        <w:rPr>
          <w:spacing w:val="-4"/>
          <w:position w:val="5"/>
          <w:sz w:val="14"/>
        </w:rPr>
        <w:t>.</w:t>
      </w:r>
      <w:r>
        <w:rPr>
          <w:position w:val="5"/>
          <w:sz w:val="14"/>
        </w:rPr>
        <w:tab/>
      </w:r>
      <w:r>
        <w:rPr/>
        <w:t>ibid.,</w:t>
      </w:r>
      <w:r>
        <w:rPr>
          <w:spacing w:val="16"/>
        </w:rPr>
        <w:t> </w:t>
      </w:r>
      <w:r>
        <w:rPr/>
        <w:t>at</w:t>
      </w:r>
      <w:r>
        <w:rPr>
          <w:spacing w:val="16"/>
        </w:rPr>
        <w:t> </w:t>
      </w:r>
      <w:r>
        <w:rPr/>
        <w:t>[18],</w:t>
      </w:r>
      <w:r>
        <w:rPr>
          <w:spacing w:val="16"/>
        </w:rPr>
        <w:t> </w:t>
      </w:r>
      <w:r>
        <w:rPr/>
        <w:t>where</w:t>
      </w:r>
      <w:r>
        <w:rPr>
          <w:spacing w:val="16"/>
        </w:rPr>
        <w:t> </w:t>
      </w:r>
      <w:r>
        <w:rPr/>
        <w:t>a</w:t>
      </w:r>
      <w:r>
        <w:rPr>
          <w:spacing w:val="16"/>
        </w:rPr>
        <w:t> </w:t>
      </w:r>
      <w:r>
        <w:rPr/>
        <w:t>deed</w:t>
      </w:r>
      <w:r>
        <w:rPr>
          <w:spacing w:val="16"/>
        </w:rPr>
        <w:t> </w:t>
      </w:r>
      <w:r>
        <w:rPr/>
        <w:t>of</w:t>
      </w:r>
      <w:r>
        <w:rPr>
          <w:spacing w:val="16"/>
        </w:rPr>
        <w:t> </w:t>
      </w:r>
      <w:r>
        <w:rPr/>
        <w:t>guarantee</w:t>
      </w:r>
      <w:r>
        <w:rPr>
          <w:spacing w:val="16"/>
        </w:rPr>
        <w:t> </w:t>
      </w:r>
      <w:r>
        <w:rPr/>
        <w:t>of</w:t>
      </w:r>
      <w:r>
        <w:rPr>
          <w:spacing w:val="16"/>
        </w:rPr>
        <w:t> </w:t>
      </w:r>
      <w:r>
        <w:rPr/>
        <w:t>instalments</w:t>
      </w:r>
      <w:r>
        <w:rPr>
          <w:spacing w:val="16"/>
        </w:rPr>
        <w:t> </w:t>
      </w:r>
      <w:r>
        <w:rPr/>
        <w:t>due</w:t>
      </w:r>
      <w:r>
        <w:rPr>
          <w:spacing w:val="16"/>
        </w:rPr>
        <w:t> </w:t>
      </w:r>
      <w:r>
        <w:rPr/>
        <w:t>under</w:t>
      </w:r>
      <w:r>
        <w:rPr>
          <w:spacing w:val="16"/>
        </w:rPr>
        <w:t> </w:t>
      </w:r>
      <w:r>
        <w:rPr/>
        <w:t>a</w:t>
      </w:r>
      <w:r>
        <w:rPr>
          <w:spacing w:val="16"/>
        </w:rPr>
        <w:t> </w:t>
      </w:r>
      <w:r>
        <w:rPr/>
        <w:t>contract</w:t>
      </w:r>
      <w:r>
        <w:rPr>
          <w:spacing w:val="16"/>
        </w:rPr>
        <w:t> </w:t>
      </w:r>
      <w:r>
        <w:rPr/>
        <w:t>for</w:t>
      </w:r>
      <w:r>
        <w:rPr>
          <w:spacing w:val="16"/>
        </w:rPr>
        <w:t> </w:t>
      </w:r>
      <w:r>
        <w:rPr/>
        <w:t>the</w:t>
      </w:r>
      <w:r>
        <w:rPr>
          <w:spacing w:val="16"/>
        </w:rPr>
        <w:t> </w:t>
      </w:r>
      <w:r>
        <w:rPr/>
        <w:t>sale</w:t>
      </w:r>
      <w:r>
        <w:rPr>
          <w:spacing w:val="16"/>
        </w:rPr>
        <w:t> </w:t>
      </w:r>
      <w:r>
        <w:rPr/>
        <w:t>of</w:t>
      </w:r>
      <w:r>
        <w:rPr>
          <w:spacing w:val="16"/>
        </w:rPr>
        <w:t> </w:t>
      </w:r>
      <w:r>
        <w:rPr/>
        <w:t>a company was held to fall into the second of the two categories distinguished in the text above.</w:t>
      </w:r>
    </w:p>
    <w:p>
      <w:pPr>
        <w:pStyle w:val="BodyText"/>
        <w:spacing w:before="5"/>
      </w:pPr>
    </w:p>
    <w:p>
      <w:pPr>
        <w:tabs>
          <w:tab w:pos="705" w:val="left" w:leader="none"/>
        </w:tabs>
        <w:spacing w:before="1"/>
        <w:ind w:left="165" w:right="0" w:firstLine="0"/>
        <w:jc w:val="left"/>
        <w:rPr>
          <w:sz w:val="20"/>
        </w:rPr>
      </w:pPr>
      <w:bookmarkStart w:name="_bookmark1480" w:id="1482"/>
      <w:bookmarkEnd w:id="1482"/>
      <w:r>
        <w:rPr/>
      </w:r>
      <w:hyperlink w:history="true" w:anchor="_bookmark1422">
        <w:r>
          <w:rPr>
            <w:color w:val="005DA1"/>
            <w:spacing w:val="-4"/>
            <w:position w:val="5"/>
            <w:sz w:val="14"/>
            <w:u w:val="single" w:color="005DA1"/>
          </w:rPr>
          <w:t>751</w:t>
        </w:r>
      </w:hyperlink>
      <w:r>
        <w:rPr>
          <w:spacing w:val="-4"/>
          <w:position w:val="5"/>
          <w:sz w:val="14"/>
        </w:rPr>
        <w:t>.</w:t>
      </w:r>
      <w:r>
        <w:rPr>
          <w:position w:val="5"/>
          <w:sz w:val="14"/>
        </w:rPr>
        <w:tab/>
      </w:r>
      <w:r>
        <w:rPr>
          <w:rFonts w:ascii="Arial"/>
          <w:i/>
          <w:sz w:val="20"/>
        </w:rPr>
        <w:t>Beswick v Beswick [1968] A.C. 58, </w:t>
      </w:r>
      <w:r>
        <w:rPr>
          <w:rFonts w:ascii="Arial"/>
          <w:i/>
          <w:spacing w:val="-2"/>
          <w:sz w:val="20"/>
        </w:rPr>
        <w:t>104B</w:t>
      </w:r>
      <w:r>
        <w:rPr>
          <w:spacing w:val="-2"/>
          <w:sz w:val="20"/>
        </w:rPr>
        <w:t>.</w:t>
      </w:r>
    </w:p>
    <w:p>
      <w:pPr>
        <w:pStyle w:val="BodyText"/>
        <w:spacing w:before="8"/>
      </w:pPr>
    </w:p>
    <w:p>
      <w:pPr>
        <w:pStyle w:val="BodyText"/>
        <w:spacing w:line="235" w:lineRule="auto"/>
        <w:ind w:left="705" w:right="167" w:hanging="541"/>
        <w:jc w:val="both"/>
      </w:pPr>
      <w:bookmarkStart w:name="_bookmark1481" w:id="1483"/>
      <w:bookmarkEnd w:id="1483"/>
      <w:r>
        <w:rPr/>
      </w:r>
      <w:hyperlink w:history="true" w:anchor="_bookmark1423">
        <w:r>
          <w:rPr>
            <w:color w:val="005DA1"/>
            <w:position w:val="5"/>
            <w:sz w:val="14"/>
            <w:u w:val="single" w:color="005DA1"/>
          </w:rPr>
          <w:t>752</w:t>
        </w:r>
      </w:hyperlink>
      <w:r>
        <w:rPr>
          <w:position w:val="5"/>
          <w:sz w:val="14"/>
        </w:rPr>
        <w:t>.</w:t>
      </w:r>
      <w:r>
        <w:rPr>
          <w:spacing w:val="80"/>
          <w:position w:val="5"/>
          <w:sz w:val="14"/>
        </w:rPr>
        <w:t>  </w:t>
      </w:r>
      <w:r>
        <w:rPr/>
        <w:t>Replacing s.11 of the Transfer of Property Act 1844, which was not restricted to real </w:t>
      </w:r>
      <w:r>
        <w:rPr/>
        <w:t>property. For the history of this change see Davidson’s, </w:t>
      </w:r>
      <w:r>
        <w:rPr>
          <w:rFonts w:ascii="Arial" w:hAnsi="Arial"/>
          <w:i/>
        </w:rPr>
        <w:t>Concise Precedents in Conveyancing </w:t>
      </w:r>
      <w:r>
        <w:rPr/>
        <w:t>(2nd ed., 1845), pp.10 et seq. cf. Treitel (1967) 30 M.L.R. 687, 688–689.</w:t>
      </w:r>
    </w:p>
    <w:p>
      <w:pPr>
        <w:pStyle w:val="BodyText"/>
        <w:spacing w:before="9"/>
      </w:pPr>
    </w:p>
    <w:p>
      <w:pPr>
        <w:tabs>
          <w:tab w:pos="705" w:val="left" w:leader="none"/>
        </w:tabs>
        <w:spacing w:line="235" w:lineRule="auto" w:before="0"/>
        <w:ind w:left="705" w:right="168" w:hanging="541"/>
        <w:jc w:val="left"/>
        <w:rPr>
          <w:sz w:val="20"/>
        </w:rPr>
      </w:pPr>
      <w:bookmarkStart w:name="_bookmark1482" w:id="1484"/>
      <w:bookmarkEnd w:id="1484"/>
      <w:r>
        <w:rPr/>
      </w:r>
      <w:hyperlink w:history="true" w:anchor="_bookmark1424">
        <w:r>
          <w:rPr>
            <w:color w:val="005DA1"/>
            <w:spacing w:val="-4"/>
            <w:position w:val="5"/>
            <w:sz w:val="14"/>
            <w:u w:val="single" w:color="005DA1"/>
          </w:rPr>
          <w:t>753</w:t>
        </w:r>
      </w:hyperlink>
      <w:r>
        <w:rPr>
          <w:spacing w:val="-4"/>
          <w:position w:val="5"/>
          <w:sz w:val="14"/>
        </w:rPr>
        <w:t>.</w:t>
      </w:r>
      <w:r>
        <w:rPr>
          <w:position w:val="5"/>
          <w:sz w:val="14"/>
        </w:rPr>
        <w:tab/>
      </w:r>
      <w:r>
        <w:rPr>
          <w:sz w:val="20"/>
        </w:rPr>
        <w:t>It</w:t>
      </w:r>
      <w:r>
        <w:rPr>
          <w:spacing w:val="27"/>
          <w:sz w:val="20"/>
        </w:rPr>
        <w:t> </w:t>
      </w:r>
      <w:r>
        <w:rPr>
          <w:sz w:val="20"/>
        </w:rPr>
        <w:t>is</w:t>
      </w:r>
      <w:r>
        <w:rPr>
          <w:spacing w:val="27"/>
          <w:sz w:val="20"/>
        </w:rPr>
        <w:t> </w:t>
      </w:r>
      <w:r>
        <w:rPr>
          <w:sz w:val="20"/>
        </w:rPr>
        <w:t>generally</w:t>
      </w:r>
      <w:r>
        <w:rPr>
          <w:spacing w:val="27"/>
          <w:sz w:val="20"/>
        </w:rPr>
        <w:t> </w:t>
      </w:r>
      <w:r>
        <w:rPr>
          <w:sz w:val="20"/>
        </w:rPr>
        <w:t>agreed</w:t>
      </w:r>
      <w:r>
        <w:rPr>
          <w:spacing w:val="27"/>
          <w:sz w:val="20"/>
        </w:rPr>
        <w:t> </w:t>
      </w:r>
      <w:r>
        <w:rPr>
          <w:sz w:val="20"/>
        </w:rPr>
        <w:t>that</w:t>
      </w:r>
      <w:r>
        <w:rPr>
          <w:spacing w:val="27"/>
          <w:sz w:val="20"/>
        </w:rPr>
        <w:t> </w:t>
      </w:r>
      <w:r>
        <w:rPr>
          <w:sz w:val="20"/>
        </w:rPr>
        <w:t>s.5</w:t>
      </w:r>
      <w:r>
        <w:rPr>
          <w:spacing w:val="27"/>
          <w:sz w:val="20"/>
        </w:rPr>
        <w:t> </w:t>
      </w:r>
      <w:r>
        <w:rPr>
          <w:sz w:val="20"/>
        </w:rPr>
        <w:t>of</w:t>
      </w:r>
      <w:r>
        <w:rPr>
          <w:spacing w:val="27"/>
          <w:sz w:val="20"/>
        </w:rPr>
        <w:t> </w:t>
      </w:r>
      <w:r>
        <w:rPr>
          <w:sz w:val="20"/>
        </w:rPr>
        <w:t>the</w:t>
      </w:r>
      <w:r>
        <w:rPr>
          <w:spacing w:val="27"/>
          <w:sz w:val="20"/>
        </w:rPr>
        <w:t> </w:t>
      </w:r>
      <w:r>
        <w:rPr>
          <w:sz w:val="20"/>
        </w:rPr>
        <w:t>1845</w:t>
      </w:r>
      <w:r>
        <w:rPr>
          <w:spacing w:val="27"/>
          <w:sz w:val="20"/>
        </w:rPr>
        <w:t> </w:t>
      </w:r>
      <w:r>
        <w:rPr>
          <w:sz w:val="20"/>
        </w:rPr>
        <w:t>Act</w:t>
      </w:r>
      <w:r>
        <w:rPr>
          <w:spacing w:val="27"/>
          <w:sz w:val="20"/>
        </w:rPr>
        <w:t> </w:t>
      </w:r>
      <w:r>
        <w:rPr>
          <w:sz w:val="20"/>
        </w:rPr>
        <w:t>was</w:t>
      </w:r>
      <w:r>
        <w:rPr>
          <w:spacing w:val="27"/>
          <w:sz w:val="20"/>
        </w:rPr>
        <w:t> </w:t>
      </w:r>
      <w:r>
        <w:rPr>
          <w:sz w:val="20"/>
        </w:rPr>
        <w:t>confined</w:t>
      </w:r>
      <w:r>
        <w:rPr>
          <w:spacing w:val="27"/>
          <w:sz w:val="20"/>
        </w:rPr>
        <w:t> </w:t>
      </w:r>
      <w:r>
        <w:rPr>
          <w:sz w:val="20"/>
        </w:rPr>
        <w:t>to</w:t>
      </w:r>
      <w:r>
        <w:rPr>
          <w:spacing w:val="27"/>
          <w:sz w:val="20"/>
        </w:rPr>
        <w:t> </w:t>
      </w:r>
      <w:r>
        <w:rPr>
          <w:sz w:val="20"/>
        </w:rPr>
        <w:t>real</w:t>
      </w:r>
      <w:r>
        <w:rPr>
          <w:spacing w:val="27"/>
          <w:sz w:val="20"/>
        </w:rPr>
        <w:t> </w:t>
      </w:r>
      <w:r>
        <w:rPr>
          <w:sz w:val="20"/>
        </w:rPr>
        <w:t>property:</w:t>
      </w:r>
      <w:r>
        <w:rPr>
          <w:spacing w:val="27"/>
          <w:sz w:val="20"/>
        </w:rPr>
        <w:t> </w:t>
      </w:r>
      <w:r>
        <w:rPr>
          <w:sz w:val="20"/>
        </w:rPr>
        <w:t>see</w:t>
      </w:r>
      <w:r>
        <w:rPr>
          <w:spacing w:val="26"/>
          <w:sz w:val="20"/>
        </w:rPr>
        <w:t> </w:t>
      </w:r>
      <w:r>
        <w:rPr>
          <w:rFonts w:ascii="Arial"/>
          <w:i/>
          <w:sz w:val="20"/>
        </w:rPr>
        <w:t>Beswick</w:t>
      </w:r>
      <w:r>
        <w:rPr>
          <w:rFonts w:ascii="Arial"/>
          <w:i/>
          <w:spacing w:val="27"/>
          <w:sz w:val="20"/>
        </w:rPr>
        <w:t> </w:t>
      </w:r>
      <w:r>
        <w:rPr>
          <w:rFonts w:ascii="Arial"/>
          <w:i/>
          <w:sz w:val="20"/>
        </w:rPr>
        <w:t>v Beswick [1968] A.C. 58, 87D, 104E</w:t>
      </w:r>
      <w:r>
        <w:rPr>
          <w:sz w:val="20"/>
        </w:rPr>
        <w:t>.</w:t>
      </w:r>
    </w:p>
    <w:p>
      <w:pPr>
        <w:pStyle w:val="BodyText"/>
        <w:spacing w:before="9"/>
      </w:pPr>
    </w:p>
    <w:p>
      <w:pPr>
        <w:tabs>
          <w:tab w:pos="705" w:val="left" w:leader="none"/>
        </w:tabs>
        <w:spacing w:line="235" w:lineRule="auto" w:before="1"/>
        <w:ind w:left="705" w:right="168" w:hanging="541"/>
        <w:jc w:val="left"/>
        <w:rPr>
          <w:rFonts w:ascii="Arial"/>
          <w:i/>
          <w:sz w:val="20"/>
        </w:rPr>
      </w:pPr>
      <w:bookmarkStart w:name="_bookmark1483" w:id="1485"/>
      <w:bookmarkEnd w:id="1485"/>
      <w:r>
        <w:rPr/>
      </w:r>
      <w:hyperlink w:history="true" w:anchor="_bookmark1425">
        <w:r>
          <w:rPr>
            <w:color w:val="005DA1"/>
            <w:spacing w:val="-4"/>
            <w:position w:val="5"/>
            <w:sz w:val="14"/>
            <w:u w:val="single" w:color="005DA1"/>
          </w:rPr>
          <w:t>754</w:t>
        </w:r>
      </w:hyperlink>
      <w:r>
        <w:rPr>
          <w:spacing w:val="-4"/>
          <w:position w:val="5"/>
          <w:sz w:val="14"/>
        </w:rPr>
        <w:t>.</w:t>
      </w:r>
      <w:r>
        <w:rPr>
          <w:position w:val="5"/>
          <w:sz w:val="14"/>
        </w:rPr>
        <w:tab/>
      </w:r>
      <w:r>
        <w:rPr>
          <w:rFonts w:ascii="Arial"/>
          <w:i/>
          <w:sz w:val="20"/>
        </w:rPr>
        <w:t>Forster</w:t>
      </w:r>
      <w:r>
        <w:rPr>
          <w:rFonts w:ascii="Arial"/>
          <w:i/>
          <w:spacing w:val="27"/>
          <w:sz w:val="20"/>
        </w:rPr>
        <w:t> </w:t>
      </w:r>
      <w:r>
        <w:rPr>
          <w:rFonts w:ascii="Arial"/>
          <w:i/>
          <w:sz w:val="20"/>
        </w:rPr>
        <w:t>v</w:t>
      </w:r>
      <w:r>
        <w:rPr>
          <w:rFonts w:ascii="Arial"/>
          <w:i/>
          <w:spacing w:val="27"/>
          <w:sz w:val="20"/>
        </w:rPr>
        <w:t> </w:t>
      </w:r>
      <w:r>
        <w:rPr>
          <w:rFonts w:ascii="Arial"/>
          <w:i/>
          <w:sz w:val="20"/>
        </w:rPr>
        <w:t>Elvett</w:t>
      </w:r>
      <w:r>
        <w:rPr>
          <w:rFonts w:ascii="Arial"/>
          <w:i/>
          <w:spacing w:val="27"/>
          <w:sz w:val="20"/>
        </w:rPr>
        <w:t> </w:t>
      </w:r>
      <w:r>
        <w:rPr>
          <w:rFonts w:ascii="Arial"/>
          <w:i/>
          <w:sz w:val="20"/>
        </w:rPr>
        <w:t>Colliery</w:t>
      </w:r>
      <w:r>
        <w:rPr>
          <w:rFonts w:ascii="Arial"/>
          <w:i/>
          <w:spacing w:val="27"/>
          <w:sz w:val="20"/>
        </w:rPr>
        <w:t> </w:t>
      </w:r>
      <w:r>
        <w:rPr>
          <w:rFonts w:ascii="Arial"/>
          <w:i/>
          <w:sz w:val="20"/>
        </w:rPr>
        <w:t>Co</w:t>
      </w:r>
      <w:r>
        <w:rPr>
          <w:rFonts w:ascii="Arial"/>
          <w:i/>
          <w:spacing w:val="27"/>
          <w:sz w:val="20"/>
        </w:rPr>
        <w:t> </w:t>
      </w:r>
      <w:r>
        <w:rPr>
          <w:rFonts w:ascii="Arial"/>
          <w:i/>
          <w:sz w:val="20"/>
        </w:rPr>
        <w:t>Ltd</w:t>
      </w:r>
      <w:r>
        <w:rPr>
          <w:rFonts w:ascii="Arial"/>
          <w:i/>
          <w:spacing w:val="27"/>
          <w:sz w:val="20"/>
        </w:rPr>
        <w:t> </w:t>
      </w:r>
      <w:r>
        <w:rPr>
          <w:rFonts w:ascii="Arial"/>
          <w:i/>
          <w:sz w:val="20"/>
        </w:rPr>
        <w:t>[1908]</w:t>
      </w:r>
      <w:r>
        <w:rPr>
          <w:rFonts w:ascii="Arial"/>
          <w:i/>
          <w:spacing w:val="27"/>
          <w:sz w:val="20"/>
        </w:rPr>
        <w:t> </w:t>
      </w:r>
      <w:r>
        <w:rPr>
          <w:rFonts w:ascii="Arial"/>
          <w:i/>
          <w:sz w:val="20"/>
        </w:rPr>
        <w:t>1</w:t>
      </w:r>
      <w:r>
        <w:rPr>
          <w:rFonts w:ascii="Arial"/>
          <w:i/>
          <w:spacing w:val="27"/>
          <w:sz w:val="20"/>
        </w:rPr>
        <w:t> </w:t>
      </w:r>
      <w:r>
        <w:rPr>
          <w:rFonts w:ascii="Arial"/>
          <w:i/>
          <w:sz w:val="20"/>
        </w:rPr>
        <w:t>K.B.</w:t>
      </w:r>
      <w:r>
        <w:rPr>
          <w:rFonts w:ascii="Arial"/>
          <w:i/>
          <w:spacing w:val="27"/>
          <w:sz w:val="20"/>
        </w:rPr>
        <w:t> </w:t>
      </w:r>
      <w:r>
        <w:rPr>
          <w:rFonts w:ascii="Arial"/>
          <w:i/>
          <w:sz w:val="20"/>
        </w:rPr>
        <w:t>629</w:t>
      </w:r>
      <w:r>
        <w:rPr>
          <w:rFonts w:ascii="Arial"/>
          <w:i/>
          <w:spacing w:val="27"/>
          <w:sz w:val="20"/>
        </w:rPr>
        <w:t> </w:t>
      </w:r>
      <w:r>
        <w:rPr>
          <w:sz w:val="20"/>
        </w:rPr>
        <w:t>(in</w:t>
      </w:r>
      <w:r>
        <w:rPr>
          <w:spacing w:val="27"/>
          <w:sz w:val="20"/>
        </w:rPr>
        <w:t> </w:t>
      </w:r>
      <w:r>
        <w:rPr>
          <w:sz w:val="20"/>
        </w:rPr>
        <w:t>the</w:t>
      </w:r>
      <w:r>
        <w:rPr>
          <w:spacing w:val="27"/>
          <w:sz w:val="20"/>
        </w:rPr>
        <w:t> </w:t>
      </w:r>
      <w:r>
        <w:rPr>
          <w:sz w:val="20"/>
        </w:rPr>
        <w:t>House</w:t>
      </w:r>
      <w:r>
        <w:rPr>
          <w:spacing w:val="27"/>
          <w:sz w:val="20"/>
        </w:rPr>
        <w:t> </w:t>
      </w:r>
      <w:r>
        <w:rPr>
          <w:sz w:val="20"/>
        </w:rPr>
        <w:t>of</w:t>
      </w:r>
      <w:r>
        <w:rPr>
          <w:spacing w:val="27"/>
          <w:sz w:val="20"/>
        </w:rPr>
        <w:t> </w:t>
      </w:r>
      <w:r>
        <w:rPr>
          <w:sz w:val="20"/>
        </w:rPr>
        <w:t>Lords,</w:t>
      </w:r>
      <w:r>
        <w:rPr>
          <w:spacing w:val="27"/>
          <w:sz w:val="20"/>
        </w:rPr>
        <w:t> </w:t>
      </w:r>
      <w:r>
        <w:rPr>
          <w:sz w:val="20"/>
        </w:rPr>
        <w:t>Lord</w:t>
      </w:r>
      <w:r>
        <w:rPr>
          <w:spacing w:val="27"/>
          <w:sz w:val="20"/>
        </w:rPr>
        <w:t> </w:t>
      </w:r>
      <w:r>
        <w:rPr>
          <w:sz w:val="20"/>
        </w:rPr>
        <w:t>Macnaghten reserved</w:t>
      </w:r>
      <w:r>
        <w:rPr>
          <w:spacing w:val="19"/>
          <w:sz w:val="20"/>
        </w:rPr>
        <w:t> </w:t>
      </w:r>
      <w:r>
        <w:rPr>
          <w:sz w:val="20"/>
        </w:rPr>
        <w:t>the</w:t>
      </w:r>
      <w:r>
        <w:rPr>
          <w:spacing w:val="22"/>
          <w:sz w:val="20"/>
        </w:rPr>
        <w:t> </w:t>
      </w:r>
      <w:r>
        <w:rPr>
          <w:sz w:val="20"/>
        </w:rPr>
        <w:t>point:</w:t>
      </w:r>
      <w:r>
        <w:rPr>
          <w:spacing w:val="22"/>
          <w:sz w:val="20"/>
        </w:rPr>
        <w:t> </w:t>
      </w:r>
      <w:r>
        <w:rPr>
          <w:rFonts w:ascii="Arial"/>
          <w:i/>
          <w:sz w:val="20"/>
        </w:rPr>
        <w:t>Dyson</w:t>
      </w:r>
      <w:r>
        <w:rPr>
          <w:rFonts w:ascii="Arial"/>
          <w:i/>
          <w:spacing w:val="22"/>
          <w:sz w:val="20"/>
        </w:rPr>
        <w:t> </w:t>
      </w:r>
      <w:r>
        <w:rPr>
          <w:rFonts w:ascii="Arial"/>
          <w:i/>
          <w:sz w:val="20"/>
        </w:rPr>
        <w:t>v</w:t>
      </w:r>
      <w:r>
        <w:rPr>
          <w:rFonts w:ascii="Arial"/>
          <w:i/>
          <w:spacing w:val="22"/>
          <w:sz w:val="20"/>
        </w:rPr>
        <w:t> </w:t>
      </w:r>
      <w:r>
        <w:rPr>
          <w:rFonts w:ascii="Arial"/>
          <w:i/>
          <w:sz w:val="20"/>
        </w:rPr>
        <w:t>Forster</w:t>
      </w:r>
      <w:r>
        <w:rPr>
          <w:rFonts w:ascii="Arial"/>
          <w:i/>
          <w:spacing w:val="22"/>
          <w:sz w:val="20"/>
        </w:rPr>
        <w:t> </w:t>
      </w:r>
      <w:r>
        <w:rPr>
          <w:rFonts w:ascii="Arial"/>
          <w:i/>
          <w:sz w:val="20"/>
        </w:rPr>
        <w:t>[1909]</w:t>
      </w:r>
      <w:r>
        <w:rPr>
          <w:rFonts w:ascii="Arial"/>
          <w:i/>
          <w:spacing w:val="22"/>
          <w:sz w:val="20"/>
        </w:rPr>
        <w:t> </w:t>
      </w:r>
      <w:r>
        <w:rPr>
          <w:rFonts w:ascii="Arial"/>
          <w:i/>
          <w:sz w:val="20"/>
        </w:rPr>
        <w:t>A.C.</w:t>
      </w:r>
      <w:r>
        <w:rPr>
          <w:rFonts w:ascii="Arial"/>
          <w:i/>
          <w:spacing w:val="22"/>
          <w:sz w:val="20"/>
        </w:rPr>
        <w:t> </w:t>
      </w:r>
      <w:r>
        <w:rPr>
          <w:rFonts w:ascii="Arial"/>
          <w:i/>
          <w:sz w:val="20"/>
        </w:rPr>
        <w:t>98,</w:t>
      </w:r>
      <w:r>
        <w:rPr>
          <w:rFonts w:ascii="Arial"/>
          <w:i/>
          <w:spacing w:val="22"/>
          <w:sz w:val="20"/>
        </w:rPr>
        <w:t> </w:t>
      </w:r>
      <w:r>
        <w:rPr>
          <w:rFonts w:ascii="Arial"/>
          <w:i/>
          <w:sz w:val="20"/>
        </w:rPr>
        <w:t>102</w:t>
      </w:r>
      <w:r>
        <w:rPr>
          <w:sz w:val="20"/>
        </w:rPr>
        <w:t>);</w:t>
      </w:r>
      <w:r>
        <w:rPr>
          <w:spacing w:val="22"/>
          <w:sz w:val="20"/>
        </w:rPr>
        <w:t> </w:t>
      </w:r>
      <w:r>
        <w:rPr>
          <w:rFonts w:ascii="Arial"/>
          <w:i/>
          <w:sz w:val="20"/>
        </w:rPr>
        <w:t>Grant</w:t>
      </w:r>
      <w:r>
        <w:rPr>
          <w:rFonts w:ascii="Arial"/>
          <w:i/>
          <w:spacing w:val="22"/>
          <w:sz w:val="20"/>
        </w:rPr>
        <w:t> </w:t>
      </w:r>
      <w:r>
        <w:rPr>
          <w:rFonts w:ascii="Arial"/>
          <w:i/>
          <w:sz w:val="20"/>
        </w:rPr>
        <w:t>v</w:t>
      </w:r>
      <w:r>
        <w:rPr>
          <w:rFonts w:ascii="Arial"/>
          <w:i/>
          <w:spacing w:val="22"/>
          <w:sz w:val="20"/>
        </w:rPr>
        <w:t> </w:t>
      </w:r>
      <w:r>
        <w:rPr>
          <w:rFonts w:ascii="Arial"/>
          <w:i/>
          <w:sz w:val="20"/>
        </w:rPr>
        <w:t>Edmonson</w:t>
      </w:r>
      <w:r>
        <w:rPr>
          <w:rFonts w:ascii="Arial"/>
          <w:i/>
          <w:spacing w:val="22"/>
          <w:sz w:val="20"/>
        </w:rPr>
        <w:t> </w:t>
      </w:r>
      <w:r>
        <w:rPr>
          <w:rFonts w:ascii="Arial"/>
          <w:i/>
          <w:sz w:val="20"/>
        </w:rPr>
        <w:t>[1931]</w:t>
      </w:r>
      <w:r>
        <w:rPr>
          <w:rFonts w:ascii="Arial"/>
          <w:i/>
          <w:spacing w:val="22"/>
          <w:sz w:val="20"/>
        </w:rPr>
        <w:t> </w:t>
      </w:r>
      <w:r>
        <w:rPr>
          <w:rFonts w:ascii="Arial"/>
          <w:i/>
          <w:sz w:val="20"/>
        </w:rPr>
        <w:t>1</w:t>
      </w:r>
      <w:r>
        <w:rPr>
          <w:rFonts w:ascii="Arial"/>
          <w:i/>
          <w:spacing w:val="22"/>
          <w:sz w:val="20"/>
        </w:rPr>
        <w:t> </w:t>
      </w:r>
      <w:r>
        <w:rPr>
          <w:rFonts w:ascii="Arial"/>
          <w:i/>
          <w:sz w:val="20"/>
        </w:rPr>
        <w:t>Ch.</w:t>
      </w:r>
      <w:r>
        <w:rPr>
          <w:rFonts w:ascii="Arial"/>
          <w:i/>
          <w:spacing w:val="22"/>
          <w:sz w:val="20"/>
        </w:rPr>
        <w:t> </w:t>
      </w:r>
      <w:r>
        <w:rPr>
          <w:rFonts w:ascii="Arial"/>
          <w:i/>
          <w:spacing w:val="-7"/>
          <w:sz w:val="20"/>
        </w:rPr>
        <w:t>1.</w:t>
      </w:r>
    </w:p>
    <w:p>
      <w:pPr>
        <w:spacing w:line="225" w:lineRule="exact" w:before="0"/>
        <w:ind w:left="705" w:right="0" w:firstLine="0"/>
        <w:jc w:val="left"/>
        <w:rPr>
          <w:sz w:val="20"/>
        </w:rPr>
      </w:pPr>
      <w:r>
        <w:rPr>
          <w:rFonts w:ascii="Arial"/>
          <w:i/>
          <w:spacing w:val="-4"/>
          <w:sz w:val="20"/>
        </w:rPr>
        <w:t>728</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484" w:id="1486"/>
      <w:bookmarkEnd w:id="1486"/>
      <w:r>
        <w:rPr/>
      </w:r>
      <w:hyperlink w:history="true" w:anchor="_bookmark1426">
        <w:r>
          <w:rPr>
            <w:color w:val="005DA1"/>
            <w:spacing w:val="-4"/>
            <w:position w:val="5"/>
            <w:sz w:val="14"/>
            <w:u w:val="single" w:color="005DA1"/>
          </w:rPr>
          <w:t>755</w:t>
        </w:r>
      </w:hyperlink>
      <w:r>
        <w:rPr>
          <w:spacing w:val="-4"/>
          <w:position w:val="5"/>
          <w:sz w:val="14"/>
        </w:rPr>
        <w:t>.</w:t>
      </w:r>
      <w:r>
        <w:rPr>
          <w:position w:val="5"/>
          <w:sz w:val="14"/>
        </w:rPr>
        <w:tab/>
      </w:r>
      <w:r>
        <w:rPr>
          <w:sz w:val="20"/>
        </w:rPr>
        <w:t>[1966]</w:t>
      </w:r>
      <w:r>
        <w:rPr>
          <w:spacing w:val="32"/>
          <w:sz w:val="20"/>
        </w:rPr>
        <w:t> </w:t>
      </w:r>
      <w:r>
        <w:rPr>
          <w:sz w:val="20"/>
        </w:rPr>
        <w:t>Ch.</w:t>
      </w:r>
      <w:r>
        <w:rPr>
          <w:spacing w:val="32"/>
          <w:sz w:val="20"/>
        </w:rPr>
        <w:t> </w:t>
      </w:r>
      <w:r>
        <w:rPr>
          <w:sz w:val="20"/>
        </w:rPr>
        <w:t>538</w:t>
      </w:r>
      <w:r>
        <w:rPr>
          <w:spacing w:val="32"/>
          <w:sz w:val="20"/>
        </w:rPr>
        <w:t> </w:t>
      </w:r>
      <w:r>
        <w:rPr>
          <w:sz w:val="20"/>
        </w:rPr>
        <w:t>(above,</w:t>
      </w:r>
      <w:r>
        <w:rPr>
          <w:spacing w:val="32"/>
          <w:sz w:val="20"/>
        </w:rPr>
        <w:t> </w:t>
      </w:r>
      <w:r>
        <w:rPr>
          <w:sz w:val="20"/>
        </w:rPr>
        <w:t>para.18-022),</w:t>
      </w:r>
      <w:r>
        <w:rPr>
          <w:spacing w:val="32"/>
          <w:sz w:val="20"/>
        </w:rPr>
        <w:t> </w:t>
      </w:r>
      <w:r>
        <w:rPr>
          <w:sz w:val="20"/>
        </w:rPr>
        <w:t>and</w:t>
      </w:r>
      <w:r>
        <w:rPr>
          <w:spacing w:val="32"/>
          <w:sz w:val="20"/>
        </w:rPr>
        <w:t> </w:t>
      </w:r>
      <w:r>
        <w:rPr>
          <w:sz w:val="20"/>
        </w:rPr>
        <w:t>see</w:t>
      </w:r>
      <w:r>
        <w:rPr>
          <w:spacing w:val="31"/>
          <w:sz w:val="20"/>
        </w:rPr>
        <w:t> </w:t>
      </w:r>
      <w:r>
        <w:rPr>
          <w:rFonts w:ascii="Arial"/>
          <w:i/>
          <w:sz w:val="20"/>
        </w:rPr>
        <w:t>Drive</w:t>
      </w:r>
      <w:r>
        <w:rPr>
          <w:rFonts w:ascii="Arial"/>
          <w:i/>
          <w:spacing w:val="32"/>
          <w:sz w:val="20"/>
        </w:rPr>
        <w:t> </w:t>
      </w:r>
      <w:r>
        <w:rPr>
          <w:rFonts w:ascii="Arial"/>
          <w:i/>
          <w:sz w:val="20"/>
        </w:rPr>
        <w:t>Yourself</w:t>
      </w:r>
      <w:r>
        <w:rPr>
          <w:rFonts w:ascii="Arial"/>
          <w:i/>
          <w:spacing w:val="32"/>
          <w:sz w:val="20"/>
        </w:rPr>
        <w:t> </w:t>
      </w:r>
      <w:r>
        <w:rPr>
          <w:rFonts w:ascii="Arial"/>
          <w:i/>
          <w:sz w:val="20"/>
        </w:rPr>
        <w:t>Hire</w:t>
      </w:r>
      <w:r>
        <w:rPr>
          <w:rFonts w:ascii="Arial"/>
          <w:i/>
          <w:spacing w:val="32"/>
          <w:sz w:val="20"/>
        </w:rPr>
        <w:t> </w:t>
      </w:r>
      <w:r>
        <w:rPr>
          <w:rFonts w:ascii="Arial"/>
          <w:i/>
          <w:sz w:val="20"/>
        </w:rPr>
        <w:t>Co</w:t>
      </w:r>
      <w:r>
        <w:rPr>
          <w:rFonts w:ascii="Arial"/>
          <w:i/>
          <w:spacing w:val="32"/>
          <w:sz w:val="20"/>
        </w:rPr>
        <w:t> </w:t>
      </w:r>
      <w:r>
        <w:rPr>
          <w:rFonts w:ascii="Arial"/>
          <w:i/>
          <w:sz w:val="20"/>
        </w:rPr>
        <w:t>(London)</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Strutt [1954] 1 Q.B. 250</w:t>
      </w:r>
      <w:r>
        <w:rPr>
          <w:sz w:val="20"/>
        </w:rPr>
        <w:t>; criticised on this point by Wade [1954] C.L.J. 66.</w:t>
      </w:r>
    </w:p>
    <w:p>
      <w:pPr>
        <w:pStyle w:val="BodyText"/>
        <w:spacing w:before="6"/>
      </w:pPr>
    </w:p>
    <w:p>
      <w:pPr>
        <w:tabs>
          <w:tab w:pos="705" w:val="left" w:leader="none"/>
        </w:tabs>
        <w:spacing w:before="0"/>
        <w:ind w:left="165" w:right="0" w:firstLine="0"/>
        <w:jc w:val="left"/>
        <w:rPr>
          <w:sz w:val="20"/>
        </w:rPr>
      </w:pPr>
      <w:bookmarkStart w:name="_bookmark1485" w:id="1487"/>
      <w:bookmarkEnd w:id="1487"/>
      <w:r>
        <w:rPr/>
      </w:r>
      <w:hyperlink w:history="true" w:anchor="_bookmark1427">
        <w:r>
          <w:rPr>
            <w:color w:val="005DA1"/>
            <w:spacing w:val="-4"/>
            <w:position w:val="5"/>
            <w:sz w:val="14"/>
            <w:u w:val="single" w:color="005DA1"/>
          </w:rPr>
          <w:t>756</w:t>
        </w:r>
      </w:hyperlink>
      <w:r>
        <w:rPr>
          <w:spacing w:val="-4"/>
          <w:position w:val="5"/>
          <w:sz w:val="14"/>
        </w:rPr>
        <w:t>.</w:t>
      </w:r>
      <w:r>
        <w:rPr>
          <w:position w:val="5"/>
          <w:sz w:val="14"/>
        </w:rPr>
        <w:tab/>
      </w:r>
      <w:r>
        <w:rPr>
          <w:rFonts w:ascii="Arial"/>
          <w:i/>
          <w:sz w:val="20"/>
        </w:rPr>
        <w:t>[1968] A.C. 58, 77C, 81C, </w:t>
      </w:r>
      <w:r>
        <w:rPr>
          <w:rFonts w:ascii="Arial"/>
          <w:i/>
          <w:spacing w:val="-4"/>
          <w:sz w:val="20"/>
        </w:rPr>
        <w:t>87C</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86" w:id="1488"/>
      <w:bookmarkEnd w:id="1488"/>
      <w:r>
        <w:rPr/>
      </w:r>
      <w:hyperlink w:history="true" w:anchor="_bookmark1428">
        <w:r>
          <w:rPr>
            <w:color w:val="005DA1"/>
            <w:spacing w:val="-4"/>
            <w:position w:val="5"/>
            <w:sz w:val="14"/>
            <w:u w:val="single" w:color="005DA1"/>
          </w:rPr>
          <w:t>757</w:t>
        </w:r>
      </w:hyperlink>
      <w:r>
        <w:rPr>
          <w:spacing w:val="-4"/>
          <w:position w:val="5"/>
          <w:sz w:val="14"/>
        </w:rPr>
        <w:t>.</w:t>
      </w:r>
      <w:r>
        <w:rPr>
          <w:position w:val="5"/>
          <w:sz w:val="14"/>
        </w:rPr>
        <w:tab/>
      </w:r>
      <w:r>
        <w:rPr>
          <w:rFonts w:ascii="Arial"/>
          <w:i/>
          <w:sz w:val="20"/>
        </w:rPr>
        <w:t>[1968]</w:t>
      </w:r>
      <w:r>
        <w:rPr>
          <w:rFonts w:ascii="Arial"/>
          <w:i/>
          <w:spacing w:val="-1"/>
          <w:sz w:val="20"/>
        </w:rPr>
        <w:t> </w:t>
      </w:r>
      <w:r>
        <w:rPr>
          <w:rFonts w:ascii="Arial"/>
          <w:i/>
          <w:sz w:val="20"/>
        </w:rPr>
        <w:t>A.C. 58, 73F, 84G, 104F</w:t>
      </w:r>
      <w:r>
        <w:rPr>
          <w:sz w:val="20"/>
        </w:rPr>
        <w:t>; cf. Treitel (1966) 29 M.L.R. 657, </w:t>
      </w:r>
      <w:r>
        <w:rPr>
          <w:spacing w:val="-4"/>
          <w:sz w:val="20"/>
        </w:rPr>
        <w:t>661.</w:t>
      </w:r>
    </w:p>
    <w:p>
      <w:pPr>
        <w:pStyle w:val="BodyText"/>
        <w:spacing w:before="8"/>
      </w:pPr>
    </w:p>
    <w:p>
      <w:pPr>
        <w:pStyle w:val="BodyText"/>
        <w:spacing w:line="235" w:lineRule="auto" w:before="1"/>
        <w:ind w:left="705" w:right="167" w:hanging="541"/>
        <w:jc w:val="both"/>
      </w:pPr>
      <w:bookmarkStart w:name="_bookmark1487" w:id="1489"/>
      <w:bookmarkEnd w:id="1489"/>
      <w:r>
        <w:rPr/>
      </w:r>
      <w:hyperlink w:history="true" w:anchor="_bookmark1429">
        <w:r>
          <w:rPr>
            <w:color w:val="005DA1"/>
            <w:position w:val="5"/>
            <w:sz w:val="14"/>
            <w:u w:val="single" w:color="005DA1"/>
          </w:rPr>
          <w:t>758</w:t>
        </w:r>
      </w:hyperlink>
      <w:r>
        <w:rPr>
          <w:position w:val="5"/>
          <w:sz w:val="14"/>
        </w:rPr>
        <w:t>.</w:t>
      </w:r>
      <w:r>
        <w:rPr>
          <w:spacing w:val="80"/>
          <w:position w:val="5"/>
          <w:sz w:val="14"/>
        </w:rPr>
        <w:t>  </w:t>
      </w:r>
      <w:r>
        <w:rPr/>
        <w:t>Before the passing of the 1925 Act, a number of reforming measures had been enacted. None of these contained any provisions from which the present s.56(1) is derived. In introducing one of the reforming Bills, which were consolidated, together with earlier Acts, in the 1925 </w:t>
      </w:r>
      <w:r>
        <w:rPr/>
        <w:t>property legislation, Lord Haldane L.C. said that no Parliamentary time would be needed for the consolidating</w:t>
      </w:r>
      <w:r>
        <w:rPr>
          <w:spacing w:val="7"/>
        </w:rPr>
        <w:t> </w:t>
      </w:r>
      <w:r>
        <w:rPr/>
        <w:t>bills</w:t>
      </w:r>
      <w:r>
        <w:rPr>
          <w:spacing w:val="7"/>
        </w:rPr>
        <w:t> </w:t>
      </w:r>
      <w:r>
        <w:rPr/>
        <w:t>“because</w:t>
      </w:r>
      <w:r>
        <w:rPr>
          <w:spacing w:val="7"/>
        </w:rPr>
        <w:t> </w:t>
      </w:r>
      <w:r>
        <w:rPr/>
        <w:t>they</w:t>
      </w:r>
      <w:r>
        <w:rPr>
          <w:spacing w:val="7"/>
        </w:rPr>
        <w:t> </w:t>
      </w:r>
      <w:r>
        <w:rPr/>
        <w:t>do</w:t>
      </w:r>
      <w:r>
        <w:rPr>
          <w:spacing w:val="7"/>
        </w:rPr>
        <w:t> </w:t>
      </w:r>
      <w:r>
        <w:rPr/>
        <w:t>not</w:t>
      </w:r>
      <w:r>
        <w:rPr>
          <w:spacing w:val="7"/>
        </w:rPr>
        <w:t> </w:t>
      </w:r>
      <w:r>
        <w:rPr/>
        <w:t>change</w:t>
      </w:r>
      <w:r>
        <w:rPr>
          <w:spacing w:val="7"/>
        </w:rPr>
        <w:t> </w:t>
      </w:r>
      <w:r>
        <w:rPr/>
        <w:t>what</w:t>
      </w:r>
      <w:r>
        <w:rPr>
          <w:spacing w:val="7"/>
        </w:rPr>
        <w:t> </w:t>
      </w:r>
      <w:r>
        <w:rPr/>
        <w:t>will</w:t>
      </w:r>
      <w:r>
        <w:rPr>
          <w:spacing w:val="7"/>
        </w:rPr>
        <w:t> </w:t>
      </w:r>
      <w:r>
        <w:rPr/>
        <w:t>then</w:t>
      </w:r>
      <w:r>
        <w:rPr>
          <w:spacing w:val="7"/>
        </w:rPr>
        <w:t> </w:t>
      </w:r>
      <w:r>
        <w:rPr/>
        <w:t>be</w:t>
      </w:r>
      <w:r>
        <w:rPr>
          <w:spacing w:val="7"/>
        </w:rPr>
        <w:t> </w:t>
      </w:r>
      <w:r>
        <w:rPr/>
        <w:t>the</w:t>
      </w:r>
      <w:r>
        <w:rPr>
          <w:spacing w:val="7"/>
        </w:rPr>
        <w:t> </w:t>
      </w:r>
      <w:r>
        <w:rPr/>
        <w:t>law”:</w:t>
      </w:r>
      <w:r>
        <w:rPr>
          <w:spacing w:val="7"/>
        </w:rPr>
        <w:t> </w:t>
      </w:r>
      <w:r>
        <w:rPr/>
        <w:t>(1924)</w:t>
      </w:r>
      <w:r>
        <w:rPr>
          <w:spacing w:val="7"/>
        </w:rPr>
        <w:t> </w:t>
      </w:r>
      <w:r>
        <w:rPr/>
        <w:t>59</w:t>
      </w:r>
      <w:r>
        <w:rPr>
          <w:spacing w:val="7"/>
        </w:rPr>
        <w:t> </w:t>
      </w:r>
      <w:r>
        <w:rPr/>
        <w:t>H.L.</w:t>
      </w:r>
      <w:r>
        <w:rPr>
          <w:spacing w:val="7"/>
        </w:rPr>
        <w:t> </w:t>
      </w:r>
      <w:r>
        <w:rPr>
          <w:spacing w:val="-4"/>
        </w:rPr>
        <w:t>Deb.</w:t>
      </w:r>
    </w:p>
    <w:p>
      <w:pPr>
        <w:pStyle w:val="BodyText"/>
        <w:spacing w:line="235" w:lineRule="auto"/>
        <w:ind w:left="705" w:right="167"/>
        <w:jc w:val="both"/>
      </w:pPr>
      <w:r>
        <w:rPr/>
        <w:t>125. In view of his speech in </w:t>
      </w:r>
      <w:r>
        <w:rPr>
          <w:rFonts w:ascii="Arial" w:hAnsi="Arial"/>
          <w:i/>
        </w:rPr>
        <w:t>Dunlop Pneumatic Tyre Co Ltd v Selfridge &amp; Co Ltd [1915] A.C. 847</w:t>
      </w:r>
      <w:r>
        <w:rPr/>
        <w:t>, Lord Haldane could hardly have taken this view of the 1925 legislation if the effect of s.56(1) had been to reverse, for written contracts, the “fundamental principle” stated by him </w:t>
      </w:r>
      <w:r>
        <w:rPr/>
        <w:t>in that case at p.853, that “only a person who is a party to a contract can sue on it.”</w:t>
      </w:r>
    </w:p>
    <w:p>
      <w:pPr>
        <w:pStyle w:val="BodyText"/>
        <w:spacing w:before="2"/>
      </w:pPr>
    </w:p>
    <w:p>
      <w:pPr>
        <w:pStyle w:val="BodyText"/>
        <w:tabs>
          <w:tab w:pos="705" w:val="left" w:leader="none"/>
        </w:tabs>
        <w:spacing w:before="1"/>
        <w:ind w:left="165"/>
      </w:pPr>
      <w:bookmarkStart w:name="_bookmark1488" w:id="1490"/>
      <w:bookmarkEnd w:id="1490"/>
      <w:r>
        <w:rPr/>
      </w:r>
      <w:hyperlink w:history="true" w:anchor="_bookmark1430">
        <w:r>
          <w:rPr>
            <w:color w:val="005DA1"/>
            <w:spacing w:val="-4"/>
            <w:position w:val="5"/>
            <w:sz w:val="14"/>
            <w:u w:val="single" w:color="005DA1"/>
          </w:rPr>
          <w:t>759</w:t>
        </w:r>
      </w:hyperlink>
      <w:r>
        <w:rPr>
          <w:spacing w:val="-4"/>
          <w:position w:val="5"/>
          <w:sz w:val="14"/>
        </w:rPr>
        <w:t>.</w:t>
      </w:r>
      <w:r>
        <w:rPr>
          <w:position w:val="5"/>
          <w:sz w:val="14"/>
        </w:rPr>
        <w:tab/>
      </w:r>
      <w:r>
        <w:rPr/>
        <w:t>But not the side-note, which reads in part “persons taking who are not parties </w:t>
      </w:r>
      <w:r>
        <w:rPr>
          <w:spacing w:val="-5"/>
        </w:rPr>
        <w:t>…”.</w:t>
      </w:r>
    </w:p>
    <w:p>
      <w:pPr>
        <w:pStyle w:val="BodyText"/>
        <w:spacing w:before="4"/>
      </w:pPr>
    </w:p>
    <w:p>
      <w:pPr>
        <w:pStyle w:val="BodyText"/>
        <w:tabs>
          <w:tab w:pos="705" w:val="left" w:leader="none"/>
        </w:tabs>
        <w:spacing w:before="1"/>
        <w:ind w:left="165"/>
      </w:pPr>
      <w:bookmarkStart w:name="_bookmark1489" w:id="1491"/>
      <w:bookmarkEnd w:id="1491"/>
      <w:r>
        <w:rPr/>
      </w:r>
      <w:hyperlink w:history="true" w:anchor="_bookmark1431">
        <w:r>
          <w:rPr>
            <w:color w:val="005DA1"/>
            <w:spacing w:val="-4"/>
            <w:position w:val="5"/>
            <w:sz w:val="14"/>
            <w:u w:val="single" w:color="005DA1"/>
          </w:rPr>
          <w:t>760</w:t>
        </w:r>
      </w:hyperlink>
      <w:r>
        <w:rPr>
          <w:spacing w:val="-4"/>
          <w:position w:val="5"/>
          <w:sz w:val="14"/>
        </w:rPr>
        <w:t>.</w:t>
      </w:r>
      <w:r>
        <w:rPr>
          <w:position w:val="5"/>
          <w:sz w:val="14"/>
        </w:rPr>
        <w:tab/>
      </w:r>
      <w:r>
        <w:rPr/>
        <w:t>cf.</w:t>
      </w:r>
      <w:r>
        <w:rPr>
          <w:spacing w:val="-2"/>
        </w:rPr>
        <w:t> </w:t>
      </w:r>
      <w:r>
        <w:rPr/>
        <w:t>below at nn.735 and </w:t>
      </w:r>
      <w:r>
        <w:rPr>
          <w:spacing w:val="-4"/>
        </w:rPr>
        <w:t>743.</w:t>
      </w:r>
    </w:p>
    <w:p>
      <w:pPr>
        <w:pStyle w:val="BodyText"/>
        <w:spacing w:before="8"/>
      </w:pPr>
    </w:p>
    <w:p>
      <w:pPr>
        <w:tabs>
          <w:tab w:pos="705" w:val="left" w:leader="none"/>
        </w:tabs>
        <w:spacing w:line="235" w:lineRule="auto" w:before="0"/>
        <w:ind w:left="705" w:right="168" w:hanging="541"/>
        <w:jc w:val="left"/>
        <w:rPr>
          <w:rFonts w:ascii="Arial" w:hAnsi="Arial"/>
          <w:i/>
          <w:sz w:val="20"/>
        </w:rPr>
      </w:pPr>
      <w:bookmarkStart w:name="_bookmark1490" w:id="1492"/>
      <w:bookmarkEnd w:id="1492"/>
      <w:r>
        <w:rPr/>
      </w:r>
      <w:hyperlink w:history="true" w:anchor="_bookmark1432">
        <w:r>
          <w:rPr>
            <w:color w:val="005DA1"/>
            <w:spacing w:val="-4"/>
            <w:position w:val="5"/>
            <w:sz w:val="14"/>
            <w:u w:val="single" w:color="005DA1"/>
          </w:rPr>
          <w:t>761</w:t>
        </w:r>
      </w:hyperlink>
      <w:r>
        <w:rPr>
          <w:spacing w:val="-4"/>
          <w:position w:val="5"/>
          <w:sz w:val="14"/>
        </w:rPr>
        <w:t>.</w:t>
      </w:r>
      <w:r>
        <w:rPr>
          <w:position w:val="5"/>
          <w:sz w:val="14"/>
        </w:rPr>
        <w:tab/>
      </w:r>
      <w:r>
        <w:rPr>
          <w:rFonts w:ascii="Arial" w:hAnsi="Arial"/>
          <w:i/>
          <w:sz w:val="20"/>
        </w:rPr>
        <w:t>Re Sinclair’s Life Policy [1938] Ch. 799</w:t>
      </w:r>
      <w:r>
        <w:rPr>
          <w:sz w:val="20"/>
        </w:rPr>
        <w:t>; </w:t>
      </w:r>
      <w:r>
        <w:rPr>
          <w:rFonts w:ascii="Arial" w:hAnsi="Arial"/>
          <w:i/>
          <w:sz w:val="20"/>
        </w:rPr>
        <w:t>Re Foster [1938] 3 All E.R. 357</w:t>
      </w:r>
      <w:r>
        <w:rPr>
          <w:sz w:val="20"/>
        </w:rPr>
        <w:t>; </w:t>
      </w:r>
      <w:r>
        <w:rPr>
          <w:rFonts w:ascii="Arial" w:hAnsi="Arial"/>
          <w:i/>
          <w:sz w:val="20"/>
        </w:rPr>
        <w:t>Re Miller’s Agreement [1947]</w:t>
      </w:r>
      <w:r>
        <w:rPr>
          <w:rFonts w:ascii="Arial" w:hAnsi="Arial"/>
          <w:i/>
          <w:spacing w:val="20"/>
          <w:sz w:val="20"/>
        </w:rPr>
        <w:t> </w:t>
      </w:r>
      <w:r>
        <w:rPr>
          <w:rFonts w:ascii="Arial" w:hAnsi="Arial"/>
          <w:i/>
          <w:sz w:val="20"/>
        </w:rPr>
        <w:t>Ch.</w:t>
      </w:r>
      <w:r>
        <w:rPr>
          <w:rFonts w:ascii="Arial" w:hAnsi="Arial"/>
          <w:i/>
          <w:spacing w:val="23"/>
          <w:sz w:val="20"/>
        </w:rPr>
        <w:t> </w:t>
      </w:r>
      <w:r>
        <w:rPr>
          <w:rFonts w:ascii="Arial" w:hAnsi="Arial"/>
          <w:i/>
          <w:sz w:val="20"/>
        </w:rPr>
        <w:t>615</w:t>
      </w:r>
      <w:r>
        <w:rPr>
          <w:sz w:val="20"/>
        </w:rPr>
        <w:t>.</w:t>
      </w:r>
      <w:r>
        <w:rPr>
          <w:spacing w:val="23"/>
          <w:sz w:val="20"/>
        </w:rPr>
        <w:t> </w:t>
      </w:r>
      <w:r>
        <w:rPr>
          <w:sz w:val="20"/>
        </w:rPr>
        <w:t>A</w:t>
      </w:r>
      <w:r>
        <w:rPr>
          <w:spacing w:val="23"/>
          <w:sz w:val="20"/>
        </w:rPr>
        <w:t> </w:t>
      </w:r>
      <w:r>
        <w:rPr>
          <w:sz w:val="20"/>
        </w:rPr>
        <w:t>dictum</w:t>
      </w:r>
      <w:r>
        <w:rPr>
          <w:spacing w:val="23"/>
          <w:sz w:val="20"/>
        </w:rPr>
        <w:t> </w:t>
      </w:r>
      <w:r>
        <w:rPr>
          <w:sz w:val="20"/>
        </w:rPr>
        <w:t>in</w:t>
      </w:r>
      <w:r>
        <w:rPr>
          <w:spacing w:val="23"/>
          <w:sz w:val="20"/>
        </w:rPr>
        <w:t> </w:t>
      </w:r>
      <w:r>
        <w:rPr>
          <w:sz w:val="20"/>
        </w:rPr>
        <w:t>the</w:t>
      </w:r>
      <w:r>
        <w:rPr>
          <w:spacing w:val="23"/>
          <w:sz w:val="20"/>
        </w:rPr>
        <w:t> </w:t>
      </w:r>
      <w:r>
        <w:rPr>
          <w:sz w:val="20"/>
        </w:rPr>
        <w:t>last-mentioned</w:t>
      </w:r>
      <w:r>
        <w:rPr>
          <w:spacing w:val="23"/>
          <w:sz w:val="20"/>
        </w:rPr>
        <w:t> </w:t>
      </w:r>
      <w:r>
        <w:rPr>
          <w:sz w:val="20"/>
        </w:rPr>
        <w:t>case</w:t>
      </w:r>
      <w:r>
        <w:rPr>
          <w:spacing w:val="23"/>
          <w:sz w:val="20"/>
        </w:rPr>
        <w:t> </w:t>
      </w:r>
      <w:r>
        <w:rPr>
          <w:sz w:val="20"/>
        </w:rPr>
        <w:t>is</w:t>
      </w:r>
      <w:r>
        <w:rPr>
          <w:spacing w:val="23"/>
          <w:sz w:val="20"/>
        </w:rPr>
        <w:t> </w:t>
      </w:r>
      <w:r>
        <w:rPr>
          <w:sz w:val="20"/>
        </w:rPr>
        <w:t>doubted</w:t>
      </w:r>
      <w:r>
        <w:rPr>
          <w:spacing w:val="23"/>
          <w:sz w:val="20"/>
        </w:rPr>
        <w:t> </w:t>
      </w:r>
      <w:r>
        <w:rPr>
          <w:sz w:val="20"/>
        </w:rPr>
        <w:t>in</w:t>
      </w:r>
      <w:r>
        <w:rPr>
          <w:spacing w:val="22"/>
          <w:sz w:val="20"/>
        </w:rPr>
        <w:t> </w:t>
      </w:r>
      <w:r>
        <w:rPr>
          <w:rFonts w:ascii="Arial" w:hAnsi="Arial"/>
          <w:i/>
          <w:sz w:val="20"/>
        </w:rPr>
        <w:t>Beswick</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Beswick</w:t>
      </w:r>
      <w:r>
        <w:rPr>
          <w:rFonts w:ascii="Arial" w:hAnsi="Arial"/>
          <w:i/>
          <w:spacing w:val="23"/>
          <w:sz w:val="20"/>
        </w:rPr>
        <w:t> </w:t>
      </w:r>
      <w:r>
        <w:rPr>
          <w:rFonts w:ascii="Arial" w:hAnsi="Arial"/>
          <w:i/>
          <w:spacing w:val="-2"/>
          <w:sz w:val="20"/>
        </w:rPr>
        <w:t>[1968]</w:t>
      </w:r>
    </w:p>
    <w:p>
      <w:pPr>
        <w:pStyle w:val="BodyText"/>
        <w:spacing w:line="235" w:lineRule="auto"/>
        <w:ind w:left="705"/>
      </w:pPr>
      <w:r>
        <w:rPr>
          <w:rFonts w:ascii="Arial"/>
          <w:i/>
        </w:rPr>
        <w:t>A.C. </w:t>
      </w:r>
      <w:r>
        <w:rPr/>
        <w:t>at 75F, but the actual decision is several times referred to with approval or at least without disapproval: at 76A, 80B, 86C, 106E.</w:t>
      </w:r>
    </w:p>
    <w:p>
      <w:pPr>
        <w:pStyle w:val="BodyText"/>
        <w:spacing w:before="9"/>
      </w:pPr>
    </w:p>
    <w:p>
      <w:pPr>
        <w:pStyle w:val="BodyText"/>
        <w:tabs>
          <w:tab w:pos="705" w:val="left" w:leader="none"/>
        </w:tabs>
        <w:spacing w:line="235" w:lineRule="auto"/>
        <w:ind w:left="705" w:right="167" w:hanging="541"/>
      </w:pPr>
      <w:bookmarkStart w:name="_bookmark1491" w:id="1493"/>
      <w:bookmarkEnd w:id="1493"/>
      <w:r>
        <w:rPr/>
      </w:r>
      <w:hyperlink w:history="true" w:anchor="_bookmark1433">
        <w:r>
          <w:rPr>
            <w:color w:val="005DA1"/>
            <w:spacing w:val="-4"/>
            <w:position w:val="5"/>
            <w:sz w:val="14"/>
            <w:u w:val="single" w:color="005DA1"/>
          </w:rPr>
          <w:t>762</w:t>
        </w:r>
      </w:hyperlink>
      <w:r>
        <w:rPr>
          <w:spacing w:val="-4"/>
          <w:position w:val="5"/>
          <w:sz w:val="14"/>
        </w:rPr>
        <w:t>.</w:t>
      </w:r>
      <w:r>
        <w:rPr>
          <w:position w:val="5"/>
          <w:sz w:val="14"/>
        </w:rPr>
        <w:tab/>
      </w:r>
      <w:r>
        <w:rPr/>
        <w:t>This</w:t>
      </w:r>
      <w:r>
        <w:rPr>
          <w:spacing w:val="35"/>
        </w:rPr>
        <w:t> </w:t>
      </w:r>
      <w:r>
        <w:rPr/>
        <w:t>view</w:t>
      </w:r>
      <w:r>
        <w:rPr>
          <w:spacing w:val="35"/>
        </w:rPr>
        <w:t> </w:t>
      </w:r>
      <w:r>
        <w:rPr/>
        <w:t>is</w:t>
      </w:r>
      <w:r>
        <w:rPr>
          <w:spacing w:val="35"/>
        </w:rPr>
        <w:t> </w:t>
      </w:r>
      <w:r>
        <w:rPr/>
        <w:t>stated</w:t>
      </w:r>
      <w:r>
        <w:rPr>
          <w:spacing w:val="35"/>
        </w:rPr>
        <w:t> </w:t>
      </w:r>
      <w:r>
        <w:rPr/>
        <w:t>by</w:t>
      </w:r>
      <w:r>
        <w:rPr>
          <w:spacing w:val="35"/>
        </w:rPr>
        <w:t> </w:t>
      </w:r>
      <w:r>
        <w:rPr/>
        <w:t>Lord</w:t>
      </w:r>
      <w:r>
        <w:rPr>
          <w:spacing w:val="35"/>
        </w:rPr>
        <w:t> </w:t>
      </w:r>
      <w:r>
        <w:rPr/>
        <w:t>Guest</w:t>
      </w:r>
      <w:r>
        <w:rPr>
          <w:spacing w:val="35"/>
        </w:rPr>
        <w:t> </w:t>
      </w:r>
      <w:r>
        <w:rPr/>
        <w:t>(at</w:t>
      </w:r>
      <w:r>
        <w:rPr>
          <w:spacing w:val="35"/>
        </w:rPr>
        <w:t> </w:t>
      </w:r>
      <w:r>
        <w:rPr/>
        <w:t>87F)</w:t>
      </w:r>
      <w:r>
        <w:rPr>
          <w:spacing w:val="35"/>
        </w:rPr>
        <w:t> </w:t>
      </w:r>
      <w:r>
        <w:rPr/>
        <w:t>and</w:t>
      </w:r>
      <w:r>
        <w:rPr>
          <w:spacing w:val="35"/>
        </w:rPr>
        <w:t> </w:t>
      </w:r>
      <w:r>
        <w:rPr/>
        <w:t>perhaps</w:t>
      </w:r>
      <w:r>
        <w:rPr>
          <w:spacing w:val="35"/>
        </w:rPr>
        <w:t> </w:t>
      </w:r>
      <w:r>
        <w:rPr/>
        <w:t>shared</w:t>
      </w:r>
      <w:r>
        <w:rPr>
          <w:spacing w:val="35"/>
        </w:rPr>
        <w:t> </w:t>
      </w:r>
      <w:r>
        <w:rPr/>
        <w:t>by</w:t>
      </w:r>
      <w:r>
        <w:rPr>
          <w:spacing w:val="35"/>
        </w:rPr>
        <w:t> </w:t>
      </w:r>
      <w:r>
        <w:rPr/>
        <w:t>Lord</w:t>
      </w:r>
      <w:r>
        <w:rPr>
          <w:spacing w:val="35"/>
        </w:rPr>
        <w:t> </w:t>
      </w:r>
      <w:r>
        <w:rPr/>
        <w:t>Reid</w:t>
      </w:r>
      <w:r>
        <w:rPr>
          <w:spacing w:val="35"/>
        </w:rPr>
        <w:t> </w:t>
      </w:r>
      <w:r>
        <w:rPr/>
        <w:t>(at</w:t>
      </w:r>
      <w:r>
        <w:rPr>
          <w:spacing w:val="35"/>
        </w:rPr>
        <w:t> </w:t>
      </w:r>
      <w:r>
        <w:rPr/>
        <w:t>76B)</w:t>
      </w:r>
      <w:r>
        <w:rPr>
          <w:spacing w:val="35"/>
        </w:rPr>
        <w:t> </w:t>
      </w:r>
      <w:r>
        <w:rPr/>
        <w:t>but doubted</w:t>
      </w:r>
      <w:r>
        <w:rPr>
          <w:spacing w:val="9"/>
        </w:rPr>
        <w:t> </w:t>
      </w:r>
      <w:r>
        <w:rPr/>
        <w:t>by</w:t>
      </w:r>
      <w:r>
        <w:rPr>
          <w:spacing w:val="9"/>
        </w:rPr>
        <w:t> </w:t>
      </w:r>
      <w:r>
        <w:rPr/>
        <w:t>Lord</w:t>
      </w:r>
      <w:r>
        <w:rPr>
          <w:spacing w:val="9"/>
        </w:rPr>
        <w:t> </w:t>
      </w:r>
      <w:r>
        <w:rPr/>
        <w:t>Upjohn</w:t>
      </w:r>
      <w:r>
        <w:rPr>
          <w:spacing w:val="9"/>
        </w:rPr>
        <w:t> </w:t>
      </w:r>
      <w:r>
        <w:rPr/>
        <w:t>(at</w:t>
      </w:r>
      <w:r>
        <w:rPr>
          <w:spacing w:val="9"/>
        </w:rPr>
        <w:t> </w:t>
      </w:r>
      <w:r>
        <w:rPr/>
        <w:t>105F)</w:t>
      </w:r>
      <w:r>
        <w:rPr>
          <w:spacing w:val="9"/>
        </w:rPr>
        <w:t> </w:t>
      </w:r>
      <w:r>
        <w:rPr/>
        <w:t>with</w:t>
      </w:r>
      <w:r>
        <w:rPr>
          <w:spacing w:val="9"/>
        </w:rPr>
        <w:t> </w:t>
      </w:r>
      <w:r>
        <w:rPr/>
        <w:t>whom</w:t>
      </w:r>
      <w:r>
        <w:rPr>
          <w:spacing w:val="9"/>
        </w:rPr>
        <w:t> </w:t>
      </w:r>
      <w:r>
        <w:rPr/>
        <w:t>Lord</w:t>
      </w:r>
      <w:r>
        <w:rPr>
          <w:spacing w:val="9"/>
        </w:rPr>
        <w:t> </w:t>
      </w:r>
      <w:r>
        <w:rPr/>
        <w:t>Pearce</w:t>
      </w:r>
      <w:r>
        <w:rPr>
          <w:spacing w:val="9"/>
        </w:rPr>
        <w:t> </w:t>
      </w:r>
      <w:r>
        <w:rPr/>
        <w:t>agreed</w:t>
      </w:r>
      <w:r>
        <w:rPr>
          <w:spacing w:val="9"/>
        </w:rPr>
        <w:t> </w:t>
      </w:r>
      <w:r>
        <w:rPr/>
        <w:t>(at</w:t>
      </w:r>
      <w:r>
        <w:rPr>
          <w:spacing w:val="9"/>
        </w:rPr>
        <w:t> </w:t>
      </w:r>
      <w:r>
        <w:rPr/>
        <w:t>94D).</w:t>
      </w:r>
      <w:r>
        <w:rPr>
          <w:spacing w:val="9"/>
        </w:rPr>
        <w:t> </w:t>
      </w:r>
      <w:r>
        <w:rPr/>
        <w:t>Lord</w:t>
      </w:r>
      <w:r>
        <w:rPr>
          <w:spacing w:val="9"/>
        </w:rPr>
        <w:t> </w:t>
      </w:r>
      <w:r>
        <w:rPr/>
        <w:t>Hodson</w:t>
      </w:r>
      <w:r>
        <w:rPr>
          <w:spacing w:val="9"/>
        </w:rPr>
        <w:t> </w:t>
      </w:r>
      <w:r>
        <w:rPr>
          <w:spacing w:val="-4"/>
        </w:rPr>
        <w:t>says</w:t>
      </w:r>
    </w:p>
    <w:p>
      <w:pPr>
        <w:pStyle w:val="BodyText"/>
        <w:spacing w:after="0" w:line="235" w:lineRule="auto"/>
        <w:sectPr>
          <w:pgSz w:w="11900" w:h="16840"/>
          <w:pgMar w:header="971" w:footer="0" w:top="1160" w:bottom="280" w:left="1275" w:right="1275"/>
        </w:sectPr>
      </w:pPr>
    </w:p>
    <w:p>
      <w:pPr>
        <w:pStyle w:val="BodyText"/>
        <w:spacing w:before="84"/>
      </w:pPr>
    </w:p>
    <w:p>
      <w:pPr>
        <w:spacing w:line="235" w:lineRule="auto" w:before="1"/>
        <w:ind w:left="705" w:right="0" w:firstLine="0"/>
        <w:jc w:val="left"/>
        <w:rPr>
          <w:sz w:val="20"/>
        </w:rPr>
      </w:pPr>
      <w:r>
        <w:rPr>
          <w:sz w:val="20"/>
        </w:rPr>
        <w:t>that</w:t>
      </w:r>
      <w:r>
        <w:rPr>
          <w:spacing w:val="38"/>
          <w:sz w:val="20"/>
        </w:rPr>
        <w:t> </w:t>
      </w:r>
      <w:r>
        <w:rPr>
          <w:sz w:val="20"/>
        </w:rPr>
        <w:t>“property”</w:t>
      </w:r>
      <w:r>
        <w:rPr>
          <w:spacing w:val="38"/>
          <w:sz w:val="20"/>
        </w:rPr>
        <w:t> </w:t>
      </w:r>
      <w:r>
        <w:rPr>
          <w:sz w:val="20"/>
        </w:rPr>
        <w:t>must</w:t>
      </w:r>
      <w:r>
        <w:rPr>
          <w:spacing w:val="38"/>
          <w:sz w:val="20"/>
        </w:rPr>
        <w:t> </w:t>
      </w:r>
      <w:r>
        <w:rPr>
          <w:sz w:val="20"/>
        </w:rPr>
        <w:t>be</w:t>
      </w:r>
      <w:r>
        <w:rPr>
          <w:spacing w:val="38"/>
          <w:sz w:val="20"/>
        </w:rPr>
        <w:t> </w:t>
      </w:r>
      <w:r>
        <w:rPr>
          <w:sz w:val="20"/>
        </w:rPr>
        <w:t>given</w:t>
      </w:r>
      <w:r>
        <w:rPr>
          <w:spacing w:val="38"/>
          <w:sz w:val="20"/>
        </w:rPr>
        <w:t> </w:t>
      </w:r>
      <w:r>
        <w:rPr>
          <w:sz w:val="20"/>
        </w:rPr>
        <w:t>“a</w:t>
      </w:r>
      <w:r>
        <w:rPr>
          <w:spacing w:val="38"/>
          <w:sz w:val="20"/>
        </w:rPr>
        <w:t> </w:t>
      </w:r>
      <w:r>
        <w:rPr>
          <w:sz w:val="20"/>
        </w:rPr>
        <w:t>limited</w:t>
      </w:r>
      <w:r>
        <w:rPr>
          <w:spacing w:val="38"/>
          <w:sz w:val="20"/>
        </w:rPr>
        <w:t> </w:t>
      </w:r>
      <w:r>
        <w:rPr>
          <w:sz w:val="20"/>
        </w:rPr>
        <w:t>meaning”</w:t>
      </w:r>
      <w:r>
        <w:rPr>
          <w:spacing w:val="38"/>
          <w:sz w:val="20"/>
        </w:rPr>
        <w:t> </w:t>
      </w:r>
      <w:r>
        <w:rPr>
          <w:sz w:val="20"/>
        </w:rPr>
        <w:t>(at</w:t>
      </w:r>
      <w:r>
        <w:rPr>
          <w:spacing w:val="38"/>
          <w:sz w:val="20"/>
        </w:rPr>
        <w:t> </w:t>
      </w:r>
      <w:r>
        <w:rPr>
          <w:sz w:val="20"/>
        </w:rPr>
        <w:t>81C),</w:t>
      </w:r>
      <w:r>
        <w:rPr>
          <w:spacing w:val="38"/>
          <w:sz w:val="20"/>
        </w:rPr>
        <w:t> </w:t>
      </w:r>
      <w:r>
        <w:rPr>
          <w:sz w:val="20"/>
        </w:rPr>
        <w:t>but</w:t>
      </w:r>
      <w:r>
        <w:rPr>
          <w:spacing w:val="38"/>
          <w:sz w:val="20"/>
        </w:rPr>
        <w:t> </w:t>
      </w:r>
      <w:r>
        <w:rPr>
          <w:sz w:val="20"/>
        </w:rPr>
        <w:t>he</w:t>
      </w:r>
      <w:r>
        <w:rPr>
          <w:spacing w:val="38"/>
          <w:sz w:val="20"/>
        </w:rPr>
        <w:t> </w:t>
      </w:r>
      <w:r>
        <w:rPr>
          <w:sz w:val="20"/>
        </w:rPr>
        <w:t>does</w:t>
      </w:r>
      <w:r>
        <w:rPr>
          <w:spacing w:val="38"/>
          <w:sz w:val="20"/>
        </w:rPr>
        <w:t> </w:t>
      </w:r>
      <w:r>
        <w:rPr>
          <w:sz w:val="20"/>
        </w:rPr>
        <w:t>not</w:t>
      </w:r>
      <w:r>
        <w:rPr>
          <w:spacing w:val="38"/>
          <w:sz w:val="20"/>
        </w:rPr>
        <w:t> </w:t>
      </w:r>
      <w:r>
        <w:rPr>
          <w:sz w:val="20"/>
        </w:rPr>
        <w:t>say</w:t>
      </w:r>
      <w:r>
        <w:rPr>
          <w:spacing w:val="38"/>
          <w:sz w:val="20"/>
        </w:rPr>
        <w:t> </w:t>
      </w:r>
      <w:r>
        <w:rPr>
          <w:sz w:val="20"/>
        </w:rPr>
        <w:t>what</w:t>
      </w:r>
      <w:r>
        <w:rPr>
          <w:spacing w:val="38"/>
          <w:sz w:val="20"/>
        </w:rPr>
        <w:t> </w:t>
      </w:r>
      <w:r>
        <w:rPr>
          <w:sz w:val="20"/>
        </w:rPr>
        <w:t>that meaning is. cf. also </w:t>
      </w:r>
      <w:r>
        <w:rPr>
          <w:rFonts w:ascii="Arial" w:hAnsi="Arial"/>
          <w:i/>
          <w:sz w:val="20"/>
        </w:rPr>
        <w:t>Southern Water Authority v Carey [1985] 2 All E.R. 1077, 1083</w:t>
      </w:r>
      <w:r>
        <w:rPr>
          <w:sz w:val="20"/>
        </w:rPr>
        <w:t>.</w:t>
      </w:r>
    </w:p>
    <w:p>
      <w:pPr>
        <w:pStyle w:val="BodyText"/>
        <w:spacing w:before="9"/>
      </w:pPr>
    </w:p>
    <w:p>
      <w:pPr>
        <w:pStyle w:val="BodyText"/>
        <w:spacing w:line="235" w:lineRule="auto"/>
        <w:ind w:left="705" w:right="167" w:hanging="541"/>
        <w:jc w:val="both"/>
      </w:pPr>
      <w:bookmarkStart w:name="_bookmark1492" w:id="1494"/>
      <w:bookmarkEnd w:id="1494"/>
      <w:r>
        <w:rPr/>
      </w:r>
      <w:hyperlink w:history="true" w:anchor="_bookmark1434">
        <w:r>
          <w:rPr>
            <w:color w:val="005DA1"/>
            <w:position w:val="5"/>
            <w:sz w:val="14"/>
            <w:u w:val="single" w:color="005DA1"/>
          </w:rPr>
          <w:t>763</w:t>
        </w:r>
      </w:hyperlink>
      <w:r>
        <w:rPr>
          <w:position w:val="5"/>
          <w:sz w:val="14"/>
        </w:rPr>
        <w:t>.</w:t>
      </w:r>
      <w:r>
        <w:rPr>
          <w:spacing w:val="80"/>
          <w:position w:val="5"/>
          <w:sz w:val="14"/>
        </w:rPr>
        <w:t>  </w:t>
      </w:r>
      <w:r>
        <w:rPr/>
        <w:t>This</w:t>
      </w:r>
      <w:r>
        <w:rPr>
          <w:spacing w:val="19"/>
        </w:rPr>
        <w:t> </w:t>
      </w:r>
      <w:r>
        <w:rPr/>
        <w:t>follows</w:t>
      </w:r>
      <w:r>
        <w:rPr>
          <w:spacing w:val="19"/>
        </w:rPr>
        <w:t> </w:t>
      </w:r>
      <w:r>
        <w:rPr/>
        <w:t>from</w:t>
      </w:r>
      <w:r>
        <w:rPr>
          <w:spacing w:val="19"/>
        </w:rPr>
        <w:t> </w:t>
      </w:r>
      <w:r>
        <w:rPr/>
        <w:t>Lord</w:t>
      </w:r>
      <w:r>
        <w:rPr>
          <w:spacing w:val="19"/>
        </w:rPr>
        <w:t> </w:t>
      </w:r>
      <w:r>
        <w:rPr/>
        <w:t>Guest’s</w:t>
      </w:r>
      <w:r>
        <w:rPr>
          <w:spacing w:val="19"/>
        </w:rPr>
        <w:t> </w:t>
      </w:r>
      <w:r>
        <w:rPr/>
        <w:t>view</w:t>
      </w:r>
      <w:r>
        <w:rPr>
          <w:spacing w:val="19"/>
        </w:rPr>
        <w:t> </w:t>
      </w:r>
      <w:r>
        <w:rPr/>
        <w:t>in</w:t>
      </w:r>
      <w:r>
        <w:rPr>
          <w:spacing w:val="19"/>
        </w:rPr>
        <w:t> </w:t>
      </w:r>
      <w:r>
        <w:rPr>
          <w:rFonts w:ascii="Arial" w:hAnsi="Arial"/>
          <w:i/>
        </w:rPr>
        <w:t>Beswick</w:t>
      </w:r>
      <w:r>
        <w:rPr>
          <w:rFonts w:ascii="Arial" w:hAnsi="Arial"/>
          <w:i/>
          <w:spacing w:val="19"/>
        </w:rPr>
        <w:t> </w:t>
      </w:r>
      <w:r>
        <w:rPr>
          <w:rFonts w:ascii="Arial" w:hAnsi="Arial"/>
          <w:i/>
        </w:rPr>
        <w:t>v</w:t>
      </w:r>
      <w:r>
        <w:rPr>
          <w:rFonts w:ascii="Arial" w:hAnsi="Arial"/>
          <w:i/>
          <w:spacing w:val="19"/>
        </w:rPr>
        <w:t> </w:t>
      </w:r>
      <w:r>
        <w:rPr>
          <w:rFonts w:ascii="Arial" w:hAnsi="Arial"/>
          <w:i/>
        </w:rPr>
        <w:t>Beswick</w:t>
      </w:r>
      <w:r>
        <w:rPr>
          <w:rFonts w:ascii="Arial" w:hAnsi="Arial"/>
          <w:i/>
          <w:spacing w:val="19"/>
        </w:rPr>
        <w:t> </w:t>
      </w:r>
      <w:r>
        <w:rPr>
          <w:rFonts w:ascii="Arial" w:hAnsi="Arial"/>
          <w:i/>
        </w:rPr>
        <w:t>[1968]</w:t>
      </w:r>
      <w:r>
        <w:rPr>
          <w:rFonts w:ascii="Arial" w:hAnsi="Arial"/>
          <w:i/>
          <w:spacing w:val="19"/>
        </w:rPr>
        <w:t> </w:t>
      </w:r>
      <w:r>
        <w:rPr>
          <w:rFonts w:ascii="Arial" w:hAnsi="Arial"/>
          <w:i/>
        </w:rPr>
        <w:t>A.C.</w:t>
      </w:r>
      <w:r>
        <w:rPr>
          <w:rFonts w:ascii="Arial" w:hAnsi="Arial"/>
          <w:i/>
          <w:spacing w:val="19"/>
        </w:rPr>
        <w:t> </w:t>
      </w:r>
      <w:r>
        <w:rPr>
          <w:rFonts w:ascii="Arial" w:hAnsi="Arial"/>
          <w:i/>
        </w:rPr>
        <w:t>58</w:t>
      </w:r>
      <w:r>
        <w:rPr>
          <w:rFonts w:ascii="Arial" w:hAnsi="Arial"/>
          <w:i/>
          <w:spacing w:val="19"/>
        </w:rPr>
        <w:t> </w:t>
      </w:r>
      <w:r>
        <w:rPr/>
        <w:t>at</w:t>
      </w:r>
      <w:r>
        <w:rPr>
          <w:spacing w:val="19"/>
        </w:rPr>
        <w:t> </w:t>
      </w:r>
      <w:r>
        <w:rPr/>
        <w:t>87A</w:t>
      </w:r>
      <w:r>
        <w:rPr>
          <w:spacing w:val="19"/>
        </w:rPr>
        <w:t> </w:t>
      </w:r>
      <w:r>
        <w:rPr/>
        <w:t>that</w:t>
      </w:r>
      <w:r>
        <w:rPr>
          <w:spacing w:val="19"/>
        </w:rPr>
        <w:t> </w:t>
      </w:r>
      <w:r>
        <w:rPr/>
        <w:t>s.56(1) has made no change at all in the law. Contrast Lord Reid’s view that s.56(1) has not “substantially” (at 77C) altered the law; and cf. Lord Pearce’s view of s.56(1) as an “enlargement” of its predecessor (at 93B) making no “substantial innovation”; and cf. Lord Upjohn at 105F.</w:t>
      </w:r>
    </w:p>
    <w:p>
      <w:pPr>
        <w:pStyle w:val="BodyText"/>
        <w:spacing w:before="8"/>
      </w:pPr>
    </w:p>
    <w:p>
      <w:pPr>
        <w:pStyle w:val="BodyText"/>
        <w:spacing w:line="235" w:lineRule="auto"/>
        <w:ind w:left="705" w:right="167" w:hanging="541"/>
        <w:jc w:val="both"/>
      </w:pPr>
      <w:bookmarkStart w:name="_bookmark1493" w:id="1495"/>
      <w:bookmarkEnd w:id="1495"/>
      <w:r>
        <w:rPr/>
      </w:r>
      <w:hyperlink w:history="true" w:anchor="_bookmark1435">
        <w:r>
          <w:rPr>
            <w:color w:val="005DA1"/>
            <w:position w:val="5"/>
            <w:sz w:val="14"/>
            <w:u w:val="single" w:color="005DA1"/>
          </w:rPr>
          <w:t>764</w:t>
        </w:r>
      </w:hyperlink>
      <w:r>
        <w:rPr>
          <w:position w:val="5"/>
          <w:sz w:val="14"/>
        </w:rPr>
        <w:t>.</w:t>
      </w:r>
      <w:r>
        <w:rPr>
          <w:spacing w:val="80"/>
          <w:w w:val="150"/>
          <w:position w:val="5"/>
          <w:sz w:val="14"/>
        </w:rPr>
        <w:t> </w:t>
      </w:r>
      <w:r>
        <w:rPr/>
        <w:t>This view is regarded as a possible (though unsatisfactory) one by Lord Pearce (at 94D) </w:t>
      </w:r>
      <w:r>
        <w:rPr/>
        <w:t>and approved by Lord Upjohn (at 106D–F). It is rejected by Lord Guest (at 87B) and mentioned without comment by Lords Reid (at 74-75) and Hodson (at 81A).</w:t>
      </w:r>
    </w:p>
    <w:p>
      <w:pPr>
        <w:pStyle w:val="BodyText"/>
        <w:spacing w:before="9"/>
      </w:pPr>
    </w:p>
    <w:p>
      <w:pPr>
        <w:pStyle w:val="BodyText"/>
        <w:tabs>
          <w:tab w:pos="705" w:val="left" w:leader="none"/>
        </w:tabs>
        <w:spacing w:line="235" w:lineRule="auto"/>
        <w:ind w:left="705" w:right="168" w:hanging="541"/>
      </w:pPr>
      <w:bookmarkStart w:name="_bookmark1494" w:id="1496"/>
      <w:bookmarkEnd w:id="1496"/>
      <w:r>
        <w:rPr/>
      </w:r>
      <w:hyperlink w:history="true" w:anchor="_bookmark1436">
        <w:r>
          <w:rPr>
            <w:color w:val="005DA1"/>
            <w:spacing w:val="-4"/>
            <w:position w:val="5"/>
            <w:sz w:val="14"/>
            <w:u w:val="single" w:color="005DA1"/>
          </w:rPr>
          <w:t>765</w:t>
        </w:r>
      </w:hyperlink>
      <w:r>
        <w:rPr>
          <w:spacing w:val="-4"/>
          <w:position w:val="5"/>
          <w:sz w:val="14"/>
        </w:rPr>
        <w:t>.</w:t>
      </w:r>
      <w:r>
        <w:rPr>
          <w:position w:val="5"/>
          <w:sz w:val="14"/>
        </w:rPr>
        <w:tab/>
      </w:r>
      <w:r>
        <w:rPr/>
        <w:t>This view is stated by Lord Upjohn (at 107A), with whom Lord Pearce agreed (at 94D). It is also mentioned without comment by Lord Reid (at 76-77).</w:t>
      </w:r>
    </w:p>
    <w:p>
      <w:pPr>
        <w:pStyle w:val="BodyText"/>
        <w:spacing w:before="9"/>
      </w:pPr>
    </w:p>
    <w:p>
      <w:pPr>
        <w:spacing w:line="235" w:lineRule="auto" w:before="0"/>
        <w:ind w:left="705" w:right="168" w:hanging="541"/>
        <w:jc w:val="both"/>
        <w:rPr>
          <w:sz w:val="20"/>
        </w:rPr>
      </w:pPr>
      <w:bookmarkStart w:name="_bookmark1495" w:id="1497"/>
      <w:bookmarkEnd w:id="1497"/>
      <w:r>
        <w:rPr/>
      </w:r>
      <w:hyperlink w:history="true" w:anchor="_bookmark1437">
        <w:r>
          <w:rPr>
            <w:color w:val="005DA1"/>
            <w:position w:val="5"/>
            <w:sz w:val="14"/>
            <w:u w:val="single" w:color="005DA1"/>
          </w:rPr>
          <w:t>766</w:t>
        </w:r>
      </w:hyperlink>
      <w:r>
        <w:rPr>
          <w:position w:val="5"/>
          <w:sz w:val="14"/>
        </w:rPr>
        <w:t>.</w:t>
      </w:r>
      <w:r>
        <w:rPr>
          <w:spacing w:val="80"/>
          <w:position w:val="5"/>
          <w:sz w:val="14"/>
        </w:rPr>
        <w:t>  </w:t>
      </w:r>
      <w:r>
        <w:rPr>
          <w:rFonts w:ascii="Arial" w:hAnsi="Arial"/>
          <w:i/>
          <w:sz w:val="20"/>
        </w:rPr>
        <w:t>Re</w:t>
      </w:r>
      <w:r>
        <w:rPr>
          <w:rFonts w:ascii="Arial" w:hAnsi="Arial"/>
          <w:i/>
          <w:spacing w:val="-1"/>
          <w:sz w:val="20"/>
        </w:rPr>
        <w:t> </w:t>
      </w:r>
      <w:r>
        <w:rPr>
          <w:rFonts w:ascii="Arial" w:hAnsi="Arial"/>
          <w:i/>
          <w:sz w:val="20"/>
        </w:rPr>
        <w:t>Ecclesiastical</w:t>
      </w:r>
      <w:r>
        <w:rPr>
          <w:rFonts w:ascii="Arial" w:hAnsi="Arial"/>
          <w:i/>
          <w:spacing w:val="-1"/>
          <w:sz w:val="20"/>
        </w:rPr>
        <w:t> </w:t>
      </w:r>
      <w:r>
        <w:rPr>
          <w:rFonts w:ascii="Arial" w:hAnsi="Arial"/>
          <w:i/>
          <w:sz w:val="20"/>
        </w:rPr>
        <w:t>Commissioners’</w:t>
      </w:r>
      <w:r>
        <w:rPr>
          <w:rFonts w:ascii="Arial" w:hAnsi="Arial"/>
          <w:i/>
          <w:spacing w:val="-1"/>
          <w:sz w:val="20"/>
        </w:rPr>
        <w:t> </w:t>
      </w:r>
      <w:r>
        <w:rPr>
          <w:rFonts w:ascii="Arial" w:hAnsi="Arial"/>
          <w:i/>
          <w:sz w:val="20"/>
        </w:rPr>
        <w:t>Conveyance</w:t>
      </w:r>
      <w:r>
        <w:rPr>
          <w:rFonts w:ascii="Arial" w:hAnsi="Arial"/>
          <w:i/>
          <w:spacing w:val="-1"/>
          <w:sz w:val="20"/>
        </w:rPr>
        <w:t> </w:t>
      </w:r>
      <w:r>
        <w:rPr>
          <w:rFonts w:ascii="Arial" w:hAnsi="Arial"/>
          <w:i/>
          <w:sz w:val="20"/>
        </w:rPr>
        <w:t>[1936]</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430</w:t>
      </w:r>
      <w:r>
        <w:rPr>
          <w:sz w:val="20"/>
        </w:rPr>
        <w:t>;</w:t>
      </w:r>
      <w:r>
        <w:rPr>
          <w:spacing w:val="-1"/>
          <w:sz w:val="20"/>
        </w:rPr>
        <w:t> </w:t>
      </w:r>
      <w:r>
        <w:rPr>
          <w:sz w:val="20"/>
        </w:rPr>
        <w:t>cf.</w:t>
      </w:r>
      <w:r>
        <w:rPr>
          <w:spacing w:val="-1"/>
          <w:sz w:val="20"/>
        </w:rPr>
        <w:t> </w:t>
      </w:r>
      <w:r>
        <w:rPr>
          <w:sz w:val="20"/>
        </w:rPr>
        <w:t>a</w:t>
      </w:r>
      <w:r>
        <w:rPr>
          <w:spacing w:val="-1"/>
          <w:sz w:val="20"/>
        </w:rPr>
        <w:t> </w:t>
      </w:r>
      <w:r>
        <w:rPr>
          <w:sz w:val="20"/>
        </w:rPr>
        <w:t>dictum</w:t>
      </w:r>
      <w:r>
        <w:rPr>
          <w:spacing w:val="-1"/>
          <w:sz w:val="20"/>
        </w:rPr>
        <w:t> </w:t>
      </w:r>
      <w:r>
        <w:rPr>
          <w:sz w:val="20"/>
        </w:rPr>
        <w:t>in</w:t>
      </w:r>
      <w:r>
        <w:rPr>
          <w:spacing w:val="-1"/>
          <w:sz w:val="20"/>
        </w:rPr>
        <w:t> </w:t>
      </w:r>
      <w:r>
        <w:rPr>
          <w:rFonts w:ascii="Arial" w:hAnsi="Arial"/>
          <w:i/>
          <w:sz w:val="20"/>
        </w:rPr>
        <w:t>Re</w:t>
      </w:r>
      <w:r>
        <w:rPr>
          <w:rFonts w:ascii="Arial" w:hAnsi="Arial"/>
          <w:i/>
          <w:spacing w:val="-1"/>
          <w:sz w:val="20"/>
        </w:rPr>
        <w:t> </w:t>
      </w:r>
      <w:r>
        <w:rPr>
          <w:rFonts w:ascii="Arial" w:hAnsi="Arial"/>
          <w:i/>
          <w:sz w:val="20"/>
        </w:rPr>
        <w:t>Windle</w:t>
      </w:r>
      <w:r>
        <w:rPr>
          <w:rFonts w:ascii="Arial" w:hAnsi="Arial"/>
          <w:i/>
          <w:spacing w:val="-1"/>
          <w:sz w:val="20"/>
        </w:rPr>
        <w:t> </w:t>
      </w:r>
      <w:r>
        <w:rPr>
          <w:rFonts w:ascii="Arial" w:hAnsi="Arial"/>
          <w:i/>
          <w:sz w:val="20"/>
        </w:rPr>
        <w:t>[1975] 1 W.L.R. 1628, 1631 </w:t>
      </w:r>
      <w:r>
        <w:rPr>
          <w:sz w:val="20"/>
        </w:rPr>
        <w:t>(not affected on this point by the doubts expressed in </w:t>
      </w:r>
      <w:r>
        <w:rPr>
          <w:rFonts w:ascii="Arial" w:hAnsi="Arial"/>
          <w:i/>
          <w:sz w:val="20"/>
        </w:rPr>
        <w:t>Re Kumar [1993] 1 W.L.R. 224, 235</w:t>
      </w:r>
      <w:r>
        <w:rPr>
          <w:sz w:val="20"/>
        </w:rPr>
        <w:t>).</w:t>
      </w:r>
    </w:p>
    <w:p>
      <w:pPr>
        <w:pStyle w:val="BodyText"/>
        <w:spacing w:before="5"/>
      </w:pPr>
    </w:p>
    <w:p>
      <w:pPr>
        <w:tabs>
          <w:tab w:pos="705" w:val="left" w:leader="none"/>
        </w:tabs>
        <w:spacing w:before="0"/>
        <w:ind w:left="165" w:right="0" w:firstLine="0"/>
        <w:jc w:val="left"/>
        <w:rPr>
          <w:sz w:val="20"/>
        </w:rPr>
      </w:pPr>
      <w:bookmarkStart w:name="_bookmark1496" w:id="1498"/>
      <w:bookmarkEnd w:id="1498"/>
      <w:r>
        <w:rPr/>
      </w:r>
      <w:hyperlink w:history="true" w:anchor="_bookmark1437">
        <w:r>
          <w:rPr>
            <w:color w:val="005DA1"/>
            <w:spacing w:val="-4"/>
            <w:position w:val="5"/>
            <w:sz w:val="14"/>
            <w:u w:val="single" w:color="005DA1"/>
          </w:rPr>
          <w:t>767</w:t>
        </w:r>
      </w:hyperlink>
      <w:r>
        <w:rPr>
          <w:spacing w:val="-4"/>
          <w:position w:val="5"/>
          <w:sz w:val="14"/>
        </w:rPr>
        <w:t>.</w:t>
      </w:r>
      <w:r>
        <w:rPr>
          <w:position w:val="5"/>
          <w:sz w:val="14"/>
        </w:rPr>
        <w:tab/>
      </w:r>
      <w:r>
        <w:rPr>
          <w:rFonts w:ascii="Arial"/>
          <w:i/>
          <w:sz w:val="20"/>
        </w:rPr>
        <w:t>Stromdale and Ball Ltd v Burden [1952] Ch. </w:t>
      </w:r>
      <w:r>
        <w:rPr>
          <w:rFonts w:ascii="Arial"/>
          <w:i/>
          <w:spacing w:val="-4"/>
          <w:sz w:val="20"/>
        </w:rPr>
        <w:t>223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97" w:id="1499"/>
      <w:bookmarkEnd w:id="1499"/>
      <w:r>
        <w:rPr/>
      </w:r>
      <w:hyperlink w:history="true" w:anchor="_bookmark1438">
        <w:r>
          <w:rPr>
            <w:color w:val="005DA1"/>
            <w:spacing w:val="-4"/>
            <w:position w:val="5"/>
            <w:sz w:val="14"/>
            <w:u w:val="single" w:color="005DA1"/>
          </w:rPr>
          <w:t>768</w:t>
        </w:r>
      </w:hyperlink>
      <w:r>
        <w:rPr>
          <w:spacing w:val="-4"/>
          <w:position w:val="5"/>
          <w:sz w:val="14"/>
        </w:rPr>
        <w:t>.</w:t>
      </w:r>
      <w:r>
        <w:rPr>
          <w:position w:val="5"/>
          <w:sz w:val="14"/>
        </w:rPr>
        <w:tab/>
      </w:r>
      <w:r>
        <w:rPr>
          <w:rFonts w:ascii="Arial"/>
          <w:i/>
          <w:sz w:val="20"/>
        </w:rPr>
        <w:t>OTV</w:t>
      </w:r>
      <w:r>
        <w:rPr>
          <w:rFonts w:ascii="Arial"/>
          <w:i/>
          <w:spacing w:val="23"/>
          <w:sz w:val="20"/>
        </w:rPr>
        <w:t> </w:t>
      </w:r>
      <w:r>
        <w:rPr>
          <w:rFonts w:ascii="Arial"/>
          <w:i/>
          <w:sz w:val="20"/>
        </w:rPr>
        <w:t>Birwelco</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Technical</w:t>
      </w:r>
      <w:r>
        <w:rPr>
          <w:rFonts w:ascii="Arial"/>
          <w:i/>
          <w:spacing w:val="23"/>
          <w:sz w:val="20"/>
        </w:rPr>
        <w:t> </w:t>
      </w:r>
      <w:r>
        <w:rPr>
          <w:rFonts w:ascii="Arial"/>
          <w:i/>
          <w:sz w:val="20"/>
        </w:rPr>
        <w:t>&amp;</w:t>
      </w:r>
      <w:r>
        <w:rPr>
          <w:rFonts w:ascii="Arial"/>
          <w:i/>
          <w:spacing w:val="23"/>
          <w:sz w:val="20"/>
        </w:rPr>
        <w:t> </w:t>
      </w:r>
      <w:r>
        <w:rPr>
          <w:rFonts w:ascii="Arial"/>
          <w:i/>
          <w:sz w:val="20"/>
        </w:rPr>
        <w:t>General</w:t>
      </w:r>
      <w:r>
        <w:rPr>
          <w:rFonts w:ascii="Arial"/>
          <w:i/>
          <w:spacing w:val="23"/>
          <w:sz w:val="20"/>
        </w:rPr>
        <w:t> </w:t>
      </w:r>
      <w:r>
        <w:rPr>
          <w:rFonts w:ascii="Arial"/>
          <w:i/>
          <w:sz w:val="20"/>
        </w:rPr>
        <w:t>Guarantee</w:t>
      </w:r>
      <w:r>
        <w:rPr>
          <w:rFonts w:ascii="Arial"/>
          <w:i/>
          <w:spacing w:val="23"/>
          <w:sz w:val="20"/>
        </w:rPr>
        <w:t> </w:t>
      </w:r>
      <w:r>
        <w:rPr>
          <w:rFonts w:ascii="Arial"/>
          <w:i/>
          <w:sz w:val="20"/>
        </w:rPr>
        <w:t>Co</w:t>
      </w:r>
      <w:r>
        <w:rPr>
          <w:rFonts w:ascii="Arial"/>
          <w:i/>
          <w:spacing w:val="23"/>
          <w:sz w:val="20"/>
        </w:rPr>
        <w:t> </w:t>
      </w:r>
      <w:r>
        <w:rPr>
          <w:rFonts w:ascii="Arial"/>
          <w:i/>
          <w:sz w:val="20"/>
        </w:rPr>
        <w:t>Ltd</w:t>
      </w:r>
      <w:r>
        <w:rPr>
          <w:rFonts w:ascii="Arial"/>
          <w:i/>
          <w:spacing w:val="23"/>
          <w:sz w:val="20"/>
        </w:rPr>
        <w:t> </w:t>
      </w:r>
      <w:r>
        <w:rPr>
          <w:rFonts w:ascii="Arial"/>
          <w:i/>
          <w:sz w:val="20"/>
        </w:rPr>
        <w:t>[2002]</w:t>
      </w:r>
      <w:r>
        <w:rPr>
          <w:rFonts w:ascii="Arial"/>
          <w:i/>
          <w:spacing w:val="23"/>
          <w:sz w:val="20"/>
        </w:rPr>
        <w:t> </w:t>
      </w:r>
      <w:r>
        <w:rPr>
          <w:rFonts w:ascii="Arial"/>
          <w:i/>
          <w:sz w:val="20"/>
        </w:rPr>
        <w:t>EWHC</w:t>
      </w:r>
      <w:r>
        <w:rPr>
          <w:rFonts w:ascii="Arial"/>
          <w:i/>
          <w:spacing w:val="23"/>
          <w:sz w:val="20"/>
        </w:rPr>
        <w:t> </w:t>
      </w:r>
      <w:r>
        <w:rPr>
          <w:rFonts w:ascii="Arial"/>
          <w:i/>
          <w:sz w:val="20"/>
        </w:rPr>
        <w:t>2240;</w:t>
      </w:r>
      <w:r>
        <w:rPr>
          <w:rFonts w:ascii="Arial"/>
          <w:i/>
          <w:spacing w:val="23"/>
          <w:sz w:val="20"/>
        </w:rPr>
        <w:t> </w:t>
      </w:r>
      <w:r>
        <w:rPr>
          <w:rFonts w:ascii="Arial"/>
          <w:i/>
          <w:sz w:val="20"/>
        </w:rPr>
        <w:t>[2002]</w:t>
      </w:r>
      <w:r>
        <w:rPr>
          <w:rFonts w:ascii="Arial"/>
          <w:i/>
          <w:spacing w:val="23"/>
          <w:sz w:val="20"/>
        </w:rPr>
        <w:t> </w:t>
      </w:r>
      <w:r>
        <w:rPr>
          <w:rFonts w:ascii="Arial"/>
          <w:i/>
          <w:sz w:val="20"/>
        </w:rPr>
        <w:t>4</w:t>
      </w:r>
      <w:r>
        <w:rPr>
          <w:rFonts w:ascii="Arial"/>
          <w:i/>
          <w:spacing w:val="23"/>
          <w:sz w:val="20"/>
        </w:rPr>
        <w:t> </w:t>
      </w:r>
      <w:r>
        <w:rPr>
          <w:rFonts w:ascii="Arial"/>
          <w:i/>
          <w:spacing w:val="-5"/>
          <w:sz w:val="20"/>
        </w:rPr>
        <w:t>All</w:t>
      </w:r>
    </w:p>
    <w:p>
      <w:pPr>
        <w:pStyle w:val="BodyText"/>
        <w:spacing w:line="227" w:lineRule="exact"/>
        <w:ind w:left="705"/>
      </w:pPr>
      <w:r>
        <w:rPr>
          <w:rFonts w:ascii="Arial"/>
          <w:i/>
        </w:rPr>
        <w:t>E.R.</w:t>
      </w:r>
      <w:r>
        <w:rPr>
          <w:rFonts w:ascii="Arial"/>
          <w:i/>
          <w:spacing w:val="-1"/>
        </w:rPr>
        <w:t> </w:t>
      </w:r>
      <w:r>
        <w:rPr>
          <w:rFonts w:ascii="Arial"/>
          <w:i/>
        </w:rPr>
        <w:t>686</w:t>
      </w:r>
      <w:r>
        <w:rPr/>
        <w:t>, at [12]; the statement of the facts of the case leaves the point in </w:t>
      </w:r>
      <w:r>
        <w:rPr>
          <w:spacing w:val="-2"/>
        </w:rPr>
        <w:t>doubt.</w:t>
      </w:r>
    </w:p>
    <w:p>
      <w:pPr>
        <w:pStyle w:val="BodyText"/>
        <w:spacing w:before="9"/>
      </w:pPr>
    </w:p>
    <w:p>
      <w:pPr>
        <w:pStyle w:val="BodyText"/>
        <w:tabs>
          <w:tab w:pos="705" w:val="left" w:leader="none"/>
        </w:tabs>
        <w:spacing w:line="235" w:lineRule="auto"/>
        <w:ind w:left="705" w:right="168" w:hanging="541"/>
      </w:pPr>
      <w:bookmarkStart w:name="_bookmark1498" w:id="1500"/>
      <w:bookmarkEnd w:id="1500"/>
      <w:r>
        <w:rPr/>
      </w:r>
      <w:hyperlink w:history="true" w:anchor="_bookmark1438">
        <w:r>
          <w:rPr>
            <w:color w:val="005DA1"/>
            <w:spacing w:val="-4"/>
            <w:position w:val="5"/>
            <w:sz w:val="14"/>
            <w:u w:val="single" w:color="005DA1"/>
          </w:rPr>
          <w:t>769</w:t>
        </w:r>
      </w:hyperlink>
      <w:r>
        <w:rPr>
          <w:spacing w:val="-4"/>
          <w:position w:val="5"/>
          <w:sz w:val="14"/>
        </w:rPr>
        <w:t>.</w:t>
      </w:r>
      <w:r>
        <w:rPr>
          <w:position w:val="5"/>
          <w:sz w:val="14"/>
        </w:rPr>
        <w:tab/>
      </w:r>
      <w:r>
        <w:rPr/>
        <w:t>This “third limitation” imposes a more strict requirement than those imposed by s.1(1) and </w:t>
      </w:r>
      <w:r>
        <w:rPr/>
        <w:t>1(2) of the Contracts (Rights of Third Parties) Act 1999.</w:t>
      </w:r>
    </w:p>
    <w:p>
      <w:pPr>
        <w:pStyle w:val="BodyText"/>
        <w:spacing w:before="5"/>
      </w:pPr>
    </w:p>
    <w:p>
      <w:pPr>
        <w:tabs>
          <w:tab w:pos="540" w:val="left" w:leader="none"/>
        </w:tabs>
        <w:spacing w:line="227" w:lineRule="exact" w:before="1"/>
        <w:ind w:left="0" w:right="168" w:firstLine="0"/>
        <w:jc w:val="right"/>
        <w:rPr>
          <w:rFonts w:ascii="Arial"/>
          <w:i/>
          <w:sz w:val="20"/>
        </w:rPr>
      </w:pPr>
      <w:bookmarkStart w:name="_bookmark1499" w:id="1501"/>
      <w:bookmarkEnd w:id="1501"/>
      <w:r>
        <w:rPr/>
      </w:r>
      <w:hyperlink w:history="true" w:anchor="_bookmark1439">
        <w:r>
          <w:rPr>
            <w:color w:val="005DA1"/>
            <w:spacing w:val="-4"/>
            <w:position w:val="5"/>
            <w:sz w:val="14"/>
            <w:u w:val="single" w:color="005DA1"/>
          </w:rPr>
          <w:t>770</w:t>
        </w:r>
      </w:hyperlink>
      <w:r>
        <w:rPr>
          <w:spacing w:val="-4"/>
          <w:position w:val="5"/>
          <w:sz w:val="14"/>
        </w:rPr>
        <w:t>.</w:t>
      </w:r>
      <w:r>
        <w:rPr>
          <w:position w:val="5"/>
          <w:sz w:val="14"/>
        </w:rPr>
        <w:tab/>
      </w:r>
      <w:r>
        <w:rPr>
          <w:sz w:val="20"/>
        </w:rPr>
        <w:t>See</w:t>
      </w:r>
      <w:r>
        <w:rPr>
          <w:spacing w:val="70"/>
          <w:sz w:val="20"/>
        </w:rPr>
        <w:t> </w:t>
      </w:r>
      <w:r>
        <w:rPr>
          <w:rFonts w:ascii="Arial"/>
          <w:i/>
          <w:sz w:val="20"/>
        </w:rPr>
        <w:t>White</w:t>
      </w:r>
      <w:r>
        <w:rPr>
          <w:rFonts w:ascii="Arial"/>
          <w:i/>
          <w:spacing w:val="71"/>
          <w:sz w:val="20"/>
        </w:rPr>
        <w:t> </w:t>
      </w:r>
      <w:r>
        <w:rPr>
          <w:rFonts w:ascii="Arial"/>
          <w:i/>
          <w:sz w:val="20"/>
        </w:rPr>
        <w:t>v</w:t>
      </w:r>
      <w:r>
        <w:rPr>
          <w:rFonts w:ascii="Arial"/>
          <w:i/>
          <w:spacing w:val="71"/>
          <w:sz w:val="20"/>
        </w:rPr>
        <w:t> </w:t>
      </w:r>
      <w:r>
        <w:rPr>
          <w:rFonts w:ascii="Arial"/>
          <w:i/>
          <w:sz w:val="20"/>
        </w:rPr>
        <w:t>Bijou</w:t>
      </w:r>
      <w:r>
        <w:rPr>
          <w:rFonts w:ascii="Arial"/>
          <w:i/>
          <w:spacing w:val="71"/>
          <w:sz w:val="20"/>
        </w:rPr>
        <w:t> </w:t>
      </w:r>
      <w:r>
        <w:rPr>
          <w:rFonts w:ascii="Arial"/>
          <w:i/>
          <w:sz w:val="20"/>
        </w:rPr>
        <w:t>Mansions</w:t>
      </w:r>
      <w:r>
        <w:rPr>
          <w:rFonts w:ascii="Arial"/>
          <w:i/>
          <w:spacing w:val="71"/>
          <w:sz w:val="20"/>
        </w:rPr>
        <w:t> </w:t>
      </w:r>
      <w:r>
        <w:rPr>
          <w:rFonts w:ascii="Arial"/>
          <w:i/>
          <w:sz w:val="20"/>
        </w:rPr>
        <w:t>[1937]</w:t>
      </w:r>
      <w:r>
        <w:rPr>
          <w:rFonts w:ascii="Arial"/>
          <w:i/>
          <w:spacing w:val="71"/>
          <w:sz w:val="20"/>
        </w:rPr>
        <w:t> </w:t>
      </w:r>
      <w:r>
        <w:rPr>
          <w:rFonts w:ascii="Arial"/>
          <w:i/>
          <w:sz w:val="20"/>
        </w:rPr>
        <w:t>Ch.</w:t>
      </w:r>
      <w:r>
        <w:rPr>
          <w:rFonts w:ascii="Arial"/>
          <w:i/>
          <w:spacing w:val="71"/>
          <w:sz w:val="20"/>
        </w:rPr>
        <w:t> </w:t>
      </w:r>
      <w:r>
        <w:rPr>
          <w:rFonts w:ascii="Arial"/>
          <w:i/>
          <w:sz w:val="20"/>
        </w:rPr>
        <w:t>610;</w:t>
      </w:r>
      <w:r>
        <w:rPr>
          <w:rFonts w:ascii="Arial"/>
          <w:i/>
          <w:spacing w:val="71"/>
          <w:sz w:val="20"/>
        </w:rPr>
        <w:t> </w:t>
      </w:r>
      <w:r>
        <w:rPr>
          <w:rFonts w:ascii="Arial"/>
          <w:i/>
          <w:sz w:val="20"/>
        </w:rPr>
        <w:t>affirmed</w:t>
      </w:r>
      <w:r>
        <w:rPr>
          <w:rFonts w:ascii="Arial"/>
          <w:i/>
          <w:spacing w:val="71"/>
          <w:sz w:val="20"/>
        </w:rPr>
        <w:t> </w:t>
      </w:r>
      <w:r>
        <w:rPr>
          <w:rFonts w:ascii="Arial"/>
          <w:i/>
          <w:sz w:val="20"/>
        </w:rPr>
        <w:t>[1938]</w:t>
      </w:r>
      <w:r>
        <w:rPr>
          <w:rFonts w:ascii="Arial"/>
          <w:i/>
          <w:spacing w:val="71"/>
          <w:sz w:val="20"/>
        </w:rPr>
        <w:t> </w:t>
      </w:r>
      <w:r>
        <w:rPr>
          <w:rFonts w:ascii="Arial"/>
          <w:i/>
          <w:sz w:val="20"/>
        </w:rPr>
        <w:t>Ch.</w:t>
      </w:r>
      <w:r>
        <w:rPr>
          <w:rFonts w:ascii="Arial"/>
          <w:i/>
          <w:spacing w:val="71"/>
          <w:sz w:val="20"/>
        </w:rPr>
        <w:t> </w:t>
      </w:r>
      <w:r>
        <w:rPr>
          <w:rFonts w:ascii="Arial"/>
          <w:i/>
          <w:sz w:val="20"/>
        </w:rPr>
        <w:t>351</w:t>
      </w:r>
      <w:r>
        <w:rPr>
          <w:sz w:val="20"/>
        </w:rPr>
        <w:t>;</w:t>
      </w:r>
      <w:r>
        <w:rPr>
          <w:spacing w:val="71"/>
          <w:sz w:val="20"/>
        </w:rPr>
        <w:t> </w:t>
      </w:r>
      <w:r>
        <w:rPr>
          <w:rFonts w:ascii="Arial"/>
          <w:i/>
          <w:sz w:val="20"/>
        </w:rPr>
        <w:t>Lyus</w:t>
      </w:r>
      <w:r>
        <w:rPr>
          <w:rFonts w:ascii="Arial"/>
          <w:i/>
          <w:spacing w:val="71"/>
          <w:sz w:val="20"/>
        </w:rPr>
        <w:t> </w:t>
      </w:r>
      <w:r>
        <w:rPr>
          <w:rFonts w:ascii="Arial"/>
          <w:i/>
          <w:sz w:val="20"/>
        </w:rPr>
        <w:t>v</w:t>
      </w:r>
      <w:r>
        <w:rPr>
          <w:rFonts w:ascii="Arial"/>
          <w:i/>
          <w:spacing w:val="71"/>
          <w:sz w:val="20"/>
        </w:rPr>
        <w:t> </w:t>
      </w:r>
      <w:r>
        <w:rPr>
          <w:rFonts w:ascii="Arial"/>
          <w:i/>
          <w:spacing w:val="-2"/>
          <w:sz w:val="20"/>
        </w:rPr>
        <w:t>Prowsa</w:t>
      </w:r>
    </w:p>
    <w:p>
      <w:pPr>
        <w:spacing w:line="225" w:lineRule="exact" w:before="0"/>
        <w:ind w:left="0" w:right="168" w:firstLine="0"/>
        <w:jc w:val="right"/>
        <w:rPr>
          <w:rFonts w:ascii="Arial"/>
          <w:i/>
          <w:sz w:val="20"/>
        </w:rPr>
      </w:pPr>
      <w:r>
        <w:rPr>
          <w:rFonts w:ascii="Arial"/>
          <w:i/>
          <w:sz w:val="20"/>
        </w:rPr>
        <w:t>Developments</w:t>
      </w:r>
      <w:r>
        <w:rPr>
          <w:rFonts w:ascii="Arial"/>
          <w:i/>
          <w:spacing w:val="42"/>
          <w:sz w:val="20"/>
        </w:rPr>
        <w:t> </w:t>
      </w:r>
      <w:r>
        <w:rPr>
          <w:rFonts w:ascii="Arial"/>
          <w:i/>
          <w:sz w:val="20"/>
        </w:rPr>
        <w:t>[1982]</w:t>
      </w:r>
      <w:r>
        <w:rPr>
          <w:rFonts w:ascii="Arial"/>
          <w:i/>
          <w:spacing w:val="43"/>
          <w:sz w:val="20"/>
        </w:rPr>
        <w:t> </w:t>
      </w:r>
      <w:r>
        <w:rPr>
          <w:rFonts w:ascii="Arial"/>
          <w:i/>
          <w:sz w:val="20"/>
        </w:rPr>
        <w:t>1</w:t>
      </w:r>
      <w:r>
        <w:rPr>
          <w:rFonts w:ascii="Arial"/>
          <w:i/>
          <w:spacing w:val="43"/>
          <w:sz w:val="20"/>
        </w:rPr>
        <w:t> </w:t>
      </w:r>
      <w:r>
        <w:rPr>
          <w:rFonts w:ascii="Arial"/>
          <w:i/>
          <w:sz w:val="20"/>
        </w:rPr>
        <w:t>W.L.R.</w:t>
      </w:r>
      <w:r>
        <w:rPr>
          <w:rFonts w:ascii="Arial"/>
          <w:i/>
          <w:spacing w:val="43"/>
          <w:sz w:val="20"/>
        </w:rPr>
        <w:t> </w:t>
      </w:r>
      <w:r>
        <w:rPr>
          <w:rFonts w:ascii="Arial"/>
          <w:i/>
          <w:sz w:val="20"/>
        </w:rPr>
        <w:t>1044,</w:t>
      </w:r>
      <w:r>
        <w:rPr>
          <w:rFonts w:ascii="Arial"/>
          <w:i/>
          <w:spacing w:val="43"/>
          <w:sz w:val="20"/>
        </w:rPr>
        <w:t> </w:t>
      </w:r>
      <w:r>
        <w:rPr>
          <w:rFonts w:ascii="Arial"/>
          <w:i/>
          <w:sz w:val="20"/>
        </w:rPr>
        <w:t>1049</w:t>
      </w:r>
      <w:r>
        <w:rPr>
          <w:sz w:val="20"/>
        </w:rPr>
        <w:t>;</w:t>
      </w:r>
      <w:r>
        <w:rPr>
          <w:spacing w:val="43"/>
          <w:sz w:val="20"/>
        </w:rPr>
        <w:t> </w:t>
      </w:r>
      <w:r>
        <w:rPr>
          <w:rFonts w:ascii="Arial"/>
          <w:i/>
          <w:sz w:val="20"/>
        </w:rPr>
        <w:t>Amsprop</w:t>
      </w:r>
      <w:r>
        <w:rPr>
          <w:rFonts w:ascii="Arial"/>
          <w:i/>
          <w:spacing w:val="43"/>
          <w:sz w:val="20"/>
        </w:rPr>
        <w:t> </w:t>
      </w:r>
      <w:r>
        <w:rPr>
          <w:rFonts w:ascii="Arial"/>
          <w:i/>
          <w:sz w:val="20"/>
        </w:rPr>
        <w:t>Trading</w:t>
      </w:r>
      <w:r>
        <w:rPr>
          <w:rFonts w:ascii="Arial"/>
          <w:i/>
          <w:spacing w:val="43"/>
          <w:sz w:val="20"/>
        </w:rPr>
        <w:t> </w:t>
      </w:r>
      <w:r>
        <w:rPr>
          <w:rFonts w:ascii="Arial"/>
          <w:i/>
          <w:sz w:val="20"/>
        </w:rPr>
        <w:t>Ltd</w:t>
      </w:r>
      <w:r>
        <w:rPr>
          <w:rFonts w:ascii="Arial"/>
          <w:i/>
          <w:spacing w:val="43"/>
          <w:sz w:val="20"/>
        </w:rPr>
        <w:t> </w:t>
      </w:r>
      <w:r>
        <w:rPr>
          <w:rFonts w:ascii="Arial"/>
          <w:i/>
          <w:sz w:val="20"/>
        </w:rPr>
        <w:t>v.</w:t>
      </w:r>
      <w:r>
        <w:rPr>
          <w:rFonts w:ascii="Arial"/>
          <w:i/>
          <w:spacing w:val="43"/>
          <w:sz w:val="20"/>
        </w:rPr>
        <w:t> </w:t>
      </w:r>
      <w:r>
        <w:rPr>
          <w:rFonts w:ascii="Arial"/>
          <w:i/>
          <w:sz w:val="20"/>
        </w:rPr>
        <w:t>Harris</w:t>
      </w:r>
      <w:r>
        <w:rPr>
          <w:rFonts w:ascii="Arial"/>
          <w:i/>
          <w:spacing w:val="43"/>
          <w:sz w:val="20"/>
        </w:rPr>
        <w:t> </w:t>
      </w:r>
      <w:r>
        <w:rPr>
          <w:rFonts w:ascii="Arial"/>
          <w:i/>
          <w:sz w:val="20"/>
        </w:rPr>
        <w:t>Distribution</w:t>
      </w:r>
      <w:r>
        <w:rPr>
          <w:rFonts w:ascii="Arial"/>
          <w:i/>
          <w:spacing w:val="43"/>
          <w:sz w:val="20"/>
        </w:rPr>
        <w:t> </w:t>
      </w:r>
      <w:r>
        <w:rPr>
          <w:rFonts w:ascii="Arial"/>
          <w:i/>
          <w:spacing w:val="-5"/>
          <w:sz w:val="20"/>
        </w:rPr>
        <w:t>Ltd</w:t>
      </w:r>
    </w:p>
    <w:p>
      <w:pPr>
        <w:spacing w:line="227" w:lineRule="exact" w:before="0"/>
        <w:ind w:left="705" w:right="0" w:firstLine="0"/>
        <w:jc w:val="left"/>
        <w:rPr>
          <w:sz w:val="20"/>
        </w:rPr>
      </w:pPr>
      <w:r>
        <w:rPr>
          <w:rFonts w:ascii="Arial"/>
          <w:i/>
          <w:sz w:val="20"/>
        </w:rPr>
        <w:t>[1997] 1 W.L.R. </w:t>
      </w:r>
      <w:r>
        <w:rPr>
          <w:rFonts w:ascii="Arial"/>
          <w:i/>
          <w:spacing w:val="-4"/>
          <w:sz w:val="20"/>
        </w:rPr>
        <w:t>1025</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1500" w:id="1502"/>
      <w:bookmarkEnd w:id="1502"/>
      <w:r>
        <w:rPr/>
      </w:r>
      <w:hyperlink w:history="true" w:anchor="_bookmark1440">
        <w:r>
          <w:rPr>
            <w:color w:val="005DA1"/>
            <w:spacing w:val="-4"/>
            <w:position w:val="5"/>
            <w:sz w:val="14"/>
            <w:u w:val="single" w:color="005DA1"/>
          </w:rPr>
          <w:t>771</w:t>
        </w:r>
      </w:hyperlink>
      <w:r>
        <w:rPr>
          <w:spacing w:val="-4"/>
          <w:position w:val="5"/>
          <w:sz w:val="14"/>
        </w:rPr>
        <w:t>.</w:t>
      </w:r>
      <w:r>
        <w:rPr>
          <w:position w:val="5"/>
          <w:sz w:val="14"/>
        </w:rPr>
        <w:tab/>
      </w:r>
      <w:r>
        <w:rPr/>
        <w:t>There</w:t>
      </w:r>
      <w:r>
        <w:rPr>
          <w:spacing w:val="40"/>
        </w:rPr>
        <w:t> </w:t>
      </w:r>
      <w:r>
        <w:rPr/>
        <w:t>is</w:t>
      </w:r>
      <w:r>
        <w:rPr>
          <w:spacing w:val="40"/>
        </w:rPr>
        <w:t> </w:t>
      </w:r>
      <w:r>
        <w:rPr/>
        <w:t>no</w:t>
      </w:r>
      <w:r>
        <w:rPr>
          <w:spacing w:val="40"/>
        </w:rPr>
        <w:t> </w:t>
      </w:r>
      <w:r>
        <w:rPr/>
        <w:t>such</w:t>
      </w:r>
      <w:r>
        <w:rPr>
          <w:spacing w:val="40"/>
        </w:rPr>
        <w:t> </w:t>
      </w:r>
      <w:r>
        <w:rPr/>
        <w:t>requirement</w:t>
      </w:r>
      <w:r>
        <w:rPr>
          <w:spacing w:val="40"/>
        </w:rPr>
        <w:t> </w:t>
      </w:r>
      <w:r>
        <w:rPr/>
        <w:t>under</w:t>
      </w:r>
      <w:r>
        <w:rPr>
          <w:spacing w:val="40"/>
        </w:rPr>
        <w:t> </w:t>
      </w:r>
      <w:r>
        <w:rPr/>
        <w:t>the</w:t>
      </w:r>
      <w:r>
        <w:rPr>
          <w:spacing w:val="40"/>
        </w:rPr>
        <w:t> </w:t>
      </w:r>
      <w:r>
        <w:rPr/>
        <w:t>Contracts</w:t>
      </w:r>
      <w:r>
        <w:rPr>
          <w:spacing w:val="40"/>
        </w:rPr>
        <w:t> </w:t>
      </w:r>
      <w:r>
        <w:rPr/>
        <w:t>(Rights</w:t>
      </w:r>
      <w:r>
        <w:rPr>
          <w:spacing w:val="40"/>
        </w:rPr>
        <w:t> </w:t>
      </w:r>
      <w:r>
        <w:rPr/>
        <w:t>of</w:t>
      </w:r>
      <w:r>
        <w:rPr>
          <w:spacing w:val="40"/>
        </w:rPr>
        <w:t> </w:t>
      </w:r>
      <w:r>
        <w:rPr/>
        <w:t>Third</w:t>
      </w:r>
      <w:r>
        <w:rPr>
          <w:spacing w:val="40"/>
        </w:rPr>
        <w:t> </w:t>
      </w:r>
      <w:r>
        <w:rPr/>
        <w:t>Parties)</w:t>
      </w:r>
      <w:r>
        <w:rPr>
          <w:spacing w:val="40"/>
        </w:rPr>
        <w:t> </w:t>
      </w:r>
      <w:r>
        <w:rPr/>
        <w:t>Act</w:t>
      </w:r>
      <w:r>
        <w:rPr>
          <w:spacing w:val="40"/>
        </w:rPr>
        <w:t> </w:t>
      </w:r>
      <w:r>
        <w:rPr/>
        <w:t>1999:</w:t>
      </w:r>
      <w:r>
        <w:rPr>
          <w:spacing w:val="40"/>
        </w:rPr>
        <w:t> </w:t>
      </w:r>
      <w:r>
        <w:rPr/>
        <w:t>see s.1(3); above, paras 18-097, 18-098.</w:t>
      </w:r>
    </w:p>
    <w:p>
      <w:pPr>
        <w:pStyle w:val="BodyText"/>
        <w:spacing w:before="10"/>
      </w:pPr>
    </w:p>
    <w:p>
      <w:pPr>
        <w:spacing w:line="235" w:lineRule="auto" w:before="0"/>
        <w:ind w:left="705" w:right="167" w:hanging="541"/>
        <w:jc w:val="both"/>
        <w:rPr>
          <w:sz w:val="20"/>
        </w:rPr>
      </w:pPr>
      <w:bookmarkStart w:name="_bookmark1501" w:id="1503"/>
      <w:bookmarkEnd w:id="1503"/>
      <w:r>
        <w:rPr/>
      </w:r>
      <w:hyperlink w:history="true" w:anchor="_bookmark1441">
        <w:r>
          <w:rPr>
            <w:color w:val="005DA1"/>
            <w:position w:val="5"/>
            <w:sz w:val="14"/>
            <w:u w:val="single" w:color="005DA1"/>
          </w:rPr>
          <w:t>772</w:t>
        </w:r>
      </w:hyperlink>
      <w:r>
        <w:rPr>
          <w:position w:val="5"/>
          <w:sz w:val="14"/>
        </w:rPr>
        <w:t>.</w:t>
      </w:r>
      <w:r>
        <w:rPr>
          <w:spacing w:val="40"/>
          <w:position w:val="5"/>
          <w:sz w:val="14"/>
        </w:rPr>
        <w:t>  </w:t>
      </w:r>
      <w:r>
        <w:rPr>
          <w:rFonts w:ascii="Arial"/>
          <w:i/>
          <w:sz w:val="20"/>
        </w:rPr>
        <w:t>Kelsey v Dodd (1883) 52 L.J.Ch. 34</w:t>
      </w:r>
      <w:r>
        <w:rPr>
          <w:sz w:val="20"/>
        </w:rPr>
        <w:t>; </w:t>
      </w:r>
      <w:r>
        <w:rPr>
          <w:rFonts w:ascii="Arial"/>
          <w:i/>
          <w:sz w:val="20"/>
        </w:rPr>
        <w:t>Westhoughton U.D.C. v Wigan Coal Co [1919] 1 Ch. 159 </w:t>
      </w:r>
      <w:r>
        <w:rPr>
          <w:sz w:val="20"/>
        </w:rPr>
        <w:t>(both these cases were decided under s.5 of the Real Property Act 1845, but the position under s.56(1) of the 1925 Act seems to be the same: </w:t>
      </w:r>
      <w:r>
        <w:rPr>
          <w:rFonts w:ascii="Arial"/>
          <w:i/>
          <w:sz w:val="20"/>
        </w:rPr>
        <w:t>White v Bijou Mansions</w:t>
      </w:r>
      <w:r>
        <w:rPr>
          <w:sz w:val="20"/>
        </w:rPr>
        <w:t>, above n.744).</w:t>
      </w:r>
    </w:p>
    <w:p>
      <w:pPr>
        <w:pStyle w:val="BodyText"/>
        <w:spacing w:before="8"/>
      </w:pPr>
    </w:p>
    <w:p>
      <w:pPr>
        <w:pStyle w:val="BodyText"/>
        <w:tabs>
          <w:tab w:pos="705" w:val="left" w:leader="none"/>
        </w:tabs>
        <w:spacing w:line="235" w:lineRule="auto" w:before="1"/>
        <w:ind w:left="705" w:right="168" w:hanging="541"/>
      </w:pPr>
      <w:bookmarkStart w:name="_bookmark1502" w:id="1504"/>
      <w:bookmarkEnd w:id="1504"/>
      <w:r>
        <w:rPr/>
      </w:r>
      <w:hyperlink w:history="true" w:anchor="_bookmark1442">
        <w:r>
          <w:rPr>
            <w:color w:val="005DA1"/>
            <w:spacing w:val="-4"/>
            <w:position w:val="5"/>
            <w:sz w:val="14"/>
            <w:u w:val="single" w:color="005DA1"/>
          </w:rPr>
          <w:t>773</w:t>
        </w:r>
      </w:hyperlink>
      <w:r>
        <w:rPr>
          <w:spacing w:val="-4"/>
          <w:position w:val="5"/>
          <w:sz w:val="14"/>
        </w:rPr>
        <w:t>.</w:t>
      </w:r>
      <w:r>
        <w:rPr>
          <w:position w:val="5"/>
          <w:sz w:val="14"/>
        </w:rPr>
        <w:tab/>
      </w:r>
      <w:r>
        <w:rPr/>
        <w:t>For details of the exceptions discussed in this and the next five paragraphs below, see Vol.II,</w:t>
      </w:r>
      <w:r>
        <w:rPr>
          <w:spacing w:val="80"/>
        </w:rPr>
        <w:t> </w:t>
      </w:r>
      <w:r>
        <w:rPr>
          <w:spacing w:val="-2"/>
        </w:rPr>
        <w:t>Ch.42.</w:t>
      </w:r>
    </w:p>
    <w:p>
      <w:pPr>
        <w:pStyle w:val="BodyText"/>
        <w:spacing w:before="5"/>
      </w:pPr>
    </w:p>
    <w:p>
      <w:pPr>
        <w:pStyle w:val="BodyText"/>
        <w:tabs>
          <w:tab w:pos="705" w:val="left" w:leader="none"/>
        </w:tabs>
        <w:ind w:left="165"/>
      </w:pPr>
      <w:bookmarkStart w:name="_bookmark1503" w:id="1505"/>
      <w:bookmarkEnd w:id="1505"/>
      <w:r>
        <w:rPr/>
      </w:r>
      <w:hyperlink w:history="true" w:anchor="_bookmark1443">
        <w:r>
          <w:rPr>
            <w:color w:val="005DA1"/>
            <w:spacing w:val="-4"/>
            <w:position w:val="5"/>
            <w:sz w:val="14"/>
            <w:u w:val="single" w:color="005DA1"/>
          </w:rPr>
          <w:t>774</w:t>
        </w:r>
      </w:hyperlink>
      <w:r>
        <w:rPr>
          <w:spacing w:val="-4"/>
          <w:position w:val="5"/>
          <w:sz w:val="14"/>
        </w:rPr>
        <w:t>.</w:t>
      </w:r>
      <w:r>
        <w:rPr>
          <w:position w:val="5"/>
          <w:sz w:val="14"/>
        </w:rPr>
        <w:tab/>
      </w:r>
      <w:r>
        <w:rPr/>
        <w:t>Including illegitimate children: Family Law Reform Act 1969, </w:t>
      </w:r>
      <w:r>
        <w:rPr>
          <w:spacing w:val="-2"/>
        </w:rPr>
        <w:t>s.19(1).</w:t>
      </w:r>
    </w:p>
    <w:p>
      <w:pPr>
        <w:pStyle w:val="BodyText"/>
        <w:spacing w:before="5"/>
      </w:pPr>
    </w:p>
    <w:p>
      <w:pPr>
        <w:pStyle w:val="BodyText"/>
        <w:tabs>
          <w:tab w:pos="705" w:val="left" w:leader="none"/>
        </w:tabs>
        <w:ind w:left="165"/>
      </w:pPr>
      <w:bookmarkStart w:name="_bookmark1504" w:id="1506"/>
      <w:bookmarkEnd w:id="1506"/>
      <w:r>
        <w:rPr/>
      </w:r>
      <w:hyperlink w:history="true" w:anchor="_bookmark1444">
        <w:r>
          <w:rPr>
            <w:color w:val="005DA1"/>
            <w:spacing w:val="-4"/>
            <w:position w:val="5"/>
            <w:sz w:val="14"/>
            <w:u w:val="single" w:color="005DA1"/>
          </w:rPr>
          <w:t>775</w:t>
        </w:r>
      </w:hyperlink>
      <w:r>
        <w:rPr>
          <w:spacing w:val="-4"/>
          <w:position w:val="5"/>
          <w:sz w:val="14"/>
        </w:rPr>
        <w:t>.</w:t>
      </w:r>
      <w:r>
        <w:rPr>
          <w:position w:val="5"/>
          <w:sz w:val="14"/>
        </w:rPr>
        <w:tab/>
      </w:r>
      <w:r>
        <w:rPr/>
        <w:t>Marriage (Same Sex Couples) Act 2013, s.11 and Sch.3, Pt 1, para.1(1)(c) and </w:t>
      </w:r>
      <w:r>
        <w:rPr>
          <w:spacing w:val="-2"/>
        </w:rPr>
        <w:t>1(3).</w:t>
      </w:r>
    </w:p>
    <w:p>
      <w:pPr>
        <w:pStyle w:val="BodyText"/>
        <w:spacing w:before="9"/>
      </w:pPr>
    </w:p>
    <w:p>
      <w:pPr>
        <w:pStyle w:val="BodyText"/>
        <w:tabs>
          <w:tab w:pos="705" w:val="left" w:leader="none"/>
        </w:tabs>
        <w:spacing w:line="235" w:lineRule="auto"/>
        <w:ind w:left="705" w:right="168" w:hanging="541"/>
      </w:pPr>
      <w:bookmarkStart w:name="_bookmark1505" w:id="1507"/>
      <w:bookmarkEnd w:id="1507"/>
      <w:r>
        <w:rPr/>
      </w:r>
      <w:hyperlink w:history="true" w:anchor="_bookmark1444">
        <w:r>
          <w:rPr>
            <w:color w:val="005DA1"/>
            <w:spacing w:val="-4"/>
            <w:position w:val="5"/>
            <w:sz w:val="14"/>
            <w:u w:val="single" w:color="005DA1"/>
          </w:rPr>
          <w:t>776</w:t>
        </w:r>
      </w:hyperlink>
      <w:r>
        <w:rPr>
          <w:spacing w:val="-4"/>
          <w:position w:val="5"/>
          <w:sz w:val="14"/>
        </w:rPr>
        <w:t>.</w:t>
      </w:r>
      <w:r>
        <w:rPr>
          <w:position w:val="5"/>
          <w:sz w:val="14"/>
        </w:rPr>
        <w:tab/>
      </w:r>
      <w:r>
        <w:rPr/>
        <w:t>The</w:t>
      </w:r>
      <w:r>
        <w:rPr>
          <w:spacing w:val="26"/>
        </w:rPr>
        <w:t> </w:t>
      </w:r>
      <w:r>
        <w:rPr/>
        <w:t>legislative</w:t>
      </w:r>
      <w:r>
        <w:rPr>
          <w:spacing w:val="26"/>
        </w:rPr>
        <w:t> </w:t>
      </w:r>
      <w:r>
        <w:rPr/>
        <w:t>provisions</w:t>
      </w:r>
      <w:r>
        <w:rPr>
          <w:spacing w:val="26"/>
        </w:rPr>
        <w:t> </w:t>
      </w:r>
      <w:r>
        <w:rPr/>
        <w:t>referred</w:t>
      </w:r>
      <w:r>
        <w:rPr>
          <w:spacing w:val="26"/>
        </w:rPr>
        <w:t> </w:t>
      </w:r>
      <w:r>
        <w:rPr/>
        <w:t>to</w:t>
      </w:r>
      <w:r>
        <w:rPr>
          <w:spacing w:val="26"/>
        </w:rPr>
        <w:t> </w:t>
      </w:r>
      <w:r>
        <w:rPr/>
        <w:t>in</w:t>
      </w:r>
      <w:r>
        <w:rPr>
          <w:spacing w:val="26"/>
        </w:rPr>
        <w:t> </w:t>
      </w:r>
      <w:r>
        <w:rPr/>
        <w:t>n.749</w:t>
      </w:r>
      <w:r>
        <w:rPr>
          <w:spacing w:val="26"/>
        </w:rPr>
        <w:t> </w:t>
      </w:r>
      <w:r>
        <w:rPr/>
        <w:t>above</w:t>
      </w:r>
      <w:r>
        <w:rPr>
          <w:spacing w:val="26"/>
        </w:rPr>
        <w:t> </w:t>
      </w:r>
      <w:r>
        <w:rPr/>
        <w:t>appear</w:t>
      </w:r>
      <w:r>
        <w:rPr>
          <w:spacing w:val="26"/>
        </w:rPr>
        <w:t> </w:t>
      </w:r>
      <w:r>
        <w:rPr/>
        <w:t>to</w:t>
      </w:r>
      <w:r>
        <w:rPr>
          <w:spacing w:val="26"/>
        </w:rPr>
        <w:t> </w:t>
      </w:r>
      <w:r>
        <w:rPr/>
        <w:t>apply</w:t>
      </w:r>
      <w:r>
        <w:rPr>
          <w:spacing w:val="26"/>
        </w:rPr>
        <w:t> </w:t>
      </w:r>
      <w:r>
        <w:rPr/>
        <w:t>also</w:t>
      </w:r>
      <w:r>
        <w:rPr>
          <w:spacing w:val="26"/>
        </w:rPr>
        <w:t> </w:t>
      </w:r>
      <w:r>
        <w:rPr/>
        <w:t>to</w:t>
      </w:r>
      <w:r>
        <w:rPr>
          <w:spacing w:val="26"/>
        </w:rPr>
        <w:t> </w:t>
      </w:r>
      <w:r>
        <w:rPr/>
        <w:t>the</w:t>
      </w:r>
      <w:r>
        <w:rPr>
          <w:spacing w:val="26"/>
        </w:rPr>
        <w:t> </w:t>
      </w:r>
      <w:r>
        <w:rPr/>
        <w:t>meaning</w:t>
      </w:r>
      <w:r>
        <w:rPr>
          <w:spacing w:val="26"/>
        </w:rPr>
        <w:t> </w:t>
      </w:r>
      <w:r>
        <w:rPr/>
        <w:t>of “husband” and “wife” in s.70 of the Civil Partnership Act 2004.</w:t>
      </w:r>
    </w:p>
    <w:p>
      <w:pPr>
        <w:pStyle w:val="BodyText"/>
        <w:spacing w:before="9"/>
      </w:pPr>
    </w:p>
    <w:p>
      <w:pPr>
        <w:tabs>
          <w:tab w:pos="705" w:val="left" w:leader="none"/>
        </w:tabs>
        <w:spacing w:line="235" w:lineRule="auto" w:before="0"/>
        <w:ind w:left="705" w:right="168" w:hanging="541"/>
        <w:jc w:val="left"/>
        <w:rPr>
          <w:sz w:val="20"/>
        </w:rPr>
      </w:pPr>
      <w:bookmarkStart w:name="_bookmark1506" w:id="1508"/>
      <w:bookmarkEnd w:id="1508"/>
      <w:r>
        <w:rPr/>
      </w:r>
      <w:hyperlink w:history="true" w:anchor="_bookmark1445">
        <w:r>
          <w:rPr>
            <w:color w:val="005DA1"/>
            <w:spacing w:val="-4"/>
            <w:position w:val="5"/>
            <w:sz w:val="14"/>
            <w:u w:val="single" w:color="005DA1"/>
          </w:rPr>
          <w:t>777</w:t>
        </w:r>
      </w:hyperlink>
      <w:r>
        <w:rPr>
          <w:spacing w:val="-4"/>
          <w:position w:val="5"/>
          <w:sz w:val="14"/>
        </w:rPr>
        <w:t>.</w:t>
      </w:r>
      <w:r>
        <w:rPr>
          <w:position w:val="5"/>
          <w:sz w:val="14"/>
        </w:rPr>
        <w:tab/>
      </w:r>
      <w:r>
        <w:rPr>
          <w:sz w:val="20"/>
        </w:rPr>
        <w:t>See</w:t>
      </w:r>
      <w:r>
        <w:rPr>
          <w:spacing w:val="19"/>
          <w:sz w:val="20"/>
        </w:rPr>
        <w:t> </w:t>
      </w:r>
      <w:r>
        <w:rPr>
          <w:rFonts w:ascii="Arial" w:hAnsi="Arial"/>
          <w:i/>
          <w:sz w:val="20"/>
        </w:rPr>
        <w:t>Re</w:t>
      </w:r>
      <w:r>
        <w:rPr>
          <w:rFonts w:ascii="Arial" w:hAnsi="Arial"/>
          <w:i/>
          <w:spacing w:val="19"/>
          <w:sz w:val="20"/>
        </w:rPr>
        <w:t> </w:t>
      </w:r>
      <w:r>
        <w:rPr>
          <w:rFonts w:ascii="Arial" w:hAnsi="Arial"/>
          <w:i/>
          <w:sz w:val="20"/>
        </w:rPr>
        <w:t>Engelbach’s</w:t>
      </w:r>
      <w:r>
        <w:rPr>
          <w:rFonts w:ascii="Arial" w:hAnsi="Arial"/>
          <w:i/>
          <w:spacing w:val="19"/>
          <w:sz w:val="20"/>
        </w:rPr>
        <w:t> </w:t>
      </w:r>
      <w:r>
        <w:rPr>
          <w:rFonts w:ascii="Arial" w:hAnsi="Arial"/>
          <w:i/>
          <w:sz w:val="20"/>
        </w:rPr>
        <w:t>Estate</w:t>
      </w:r>
      <w:r>
        <w:rPr>
          <w:rFonts w:ascii="Arial" w:hAnsi="Arial"/>
          <w:i/>
          <w:spacing w:val="19"/>
          <w:sz w:val="20"/>
        </w:rPr>
        <w:t> </w:t>
      </w:r>
      <w:r>
        <w:rPr>
          <w:rFonts w:ascii="Arial" w:hAnsi="Arial"/>
          <w:i/>
          <w:sz w:val="20"/>
        </w:rPr>
        <w:t>[1924]</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Ch.</w:t>
      </w:r>
      <w:r>
        <w:rPr>
          <w:rFonts w:ascii="Arial" w:hAnsi="Arial"/>
          <w:i/>
          <w:spacing w:val="19"/>
          <w:sz w:val="20"/>
        </w:rPr>
        <w:t> </w:t>
      </w:r>
      <w:r>
        <w:rPr>
          <w:rFonts w:ascii="Arial" w:hAnsi="Arial"/>
          <w:i/>
          <w:sz w:val="20"/>
        </w:rPr>
        <w:t>348</w:t>
      </w:r>
      <w:r>
        <w:rPr>
          <w:rFonts w:ascii="Arial" w:hAnsi="Arial"/>
          <w:i/>
          <w:spacing w:val="19"/>
          <w:sz w:val="20"/>
        </w:rPr>
        <w:t> </w:t>
      </w:r>
      <w:r>
        <w:rPr>
          <w:sz w:val="20"/>
        </w:rPr>
        <w:t>which</w:t>
      </w:r>
      <w:r>
        <w:rPr>
          <w:spacing w:val="19"/>
          <w:sz w:val="20"/>
        </w:rPr>
        <w:t> </w:t>
      </w:r>
      <w:r>
        <w:rPr>
          <w:sz w:val="20"/>
        </w:rPr>
        <w:t>is</w:t>
      </w:r>
      <w:r>
        <w:rPr>
          <w:spacing w:val="19"/>
          <w:sz w:val="20"/>
        </w:rPr>
        <w:t> </w:t>
      </w:r>
      <w:r>
        <w:rPr>
          <w:sz w:val="20"/>
        </w:rPr>
        <w:t>still</w:t>
      </w:r>
      <w:r>
        <w:rPr>
          <w:spacing w:val="19"/>
          <w:sz w:val="20"/>
        </w:rPr>
        <w:t> </w:t>
      </w:r>
      <w:r>
        <w:rPr>
          <w:sz w:val="20"/>
        </w:rPr>
        <w:t>good</w:t>
      </w:r>
      <w:r>
        <w:rPr>
          <w:spacing w:val="19"/>
          <w:sz w:val="20"/>
        </w:rPr>
        <w:t> </w:t>
      </w:r>
      <w:r>
        <w:rPr>
          <w:sz w:val="20"/>
        </w:rPr>
        <w:t>law</w:t>
      </w:r>
      <w:r>
        <w:rPr>
          <w:spacing w:val="19"/>
          <w:sz w:val="20"/>
        </w:rPr>
        <w:t> </w:t>
      </w:r>
      <w:r>
        <w:rPr>
          <w:sz w:val="20"/>
        </w:rPr>
        <w:t>on</w:t>
      </w:r>
      <w:r>
        <w:rPr>
          <w:spacing w:val="19"/>
          <w:sz w:val="20"/>
        </w:rPr>
        <w:t> </w:t>
      </w:r>
      <w:r>
        <w:rPr>
          <w:sz w:val="20"/>
        </w:rPr>
        <w:t>this</w:t>
      </w:r>
      <w:r>
        <w:rPr>
          <w:spacing w:val="19"/>
          <w:sz w:val="20"/>
        </w:rPr>
        <w:t> </w:t>
      </w:r>
      <w:r>
        <w:rPr>
          <w:sz w:val="20"/>
        </w:rPr>
        <w:t>point,</w:t>
      </w:r>
      <w:r>
        <w:rPr>
          <w:spacing w:val="19"/>
          <w:sz w:val="20"/>
        </w:rPr>
        <w:t> </w:t>
      </w:r>
      <w:r>
        <w:rPr>
          <w:sz w:val="20"/>
        </w:rPr>
        <w:t>although</w:t>
      </w:r>
      <w:r>
        <w:rPr>
          <w:spacing w:val="19"/>
          <w:sz w:val="20"/>
        </w:rPr>
        <w:t> </w:t>
      </w:r>
      <w:r>
        <w:rPr>
          <w:sz w:val="20"/>
        </w:rPr>
        <w:t>it has, on another point, been overruled (see above, para.18-075, n.465).</w:t>
      </w:r>
    </w:p>
    <w:p>
      <w:pPr>
        <w:pStyle w:val="BodyText"/>
        <w:spacing w:before="5"/>
      </w:pPr>
    </w:p>
    <w:p>
      <w:pPr>
        <w:tabs>
          <w:tab w:pos="705" w:val="left" w:leader="none"/>
        </w:tabs>
        <w:spacing w:before="1"/>
        <w:ind w:left="165" w:right="0" w:firstLine="0"/>
        <w:jc w:val="left"/>
        <w:rPr>
          <w:sz w:val="20"/>
        </w:rPr>
      </w:pPr>
      <w:bookmarkStart w:name="_bookmark1507" w:id="1509"/>
      <w:bookmarkEnd w:id="1509"/>
      <w:r>
        <w:rPr/>
      </w:r>
      <w:hyperlink w:history="true" w:anchor="_bookmark1446">
        <w:r>
          <w:rPr>
            <w:color w:val="005DA1"/>
            <w:spacing w:val="-4"/>
            <w:position w:val="5"/>
            <w:sz w:val="14"/>
            <w:u w:val="single" w:color="005DA1"/>
          </w:rPr>
          <w:t>778</w:t>
        </w:r>
      </w:hyperlink>
      <w:r>
        <w:rPr>
          <w:spacing w:val="-4"/>
          <w:position w:val="5"/>
          <w:sz w:val="14"/>
        </w:rPr>
        <w:t>.</w:t>
      </w:r>
      <w:r>
        <w:rPr>
          <w:position w:val="5"/>
          <w:sz w:val="14"/>
        </w:rPr>
        <w:tab/>
      </w:r>
      <w:r>
        <w:rPr>
          <w:rFonts w:ascii="Arial" w:hAnsi="Arial"/>
          <w:i/>
          <w:sz w:val="20"/>
        </w:rPr>
        <w:t>Re Clay’s Policy of Assurance [1937] 2 All E.R. </w:t>
      </w:r>
      <w:r>
        <w:rPr>
          <w:rFonts w:ascii="Arial" w:hAnsi="Arial"/>
          <w:i/>
          <w:spacing w:val="-4"/>
          <w:sz w:val="20"/>
        </w:rPr>
        <w:t>548</w:t>
      </w:r>
      <w:r>
        <w:rPr>
          <w:spacing w:val="-4"/>
          <w:sz w:val="20"/>
        </w:rPr>
        <w:t>.</w:t>
      </w:r>
    </w:p>
    <w:p>
      <w:pPr>
        <w:pStyle w:val="BodyText"/>
        <w:spacing w:before="5"/>
      </w:pPr>
    </w:p>
    <w:p>
      <w:pPr>
        <w:pStyle w:val="BodyText"/>
        <w:tabs>
          <w:tab w:pos="705" w:val="left" w:leader="none"/>
        </w:tabs>
        <w:ind w:left="165"/>
      </w:pPr>
      <w:bookmarkStart w:name="_bookmark1508" w:id="1510"/>
      <w:bookmarkEnd w:id="1510"/>
      <w:r>
        <w:rPr/>
      </w:r>
      <w:hyperlink w:history="true" w:anchor="_bookmark1447">
        <w:r>
          <w:rPr>
            <w:color w:val="005DA1"/>
            <w:spacing w:val="-4"/>
            <w:position w:val="5"/>
            <w:sz w:val="14"/>
            <w:u w:val="single" w:color="005DA1"/>
          </w:rPr>
          <w:t>779</w:t>
        </w:r>
      </w:hyperlink>
      <w:r>
        <w:rPr>
          <w:spacing w:val="-4"/>
          <w:position w:val="5"/>
          <w:sz w:val="14"/>
        </w:rPr>
        <w:t>.</w:t>
      </w:r>
      <w:r>
        <w:rPr>
          <w:position w:val="5"/>
          <w:sz w:val="14"/>
        </w:rPr>
        <w:tab/>
      </w:r>
      <w:r>
        <w:rPr/>
        <w:t>Law Com. No.242, para.12-</w:t>
      </w:r>
      <w:r>
        <w:rPr>
          <w:spacing w:val="-5"/>
        </w:rPr>
        <w:t>27.</w:t>
      </w:r>
    </w:p>
    <w:p>
      <w:pPr>
        <w:pStyle w:val="BodyText"/>
        <w:spacing w:before="8"/>
      </w:pPr>
    </w:p>
    <w:p>
      <w:pPr>
        <w:pStyle w:val="BodyText"/>
        <w:tabs>
          <w:tab w:pos="705" w:val="left" w:leader="none"/>
        </w:tabs>
        <w:spacing w:line="235" w:lineRule="auto" w:before="1"/>
        <w:ind w:left="705" w:right="168" w:hanging="541"/>
      </w:pPr>
      <w:bookmarkStart w:name="_bookmark1509" w:id="1511"/>
      <w:bookmarkEnd w:id="1511"/>
      <w:r>
        <w:rPr/>
      </w:r>
      <w:hyperlink w:history="true" w:anchor="_bookmark1448">
        <w:r>
          <w:rPr>
            <w:color w:val="005DA1"/>
            <w:spacing w:val="-4"/>
            <w:position w:val="5"/>
            <w:sz w:val="14"/>
            <w:u w:val="single" w:color="005DA1"/>
          </w:rPr>
          <w:t>780</w:t>
        </w:r>
      </w:hyperlink>
      <w:r>
        <w:rPr>
          <w:spacing w:val="-4"/>
          <w:position w:val="5"/>
          <w:sz w:val="14"/>
        </w:rPr>
        <w:t>.</w:t>
      </w:r>
      <w:r>
        <w:rPr>
          <w:position w:val="5"/>
          <w:sz w:val="14"/>
        </w:rPr>
        <w:tab/>
      </w:r>
      <w:r>
        <w:rPr/>
        <w:t>e.g.</w:t>
      </w:r>
      <w:r>
        <w:rPr>
          <w:spacing w:val="-1"/>
        </w:rPr>
        <w:t> </w:t>
      </w:r>
      <w:r>
        <w:rPr/>
        <w:t>powers</w:t>
      </w:r>
      <w:r>
        <w:rPr>
          <w:spacing w:val="-1"/>
        </w:rPr>
        <w:t> </w:t>
      </w:r>
      <w:r>
        <w:rPr/>
        <w:t>of</w:t>
      </w:r>
      <w:r>
        <w:rPr>
          <w:spacing w:val="-1"/>
        </w:rPr>
        <w:t> </w:t>
      </w:r>
      <w:r>
        <w:rPr/>
        <w:t>cancellation</w:t>
      </w:r>
      <w:r>
        <w:rPr>
          <w:spacing w:val="-1"/>
        </w:rPr>
        <w:t> </w:t>
      </w:r>
      <w:r>
        <w:rPr/>
        <w:t>or</w:t>
      </w:r>
      <w:r>
        <w:rPr>
          <w:spacing w:val="-1"/>
        </w:rPr>
        <w:t> </w:t>
      </w:r>
      <w:r>
        <w:rPr/>
        <w:t>variation</w:t>
      </w:r>
      <w:r>
        <w:rPr>
          <w:spacing w:val="-1"/>
        </w:rPr>
        <w:t> </w:t>
      </w:r>
      <w:r>
        <w:rPr/>
        <w:t>under</w:t>
      </w:r>
      <w:r>
        <w:rPr>
          <w:spacing w:val="-1"/>
        </w:rPr>
        <w:t> </w:t>
      </w:r>
      <w:r>
        <w:rPr/>
        <w:t>s.2</w:t>
      </w:r>
      <w:r>
        <w:rPr>
          <w:spacing w:val="-1"/>
        </w:rPr>
        <w:t> </w:t>
      </w:r>
      <w:r>
        <w:rPr/>
        <w:t>of</w:t>
      </w:r>
      <w:r>
        <w:rPr>
          <w:spacing w:val="-1"/>
        </w:rPr>
        <w:t> </w:t>
      </w:r>
      <w:r>
        <w:rPr/>
        <w:t>the</w:t>
      </w:r>
      <w:r>
        <w:rPr>
          <w:spacing w:val="-1"/>
        </w:rPr>
        <w:t> </w:t>
      </w:r>
      <w:r>
        <w:rPr/>
        <w:t>1999</w:t>
      </w:r>
      <w:r>
        <w:rPr>
          <w:spacing w:val="-1"/>
        </w:rPr>
        <w:t> </w:t>
      </w:r>
      <w:r>
        <w:rPr/>
        <w:t>Act</w:t>
      </w:r>
      <w:r>
        <w:rPr>
          <w:spacing w:val="-1"/>
        </w:rPr>
        <w:t> </w:t>
      </w:r>
      <w:r>
        <w:rPr/>
        <w:t>do</w:t>
      </w:r>
      <w:r>
        <w:rPr>
          <w:spacing w:val="-1"/>
        </w:rPr>
        <w:t> </w:t>
      </w:r>
      <w:r>
        <w:rPr/>
        <w:t>not</w:t>
      </w:r>
      <w:r>
        <w:rPr>
          <w:spacing w:val="-1"/>
        </w:rPr>
        <w:t> </w:t>
      </w:r>
      <w:r>
        <w:rPr/>
        <w:t>apply</w:t>
      </w:r>
      <w:r>
        <w:rPr>
          <w:spacing w:val="-1"/>
        </w:rPr>
        <w:t> </w:t>
      </w:r>
      <w:r>
        <w:rPr/>
        <w:t>where</w:t>
      </w:r>
      <w:r>
        <w:rPr>
          <w:spacing w:val="-1"/>
        </w:rPr>
        <w:t> </w:t>
      </w:r>
      <w:r>
        <w:rPr/>
        <w:t>a</w:t>
      </w:r>
      <w:r>
        <w:rPr>
          <w:spacing w:val="-1"/>
        </w:rPr>
        <w:t> </w:t>
      </w:r>
      <w:r>
        <w:rPr/>
        <w:t>trust</w:t>
      </w:r>
      <w:r>
        <w:rPr>
          <w:spacing w:val="-1"/>
        </w:rPr>
        <w:t> </w:t>
      </w:r>
      <w:r>
        <w:rPr/>
        <w:t>has arisen under s.11 of the 1882 Act; cf. above, para.18-121.</w:t>
      </w:r>
    </w:p>
    <w:p>
      <w:pPr>
        <w:pStyle w:val="BodyText"/>
        <w:spacing w:before="5"/>
      </w:pPr>
    </w:p>
    <w:p>
      <w:pPr>
        <w:tabs>
          <w:tab w:pos="705" w:val="left" w:leader="none"/>
        </w:tabs>
        <w:spacing w:before="0"/>
        <w:ind w:left="165" w:right="0" w:firstLine="0"/>
        <w:jc w:val="left"/>
        <w:rPr>
          <w:sz w:val="20"/>
        </w:rPr>
      </w:pPr>
      <w:bookmarkStart w:name="_bookmark1510" w:id="1512"/>
      <w:bookmarkEnd w:id="1512"/>
      <w:r>
        <w:rPr/>
      </w:r>
      <w:hyperlink w:history="true" w:anchor="_bookmark1449">
        <w:r>
          <w:rPr>
            <w:color w:val="005DA1"/>
            <w:spacing w:val="-4"/>
            <w:position w:val="5"/>
            <w:sz w:val="14"/>
            <w:u w:val="single" w:color="005DA1"/>
          </w:rPr>
          <w:t>781</w:t>
        </w:r>
      </w:hyperlink>
      <w:r>
        <w:rPr>
          <w:spacing w:val="-4"/>
          <w:position w:val="5"/>
          <w:sz w:val="14"/>
        </w:rPr>
        <w:t>.</w:t>
      </w:r>
      <w:r>
        <w:rPr>
          <w:position w:val="5"/>
          <w:sz w:val="14"/>
        </w:rPr>
        <w:tab/>
      </w:r>
      <w:r>
        <w:rPr>
          <w:rFonts w:ascii="Arial" w:hAnsi="Arial"/>
          <w:i/>
          <w:sz w:val="20"/>
        </w:rPr>
        <w:t>Re Foster’s Policy [1966] 1 W.L.R. </w:t>
      </w:r>
      <w:r>
        <w:rPr>
          <w:rFonts w:ascii="Arial" w:hAnsi="Arial"/>
          <w:i/>
          <w:spacing w:val="-4"/>
          <w:sz w:val="20"/>
        </w:rPr>
        <w:t>222</w:t>
      </w:r>
      <w:r>
        <w:rPr>
          <w:spacing w:val="-4"/>
          <w:sz w:val="20"/>
        </w:rPr>
        <w:t>.</w:t>
      </w:r>
    </w:p>
    <w:p>
      <w:pPr>
        <w:spacing w:after="0"/>
        <w:jc w:val="left"/>
        <w:rPr>
          <w:sz w:val="20"/>
        </w:rPr>
        <w:sectPr>
          <w:pgSz w:w="11900" w:h="16840"/>
          <w:pgMar w:header="971" w:footer="0" w:top="1160" w:bottom="280" w:left="1275" w:right="1275"/>
        </w:sectPr>
      </w:pPr>
    </w:p>
    <w:p>
      <w:pPr>
        <w:pStyle w:val="BodyText"/>
        <w:spacing w:before="84"/>
      </w:pPr>
    </w:p>
    <w:p>
      <w:pPr>
        <w:spacing w:line="235" w:lineRule="auto" w:before="1"/>
        <w:ind w:left="705" w:right="167" w:hanging="541"/>
        <w:jc w:val="both"/>
        <w:rPr>
          <w:sz w:val="20"/>
        </w:rPr>
      </w:pPr>
      <w:hyperlink w:history="true" w:anchor="_bookmark1450">
        <w:r>
          <w:rPr>
            <w:color w:val="005DA1"/>
            <w:position w:val="5"/>
            <w:sz w:val="14"/>
            <w:u w:val="single" w:color="005DA1"/>
          </w:rPr>
          <w:t>782</w:t>
        </w:r>
      </w:hyperlink>
      <w:r>
        <w:rPr>
          <w:position w:val="5"/>
          <w:sz w:val="14"/>
        </w:rPr>
        <w:t>.</w:t>
      </w:r>
      <w:r>
        <w:rPr>
          <w:spacing w:val="80"/>
          <w:w w:val="150"/>
          <w:position w:val="5"/>
          <w:sz w:val="14"/>
        </w:rPr>
        <w:t> </w:t>
      </w:r>
      <w:r>
        <w:rPr>
          <w:sz w:val="20"/>
        </w:rPr>
        <w:t>Road</w:t>
      </w:r>
      <w:r>
        <w:rPr>
          <w:spacing w:val="40"/>
          <w:sz w:val="20"/>
        </w:rPr>
        <w:t> </w:t>
      </w:r>
      <w:r>
        <w:rPr>
          <w:sz w:val="20"/>
        </w:rPr>
        <w:t>Traffic</w:t>
      </w:r>
      <w:r>
        <w:rPr>
          <w:spacing w:val="40"/>
          <w:sz w:val="20"/>
        </w:rPr>
        <w:t> </w:t>
      </w:r>
      <w:r>
        <w:rPr>
          <w:sz w:val="20"/>
        </w:rPr>
        <w:t>Act</w:t>
      </w:r>
      <w:r>
        <w:rPr>
          <w:spacing w:val="40"/>
          <w:sz w:val="20"/>
        </w:rPr>
        <w:t> </w:t>
      </w:r>
      <w:r>
        <w:rPr>
          <w:sz w:val="20"/>
        </w:rPr>
        <w:t>1988,</w:t>
      </w:r>
      <w:r>
        <w:rPr>
          <w:spacing w:val="40"/>
          <w:sz w:val="20"/>
        </w:rPr>
        <w:t> </w:t>
      </w:r>
      <w:r>
        <w:rPr>
          <w:sz w:val="20"/>
        </w:rPr>
        <w:t>s.148(7),</w:t>
      </w:r>
      <w:r>
        <w:rPr>
          <w:spacing w:val="40"/>
          <w:sz w:val="20"/>
        </w:rPr>
        <w:t> </w:t>
      </w:r>
      <w:r>
        <w:rPr>
          <w:sz w:val="20"/>
        </w:rPr>
        <w:t>replacing</w:t>
      </w:r>
      <w:r>
        <w:rPr>
          <w:spacing w:val="40"/>
          <w:sz w:val="20"/>
        </w:rPr>
        <w:t> </w:t>
      </w:r>
      <w:r>
        <w:rPr>
          <w:sz w:val="20"/>
        </w:rPr>
        <w:t>Road</w:t>
      </w:r>
      <w:r>
        <w:rPr>
          <w:spacing w:val="40"/>
          <w:sz w:val="20"/>
        </w:rPr>
        <w:t> </w:t>
      </w:r>
      <w:r>
        <w:rPr>
          <w:sz w:val="20"/>
        </w:rPr>
        <w:t>Traffic</w:t>
      </w:r>
      <w:r>
        <w:rPr>
          <w:spacing w:val="40"/>
          <w:sz w:val="20"/>
        </w:rPr>
        <w:t> </w:t>
      </w:r>
      <w:r>
        <w:rPr>
          <w:sz w:val="20"/>
        </w:rPr>
        <w:t>Act</w:t>
      </w:r>
      <w:r>
        <w:rPr>
          <w:spacing w:val="40"/>
          <w:sz w:val="20"/>
        </w:rPr>
        <w:t> </w:t>
      </w:r>
      <w:r>
        <w:rPr>
          <w:sz w:val="20"/>
        </w:rPr>
        <w:t>1930,</w:t>
      </w:r>
      <w:r>
        <w:rPr>
          <w:spacing w:val="40"/>
          <w:sz w:val="20"/>
        </w:rPr>
        <w:t> </w:t>
      </w:r>
      <w:r>
        <w:rPr>
          <w:sz w:val="20"/>
        </w:rPr>
        <w:t>s.36(4);</w:t>
      </w:r>
      <w:r>
        <w:rPr>
          <w:spacing w:val="40"/>
          <w:sz w:val="20"/>
        </w:rPr>
        <w:t> </w:t>
      </w:r>
      <w:r>
        <w:rPr>
          <w:sz w:val="20"/>
        </w:rPr>
        <w:t>discussed</w:t>
      </w:r>
      <w:r>
        <w:rPr>
          <w:spacing w:val="40"/>
          <w:sz w:val="20"/>
        </w:rPr>
        <w:t> </w:t>
      </w:r>
      <w:r>
        <w:rPr>
          <w:sz w:val="20"/>
        </w:rPr>
        <w:t>in </w:t>
      </w:r>
      <w:r>
        <w:rPr>
          <w:rFonts w:ascii="Arial"/>
          <w:i/>
          <w:sz w:val="20"/>
        </w:rPr>
        <w:t>Tattersall v Drysdale [1935] 2 K.B. 174 </w:t>
      </w:r>
      <w:r>
        <w:rPr>
          <w:sz w:val="20"/>
        </w:rPr>
        <w:t>and </w:t>
      </w:r>
      <w:r>
        <w:rPr>
          <w:rFonts w:ascii="Arial"/>
          <w:i/>
          <w:sz w:val="20"/>
        </w:rPr>
        <w:t>Austin v Zurich, etc., Insurance [1944] 2 All E.R. 243, 248</w:t>
      </w:r>
      <w:r>
        <w:rPr>
          <w:sz w:val="20"/>
        </w:rPr>
        <w:t>. cf. also Transport Act 1980, s.61.</w:t>
      </w:r>
    </w:p>
    <w:p>
      <w:pPr>
        <w:pStyle w:val="BodyText"/>
        <w:spacing w:before="8"/>
      </w:pPr>
    </w:p>
    <w:p>
      <w:pPr>
        <w:spacing w:line="235" w:lineRule="auto" w:before="1"/>
        <w:ind w:left="705" w:right="167" w:hanging="541"/>
        <w:jc w:val="both"/>
        <w:rPr>
          <w:sz w:val="20"/>
        </w:rPr>
      </w:pPr>
      <w:bookmarkStart w:name="_bookmark1511" w:id="1513"/>
      <w:bookmarkEnd w:id="1513"/>
      <w:r>
        <w:rPr/>
      </w:r>
      <w:hyperlink w:history="true" w:anchor="_bookmark1451">
        <w:r>
          <w:rPr>
            <w:color w:val="005DA1"/>
            <w:position w:val="5"/>
            <w:sz w:val="14"/>
            <w:u w:val="single" w:color="005DA1"/>
          </w:rPr>
          <w:t>783</w:t>
        </w:r>
      </w:hyperlink>
      <w:r>
        <w:rPr>
          <w:position w:val="5"/>
          <w:sz w:val="14"/>
        </w:rPr>
        <w:t>.</w:t>
      </w:r>
      <w:r>
        <w:rPr>
          <w:spacing w:val="40"/>
          <w:position w:val="5"/>
          <w:sz w:val="14"/>
        </w:rPr>
        <w:t>  </w:t>
      </w:r>
      <w:r>
        <w:rPr>
          <w:rFonts w:ascii="Arial" w:hAnsi="Arial"/>
          <w:i/>
          <w:sz w:val="20"/>
        </w:rPr>
        <w:t>Waters v Monarch Insurance Co (1856) 5 E. &amp; B. 870</w:t>
      </w:r>
      <w:r>
        <w:rPr>
          <w:sz w:val="20"/>
        </w:rPr>
        <w:t>; </w:t>
      </w:r>
      <w:r>
        <w:rPr>
          <w:rFonts w:ascii="Arial" w:hAnsi="Arial"/>
          <w:i/>
          <w:sz w:val="20"/>
        </w:rPr>
        <w:t>Hepburn v A. Tomlinson (Hauliers) </w:t>
      </w:r>
      <w:r>
        <w:rPr>
          <w:rFonts w:ascii="Arial" w:hAnsi="Arial"/>
          <w:i/>
          <w:sz w:val="20"/>
        </w:rPr>
        <w:t>Ltd [1966] A.C. 451</w:t>
      </w:r>
      <w:r>
        <w:rPr>
          <w:sz w:val="20"/>
        </w:rPr>
        <w:t>; cf. </w:t>
      </w:r>
      <w:r>
        <w:rPr>
          <w:rFonts w:ascii="Arial" w:hAnsi="Arial"/>
          <w:i/>
          <w:sz w:val="20"/>
        </w:rPr>
        <w:t>Petrofina (UK) Ltd v Magnaload Ltd [1984] Q.B. 127 </w:t>
      </w:r>
      <w:r>
        <w:rPr>
          <w:sz w:val="20"/>
        </w:rPr>
        <w:t>(head contractor insuring for benefit of himself and sub-contractors); </w:t>
      </w:r>
      <w:r>
        <w:rPr>
          <w:rFonts w:ascii="Arial" w:hAnsi="Arial"/>
          <w:i/>
          <w:sz w:val="20"/>
        </w:rPr>
        <w:t>Pan Atlantic Insurance Co Ltd v Pine Top Insurance Co Ltd [1988] 2 Lloyd’s Rep. 505 </w:t>
      </w:r>
      <w:r>
        <w:rPr>
          <w:sz w:val="20"/>
        </w:rPr>
        <w:t>(same principle applied to reinsurance); </w:t>
      </w:r>
      <w:r>
        <w:rPr>
          <w:rFonts w:ascii="Arial" w:hAnsi="Arial"/>
          <w:i/>
          <w:sz w:val="20"/>
        </w:rPr>
        <w:t>Sumitomo Bank Ltd v Banque Bruxelles Lambert SA [1997] 1 Lloyd’s Rep. 487, 495</w:t>
      </w:r>
      <w:r>
        <w:rPr>
          <w:sz w:val="20"/>
        </w:rPr>
        <w:t>; </w:t>
      </w:r>
      <w:r>
        <w:rPr>
          <w:rFonts w:ascii="Arial" w:hAnsi="Arial"/>
          <w:i/>
          <w:sz w:val="20"/>
        </w:rPr>
        <w:t>Glengate Properties Ltd v Norwich Union Fire Insurance Society [1996] 2 All E.R. 487, 497</w:t>
      </w:r>
      <w:r>
        <w:rPr>
          <w:sz w:val="20"/>
        </w:rPr>
        <w:t>. Contrast </w:t>
      </w:r>
      <w:r>
        <w:rPr>
          <w:rFonts w:ascii="Arial" w:hAnsi="Arial"/>
          <w:i/>
          <w:sz w:val="20"/>
        </w:rPr>
        <w:t>Stone Vickers Ltd v Appledore Ferguson Shipbuilders Ltd [1992] 2 Lloyd’s Rep. 578</w:t>
      </w:r>
      <w:r>
        <w:rPr>
          <w:sz w:val="20"/>
        </w:rPr>
        <w:t>, where the main contractors’ insurance did not cover the subcontractors since the main contractors had no authority or intention to contract on behalf of the subcontractors; for similar reasoning, see </w:t>
      </w:r>
      <w:r>
        <w:rPr>
          <w:rFonts w:ascii="Arial" w:hAnsi="Arial"/>
          <w:i/>
          <w:sz w:val="20"/>
        </w:rPr>
        <w:t>Colonia Versicherung AG v Amoco Oil Co [1997] 1 Lloyd’s Rep. 261, 270–272</w:t>
      </w:r>
      <w:r>
        <w:rPr>
          <w:sz w:val="20"/>
        </w:rPr>
        <w:t>. The principle of </w:t>
      </w:r>
      <w:r>
        <w:rPr>
          <w:rFonts w:ascii="Arial" w:hAnsi="Arial"/>
          <w:i/>
          <w:sz w:val="20"/>
        </w:rPr>
        <w:t>Waters v Monarch Insurance Co</w:t>
      </w:r>
      <w:r>
        <w:rPr>
          <w:sz w:val="20"/>
        </w:rPr>
        <w:t>, above, may also be excluded or limited by the terms of the policy: see </w:t>
      </w:r>
      <w:r>
        <w:rPr>
          <w:rFonts w:ascii="Arial" w:hAnsi="Arial"/>
          <w:i/>
          <w:sz w:val="20"/>
        </w:rPr>
        <w:t>Ramco (UK) Ltd v International Insurance Co of Hanover [2004] EWCA Civ 675, [2004] 2 All E.R. (Comm) 866 </w:t>
      </w:r>
      <w:r>
        <w:rPr>
          <w:sz w:val="20"/>
        </w:rPr>
        <w:t>at [32]; </w:t>
      </w:r>
      <w:r>
        <w:rPr>
          <w:rFonts w:ascii="Arial" w:hAnsi="Arial"/>
          <w:i/>
          <w:sz w:val="20"/>
        </w:rPr>
        <w:t>Ramco Ltd v Weller Russell &amp; Laws Insurance Brokers</w:t>
      </w:r>
      <w:r>
        <w:rPr>
          <w:rFonts w:ascii="Arial" w:hAnsi="Arial"/>
          <w:i/>
          <w:spacing w:val="40"/>
          <w:sz w:val="20"/>
        </w:rPr>
        <w:t> </w:t>
      </w:r>
      <w:r>
        <w:rPr>
          <w:rFonts w:ascii="Arial" w:hAnsi="Arial"/>
          <w:i/>
          <w:sz w:val="20"/>
        </w:rPr>
        <w:t>Ltd [2008] EWHC 2202 (QB), [2009] Lloyd’s Rep. I.R. 27 </w:t>
      </w:r>
      <w:r>
        <w:rPr>
          <w:sz w:val="20"/>
        </w:rPr>
        <w:t>at [12]. The loss of the insured may exceed the value of his interest, and even be suffered in spite of his having parted with that interest, by reason of his having undertaken a contractual obligation with respect to the</w:t>
      </w:r>
      <w:r>
        <w:rPr>
          <w:spacing w:val="40"/>
          <w:sz w:val="20"/>
        </w:rPr>
        <w:t> </w:t>
      </w:r>
      <w:r>
        <w:rPr>
          <w:sz w:val="20"/>
        </w:rPr>
        <w:t>property: e.g. an obligation to reinstate it in the event of damage by a peril covered by the insurance:</w:t>
      </w:r>
      <w:r>
        <w:rPr>
          <w:spacing w:val="-1"/>
          <w:sz w:val="20"/>
        </w:rPr>
        <w:t> </w:t>
      </w:r>
      <w:r>
        <w:rPr>
          <w:rFonts w:ascii="Arial" w:hAnsi="Arial"/>
          <w:i/>
          <w:sz w:val="20"/>
        </w:rPr>
        <w:t>Lonsdale</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Thompson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Black</w:t>
      </w:r>
      <w:r>
        <w:rPr>
          <w:rFonts w:ascii="Arial" w:hAnsi="Arial"/>
          <w:i/>
          <w:spacing w:val="-1"/>
          <w:sz w:val="20"/>
        </w:rPr>
        <w:t> </w:t>
      </w:r>
      <w:r>
        <w:rPr>
          <w:rFonts w:ascii="Arial" w:hAnsi="Arial"/>
          <w:i/>
          <w:sz w:val="20"/>
        </w:rPr>
        <w:t>Arrow</w:t>
      </w:r>
      <w:r>
        <w:rPr>
          <w:rFonts w:ascii="Arial" w:hAnsi="Arial"/>
          <w:i/>
          <w:spacing w:val="-1"/>
          <w:sz w:val="20"/>
        </w:rPr>
        <w:t> </w:t>
      </w:r>
      <w:r>
        <w:rPr>
          <w:rFonts w:ascii="Arial" w:hAnsi="Arial"/>
          <w:i/>
          <w:sz w:val="20"/>
        </w:rPr>
        <w:t>Group</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[1993]</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361</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Simon Container Machinery v Emba Machinery [1998] 2 Lloyd’s Rep. 429 </w:t>
      </w:r>
      <w:r>
        <w:rPr>
          <w:sz w:val="20"/>
        </w:rPr>
        <w:t>at 437.</w:t>
      </w:r>
    </w:p>
    <w:p>
      <w:pPr>
        <w:pStyle w:val="BodyText"/>
        <w:spacing w:before="2"/>
      </w:pPr>
    </w:p>
    <w:p>
      <w:pPr>
        <w:pStyle w:val="BodyText"/>
        <w:spacing w:line="235" w:lineRule="auto"/>
        <w:ind w:left="705" w:right="167" w:hanging="541"/>
        <w:jc w:val="both"/>
      </w:pPr>
      <w:bookmarkStart w:name="_bookmark1512" w:id="1514"/>
      <w:bookmarkEnd w:id="1514"/>
      <w:r>
        <w:rPr/>
      </w:r>
      <w:hyperlink w:history="true" w:anchor="_bookmark1452">
        <w:r>
          <w:rPr>
            <w:color w:val="005DA1"/>
            <w:position w:val="5"/>
            <w:sz w:val="14"/>
            <w:u w:val="single" w:color="005DA1"/>
          </w:rPr>
          <w:t>784</w:t>
        </w:r>
      </w:hyperlink>
      <w:r>
        <w:rPr>
          <w:position w:val="5"/>
          <w:sz w:val="14"/>
        </w:rPr>
        <w:t>.</w:t>
      </w:r>
      <w:r>
        <w:rPr>
          <w:spacing w:val="80"/>
          <w:position w:val="5"/>
          <w:sz w:val="14"/>
        </w:rPr>
        <w:t>  </w:t>
      </w:r>
      <w:r>
        <w:rPr/>
        <w:t>Law of Property Act 1925, s.47; for the definition of “property” see ibid. s.205(1)(xx). Cf. </w:t>
      </w:r>
      <w:r>
        <w:rPr/>
        <w:t>also</w:t>
      </w:r>
      <w:r>
        <w:rPr>
          <w:spacing w:val="40"/>
        </w:rPr>
        <w:t> </w:t>
      </w:r>
      <w:r>
        <w:rPr/>
        <w:t>Law of Property Act 1925, s.108 as to the application of insurance money where property is mortgaged. In contracts for the sale of land s.47 of the 1925 Act is commonly excluded by contract: see Law Com. 191 (1990) para.3.2; Standard Conditions of Sale, 5th edition,</w:t>
      </w:r>
      <w:r>
        <w:rPr>
          <w:spacing w:val="40"/>
        </w:rPr>
        <w:t> </w:t>
      </w:r>
      <w:r>
        <w:rPr/>
        <w:t>Condition 5.1.6.</w:t>
      </w:r>
    </w:p>
    <w:p>
      <w:pPr>
        <w:pStyle w:val="BodyText"/>
        <w:spacing w:before="5"/>
      </w:pPr>
    </w:p>
    <w:p>
      <w:pPr>
        <w:pStyle w:val="BodyText"/>
        <w:tabs>
          <w:tab w:pos="705" w:val="left" w:leader="none"/>
        </w:tabs>
        <w:ind w:left="165"/>
      </w:pPr>
      <w:bookmarkStart w:name="_bookmark1513" w:id="1515"/>
      <w:bookmarkEnd w:id="1515"/>
      <w:r>
        <w:rPr/>
      </w:r>
      <w:hyperlink w:history="true" w:anchor="_bookmark1453">
        <w:r>
          <w:rPr>
            <w:color w:val="005DA1"/>
            <w:spacing w:val="-4"/>
            <w:position w:val="5"/>
            <w:sz w:val="14"/>
            <w:u w:val="single" w:color="005DA1"/>
          </w:rPr>
          <w:t>785</w:t>
        </w:r>
      </w:hyperlink>
      <w:r>
        <w:rPr>
          <w:spacing w:val="-4"/>
          <w:position w:val="5"/>
          <w:sz w:val="14"/>
        </w:rPr>
        <w:t>.</w:t>
      </w:r>
      <w:r>
        <w:rPr>
          <w:position w:val="5"/>
          <w:sz w:val="14"/>
        </w:rPr>
        <w:tab/>
      </w:r>
      <w:r>
        <w:rPr/>
        <w:t>Fires Prevention (Metropolis) Act 1774, </w:t>
      </w:r>
      <w:r>
        <w:rPr>
          <w:spacing w:val="-2"/>
        </w:rPr>
        <w:t>s.83.</w:t>
      </w:r>
    </w:p>
    <w:p>
      <w:pPr>
        <w:pStyle w:val="BodyText"/>
        <w:spacing w:before="8"/>
      </w:pPr>
    </w:p>
    <w:p>
      <w:pPr>
        <w:spacing w:line="235" w:lineRule="auto" w:before="1"/>
        <w:ind w:left="705" w:right="168" w:hanging="541"/>
        <w:jc w:val="both"/>
        <w:rPr>
          <w:sz w:val="20"/>
        </w:rPr>
      </w:pPr>
      <w:bookmarkStart w:name="_bookmark1514" w:id="1516"/>
      <w:bookmarkEnd w:id="1516"/>
      <w:r>
        <w:rPr/>
      </w:r>
      <w:hyperlink w:history="true" w:anchor="_bookmark1454">
        <w:r>
          <w:rPr>
            <w:color w:val="005DA1"/>
            <w:position w:val="5"/>
            <w:sz w:val="14"/>
            <w:u w:val="single" w:color="005DA1"/>
          </w:rPr>
          <w:t>786</w:t>
        </w:r>
      </w:hyperlink>
      <w:r>
        <w:rPr>
          <w:position w:val="5"/>
          <w:sz w:val="14"/>
        </w:rPr>
        <w:t>.</w:t>
      </w:r>
      <w:r>
        <w:rPr>
          <w:spacing w:val="80"/>
          <w:position w:val="5"/>
          <w:sz w:val="14"/>
        </w:rPr>
        <w:t>  </w:t>
      </w:r>
      <w:r>
        <w:rPr>
          <w:rFonts w:ascii="Arial"/>
          <w:i/>
          <w:sz w:val="20"/>
        </w:rPr>
        <w:t>Portavon Cinema Co v Price &amp; Century Insurance Co [1939] 4 All E.R. 601</w:t>
      </w:r>
      <w:r>
        <w:rPr>
          <w:sz w:val="20"/>
        </w:rPr>
        <w:t>; </w:t>
      </w:r>
      <w:r>
        <w:rPr>
          <w:rFonts w:ascii="Arial"/>
          <w:i/>
          <w:sz w:val="20"/>
        </w:rPr>
        <w:t>Mark Rowlands </w:t>
      </w:r>
      <w:r>
        <w:rPr>
          <w:rFonts w:ascii="Arial"/>
          <w:i/>
          <w:sz w:val="20"/>
        </w:rPr>
        <w:t>Ltd v</w:t>
      </w:r>
      <w:r>
        <w:rPr>
          <w:rFonts w:ascii="Arial"/>
          <w:i/>
          <w:spacing w:val="-3"/>
          <w:sz w:val="20"/>
        </w:rPr>
        <w:t> </w:t>
      </w:r>
      <w:r>
        <w:rPr>
          <w:rFonts w:ascii="Arial"/>
          <w:i/>
          <w:sz w:val="20"/>
        </w:rPr>
        <w:t>Berni</w:t>
      </w:r>
      <w:r>
        <w:rPr>
          <w:rFonts w:ascii="Arial"/>
          <w:i/>
          <w:spacing w:val="-3"/>
          <w:sz w:val="20"/>
        </w:rPr>
        <w:t> </w:t>
      </w:r>
      <w:r>
        <w:rPr>
          <w:rFonts w:ascii="Arial"/>
          <w:i/>
          <w:sz w:val="20"/>
        </w:rPr>
        <w:t>Inns</w:t>
      </w:r>
      <w:r>
        <w:rPr>
          <w:rFonts w:ascii="Arial"/>
          <w:i/>
          <w:spacing w:val="-3"/>
          <w:sz w:val="20"/>
        </w:rPr>
        <w:t> </w:t>
      </w:r>
      <w:r>
        <w:rPr>
          <w:rFonts w:ascii="Arial"/>
          <w:i/>
          <w:sz w:val="20"/>
        </w:rPr>
        <w:t>Ltd</w:t>
      </w:r>
      <w:r>
        <w:rPr>
          <w:rFonts w:ascii="Arial"/>
          <w:i/>
          <w:spacing w:val="-3"/>
          <w:sz w:val="20"/>
        </w:rPr>
        <w:t> </w:t>
      </w:r>
      <w:r>
        <w:rPr>
          <w:rFonts w:ascii="Arial"/>
          <w:i/>
          <w:sz w:val="20"/>
        </w:rPr>
        <w:t>[1986]</w:t>
      </w:r>
      <w:r>
        <w:rPr>
          <w:rFonts w:ascii="Arial"/>
          <w:i/>
          <w:spacing w:val="-3"/>
          <w:sz w:val="20"/>
        </w:rPr>
        <w:t> </w:t>
      </w:r>
      <w:r>
        <w:rPr>
          <w:rFonts w:ascii="Arial"/>
          <w:i/>
          <w:sz w:val="20"/>
        </w:rPr>
        <w:t>Q.B.</w:t>
      </w:r>
      <w:r>
        <w:rPr>
          <w:rFonts w:ascii="Arial"/>
          <w:i/>
          <w:spacing w:val="-3"/>
          <w:sz w:val="20"/>
        </w:rPr>
        <w:t> </w:t>
      </w:r>
      <w:r>
        <w:rPr>
          <w:rFonts w:ascii="Arial"/>
          <w:i/>
          <w:sz w:val="20"/>
        </w:rPr>
        <w:t>211</w:t>
      </w:r>
      <w:r>
        <w:rPr>
          <w:sz w:val="20"/>
        </w:rPr>
        <w:t>;</w:t>
      </w:r>
      <w:r>
        <w:rPr>
          <w:spacing w:val="-3"/>
          <w:sz w:val="20"/>
        </w:rPr>
        <w:t> </w:t>
      </w:r>
      <w:r>
        <w:rPr>
          <w:rFonts w:ascii="Arial"/>
          <w:i/>
          <w:sz w:val="20"/>
        </w:rPr>
        <w:t>Lonsdale</w:t>
      </w:r>
      <w:r>
        <w:rPr>
          <w:rFonts w:ascii="Arial"/>
          <w:i/>
          <w:spacing w:val="-3"/>
          <w:sz w:val="20"/>
        </w:rPr>
        <w:t> </w:t>
      </w:r>
      <w:r>
        <w:rPr>
          <w:rFonts w:ascii="Arial"/>
          <w:i/>
          <w:sz w:val="20"/>
        </w:rPr>
        <w:t>&amp;</w:t>
      </w:r>
      <w:r>
        <w:rPr>
          <w:rFonts w:ascii="Arial"/>
          <w:i/>
          <w:spacing w:val="-3"/>
          <w:sz w:val="20"/>
        </w:rPr>
        <w:t> </w:t>
      </w:r>
      <w:r>
        <w:rPr>
          <w:rFonts w:ascii="Arial"/>
          <w:i/>
          <w:sz w:val="20"/>
        </w:rPr>
        <w:t>Thompson</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Black</w:t>
      </w:r>
      <w:r>
        <w:rPr>
          <w:rFonts w:ascii="Arial"/>
          <w:i/>
          <w:spacing w:val="-3"/>
          <w:sz w:val="20"/>
        </w:rPr>
        <w:t> </w:t>
      </w:r>
      <w:r>
        <w:rPr>
          <w:rFonts w:ascii="Arial"/>
          <w:i/>
          <w:sz w:val="20"/>
        </w:rPr>
        <w:t>Arrow</w:t>
      </w:r>
      <w:r>
        <w:rPr>
          <w:rFonts w:ascii="Arial"/>
          <w:i/>
          <w:spacing w:val="-3"/>
          <w:sz w:val="20"/>
        </w:rPr>
        <w:t> </w:t>
      </w:r>
      <w:r>
        <w:rPr>
          <w:rFonts w:ascii="Arial"/>
          <w:i/>
          <w:sz w:val="20"/>
        </w:rPr>
        <w:t>Group</w:t>
      </w:r>
      <w:r>
        <w:rPr>
          <w:rFonts w:ascii="Arial"/>
          <w:i/>
          <w:spacing w:val="-3"/>
          <w:sz w:val="20"/>
        </w:rPr>
        <w:t> </w:t>
      </w:r>
      <w:r>
        <w:rPr>
          <w:rFonts w:ascii="Arial"/>
          <w:i/>
          <w:sz w:val="20"/>
        </w:rPr>
        <w:t>plc</w:t>
      </w:r>
      <w:r>
        <w:rPr>
          <w:rFonts w:ascii="Arial"/>
          <w:i/>
          <w:spacing w:val="-3"/>
          <w:sz w:val="20"/>
        </w:rPr>
        <w:t> </w:t>
      </w:r>
      <w:r>
        <w:rPr>
          <w:rFonts w:ascii="Arial"/>
          <w:i/>
          <w:sz w:val="20"/>
        </w:rPr>
        <w:t>[1993]</w:t>
      </w:r>
      <w:r>
        <w:rPr>
          <w:rFonts w:ascii="Arial"/>
          <w:i/>
          <w:spacing w:val="-3"/>
          <w:sz w:val="20"/>
        </w:rPr>
        <w:t> </w:t>
      </w:r>
      <w:r>
        <w:rPr>
          <w:rFonts w:ascii="Arial"/>
          <w:i/>
          <w:sz w:val="20"/>
        </w:rPr>
        <w:t>Ch. </w:t>
      </w:r>
      <w:r>
        <w:rPr>
          <w:rFonts w:ascii="Arial"/>
          <w:i/>
          <w:spacing w:val="-4"/>
          <w:sz w:val="20"/>
        </w:rPr>
        <w:t>361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515" w:id="1517"/>
      <w:bookmarkEnd w:id="1517"/>
      <w:r>
        <w:rPr/>
      </w:r>
      <w:hyperlink w:history="true" w:anchor="_bookmark1455">
        <w:r>
          <w:rPr>
            <w:color w:val="005DA1"/>
            <w:spacing w:val="-4"/>
            <w:position w:val="5"/>
            <w:sz w:val="14"/>
            <w:u w:val="single" w:color="005DA1"/>
          </w:rPr>
          <w:t>787</w:t>
        </w:r>
      </w:hyperlink>
      <w:r>
        <w:rPr>
          <w:spacing w:val="-4"/>
          <w:position w:val="5"/>
          <w:sz w:val="14"/>
        </w:rPr>
        <w:t>.</w:t>
      </w:r>
      <w:r>
        <w:rPr>
          <w:position w:val="5"/>
          <w:sz w:val="14"/>
        </w:rPr>
        <w:tab/>
      </w:r>
      <w:r>
        <w:rPr>
          <w:rFonts w:ascii="Arial"/>
          <w:i/>
          <w:sz w:val="20"/>
        </w:rPr>
        <w:t>Swain v Law Society [1983] 1 A.C. </w:t>
      </w:r>
      <w:r>
        <w:rPr>
          <w:rFonts w:ascii="Arial"/>
          <w:i/>
          <w:spacing w:val="-4"/>
          <w:sz w:val="20"/>
        </w:rPr>
        <w:t>598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516" w:id="1518"/>
      <w:bookmarkEnd w:id="1518"/>
      <w:r>
        <w:rPr/>
      </w:r>
      <w:hyperlink w:history="true" w:anchor="_bookmark1456">
        <w:r>
          <w:rPr>
            <w:color w:val="005DA1"/>
            <w:spacing w:val="-4"/>
            <w:position w:val="5"/>
            <w:sz w:val="14"/>
            <w:u w:val="single" w:color="005DA1"/>
          </w:rPr>
          <w:t>788</w:t>
        </w:r>
      </w:hyperlink>
      <w:r>
        <w:rPr>
          <w:spacing w:val="-4"/>
          <w:position w:val="5"/>
          <w:sz w:val="14"/>
        </w:rPr>
        <w:t>.</w:t>
      </w:r>
      <w:r>
        <w:rPr>
          <w:position w:val="5"/>
          <w:sz w:val="14"/>
        </w:rPr>
        <w:tab/>
      </w:r>
      <w:r>
        <w:rPr>
          <w:sz w:val="20"/>
        </w:rPr>
        <w:t>ibid., at </w:t>
      </w:r>
      <w:r>
        <w:rPr>
          <w:spacing w:val="-4"/>
          <w:sz w:val="20"/>
        </w:rPr>
        <w:t>611.</w:t>
      </w:r>
    </w:p>
    <w:p>
      <w:pPr>
        <w:pStyle w:val="BodyText"/>
        <w:spacing w:before="8"/>
      </w:pPr>
    </w:p>
    <w:p>
      <w:pPr>
        <w:spacing w:line="235" w:lineRule="auto" w:before="0"/>
        <w:ind w:left="705" w:right="167" w:hanging="541"/>
        <w:jc w:val="both"/>
        <w:rPr>
          <w:rFonts w:ascii="Arial" w:hAnsi="Arial"/>
          <w:i/>
          <w:sz w:val="20"/>
        </w:rPr>
      </w:pPr>
      <w:bookmarkStart w:name="_bookmark1517" w:id="1519"/>
      <w:bookmarkEnd w:id="1519"/>
      <w:r>
        <w:rPr/>
      </w:r>
      <w:hyperlink w:history="true" w:anchor="_bookmark1457">
        <w:r>
          <w:rPr>
            <w:color w:val="005DA1"/>
            <w:position w:val="5"/>
            <w:sz w:val="14"/>
            <w:u w:val="single" w:color="005DA1"/>
          </w:rPr>
          <w:t>789</w:t>
        </w:r>
      </w:hyperlink>
      <w:r>
        <w:rPr>
          <w:position w:val="5"/>
          <w:sz w:val="14"/>
        </w:rPr>
        <w:t>.</w:t>
      </w:r>
      <w:r>
        <w:rPr>
          <w:spacing w:val="80"/>
          <w:position w:val="5"/>
          <w:sz w:val="14"/>
        </w:rPr>
        <w:t>  </w:t>
      </w:r>
      <w:r>
        <w:rPr>
          <w:sz w:val="20"/>
        </w:rPr>
        <w:t>See </w:t>
      </w:r>
      <w:r>
        <w:rPr>
          <w:rFonts w:ascii="Arial" w:hAnsi="Arial"/>
          <w:i/>
          <w:sz w:val="20"/>
        </w:rPr>
        <w:t>Socony Mobil Oil Co Inc. v West of England Shipowners’ Mutual Insurance Association (The Padre Island) [1984] 2 Lloyd’s Rep. 408</w:t>
      </w:r>
      <w:r>
        <w:rPr>
          <w:sz w:val="20"/>
        </w:rPr>
        <w:t>; </w:t>
      </w:r>
      <w:r>
        <w:rPr>
          <w:rFonts w:ascii="Arial" w:hAnsi="Arial"/>
          <w:i/>
          <w:sz w:val="20"/>
        </w:rPr>
        <w:t>Normid Housing Association Ltd v R. John</w:t>
      </w:r>
      <w:r>
        <w:rPr>
          <w:rFonts w:ascii="Arial" w:hAnsi="Arial"/>
          <w:i/>
          <w:spacing w:val="40"/>
          <w:sz w:val="20"/>
        </w:rPr>
        <w:t> </w:t>
      </w:r>
      <w:r>
        <w:rPr>
          <w:rFonts w:ascii="Arial" w:hAnsi="Arial"/>
          <w:i/>
          <w:sz w:val="20"/>
        </w:rPr>
        <w:t>Ralphs [1989] 1 Lloyd’s Rep. 265</w:t>
      </w:r>
      <w:r>
        <w:rPr>
          <w:sz w:val="20"/>
        </w:rPr>
        <w:t>; </w:t>
      </w:r>
      <w:r>
        <w:rPr>
          <w:rFonts w:ascii="Arial" w:hAnsi="Arial"/>
          <w:i/>
          <w:sz w:val="20"/>
        </w:rPr>
        <w:t>Bradley v Eagle Star Insurance Co Ltd [1989] A.C. 957 </w:t>
      </w:r>
      <w:r>
        <w:rPr>
          <w:sz w:val="20"/>
        </w:rPr>
        <w:t>(third party unable to sue insurer where insured had gone into liquidation before liability </w:t>
      </w:r>
      <w:r>
        <w:rPr>
          <w:sz w:val="20"/>
        </w:rPr>
        <w:t>was established);</w:t>
      </w:r>
      <w:r>
        <w:rPr>
          <w:spacing w:val="-3"/>
          <w:sz w:val="20"/>
        </w:rPr>
        <w:t> </w:t>
      </w:r>
      <w:r>
        <w:rPr>
          <w:rFonts w:ascii="Arial" w:hAnsi="Arial"/>
          <w:i/>
          <w:sz w:val="20"/>
        </w:rPr>
        <w:t>Duncan</w:t>
      </w:r>
      <w:r>
        <w:rPr>
          <w:rFonts w:ascii="Arial" w:hAnsi="Arial"/>
          <w:i/>
          <w:spacing w:val="-2"/>
          <w:sz w:val="20"/>
        </w:rPr>
        <w:t> </w:t>
      </w:r>
      <w:r>
        <w:rPr>
          <w:rFonts w:ascii="Arial" w:hAnsi="Arial"/>
          <w:i/>
          <w:sz w:val="20"/>
        </w:rPr>
        <w:t>Stevenson</w:t>
      </w:r>
      <w:r>
        <w:rPr>
          <w:rFonts w:ascii="Arial" w:hAnsi="Arial"/>
          <w:i/>
          <w:spacing w:val="-2"/>
          <w:sz w:val="20"/>
        </w:rPr>
        <w:t> </w:t>
      </w:r>
      <w:r>
        <w:rPr>
          <w:rFonts w:ascii="Arial" w:hAnsi="Arial"/>
          <w:i/>
          <w:sz w:val="20"/>
        </w:rPr>
        <w:t>MacMillan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A.W.</w:t>
      </w:r>
      <w:r>
        <w:rPr>
          <w:rFonts w:ascii="Arial" w:hAnsi="Arial"/>
          <w:i/>
          <w:spacing w:val="-2"/>
          <w:sz w:val="20"/>
        </w:rPr>
        <w:t> </w:t>
      </w:r>
      <w:r>
        <w:rPr>
          <w:rFonts w:ascii="Arial" w:hAnsi="Arial"/>
          <w:i/>
          <w:sz w:val="20"/>
        </w:rPr>
        <w:t>Knott</w:t>
      </w:r>
      <w:r>
        <w:rPr>
          <w:rFonts w:ascii="Arial" w:hAnsi="Arial"/>
          <w:i/>
          <w:spacing w:val="-2"/>
          <w:sz w:val="20"/>
        </w:rPr>
        <w:t> </w:t>
      </w:r>
      <w:r>
        <w:rPr>
          <w:rFonts w:ascii="Arial" w:hAnsi="Arial"/>
          <w:i/>
          <w:sz w:val="20"/>
        </w:rPr>
        <w:t>Becker</w:t>
      </w:r>
      <w:r>
        <w:rPr>
          <w:rFonts w:ascii="Arial" w:hAnsi="Arial"/>
          <w:i/>
          <w:spacing w:val="-2"/>
          <w:sz w:val="20"/>
        </w:rPr>
        <w:t> </w:t>
      </w:r>
      <w:r>
        <w:rPr>
          <w:rFonts w:ascii="Arial" w:hAnsi="Arial"/>
          <w:i/>
          <w:sz w:val="20"/>
        </w:rPr>
        <w:t>Scott</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[1990]</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 98</w:t>
      </w:r>
      <w:r>
        <w:rPr>
          <w:sz w:val="20"/>
        </w:rPr>
        <w:t>; </w:t>
      </w:r>
      <w:r>
        <w:rPr>
          <w:rFonts w:ascii="Arial" w:hAnsi="Arial"/>
          <w:i/>
          <w:sz w:val="20"/>
        </w:rPr>
        <w:t>Lefevre v White [1990] 1 Lloyd’s Rep. 569, 577</w:t>
      </w:r>
      <w:r>
        <w:rPr>
          <w:sz w:val="20"/>
        </w:rPr>
        <w:t>; </w:t>
      </w:r>
      <w:r>
        <w:rPr>
          <w:rFonts w:ascii="Arial" w:hAnsi="Arial"/>
          <w:i/>
          <w:sz w:val="20"/>
        </w:rPr>
        <w:t>Firma C-Trade SA v Newcastle Protection and Indemnity Association (The Fanti and The Padre Island) [1991] 2 A.C. 1</w:t>
      </w:r>
      <w:r>
        <w:rPr>
          <w:sz w:val="20"/>
        </w:rPr>
        <w:t>; </w:t>
      </w:r>
      <w:r>
        <w:rPr>
          <w:rFonts w:ascii="Arial" w:hAnsi="Arial"/>
          <w:i/>
          <w:sz w:val="20"/>
        </w:rPr>
        <w:t>Cox v Bankside [1995] 2 Lloyd’s Rep. 437, 457, 466–467</w:t>
      </w:r>
      <w:r>
        <w:rPr>
          <w:sz w:val="20"/>
        </w:rPr>
        <w:t>; </w:t>
      </w:r>
      <w:r>
        <w:rPr>
          <w:rFonts w:ascii="Arial" w:hAnsi="Arial"/>
          <w:i/>
          <w:sz w:val="20"/>
        </w:rPr>
        <w:t>Schiffahrtsgesellschaft Detlev von Appen v Voest Alpine Intertrading G.m.b.H. [1997] 1 Lloyd’s Rep. 179, 187</w:t>
      </w:r>
      <w:r>
        <w:rPr>
          <w:sz w:val="20"/>
        </w:rPr>
        <w:t>; </w:t>
      </w:r>
      <w:r>
        <w:rPr>
          <w:rFonts w:ascii="Arial" w:hAnsi="Arial"/>
          <w:i/>
          <w:sz w:val="20"/>
        </w:rPr>
        <w:t>Total Graphics Ltd v A.G.F. Insurance Ltd [1997] 1 Lloyd’s Rep. 599</w:t>
      </w:r>
      <w:r>
        <w:rPr>
          <w:sz w:val="20"/>
        </w:rPr>
        <w:t>; </w:t>
      </w:r>
      <w:r>
        <w:rPr>
          <w:rFonts w:ascii="Arial" w:hAnsi="Arial"/>
          <w:i/>
          <w:sz w:val="20"/>
        </w:rPr>
        <w:t>William McIlroy (Swindon) Ltd v Quinn [2011] EWCA Civ</w:t>
      </w:r>
      <w:r>
        <w:rPr>
          <w:rFonts w:ascii="Arial" w:hAnsi="Arial"/>
          <w:i/>
          <w:spacing w:val="-2"/>
          <w:sz w:val="20"/>
        </w:rPr>
        <w:t> </w:t>
      </w:r>
      <w:r>
        <w:rPr>
          <w:rFonts w:ascii="Arial" w:hAnsi="Arial"/>
          <w:i/>
          <w:sz w:val="20"/>
        </w:rPr>
        <w:t>825,</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12</w:t>
      </w:r>
      <w:r>
        <w:rPr>
          <w:rFonts w:ascii="Arial" w:hAnsi="Arial"/>
          <w:i/>
          <w:spacing w:val="-2"/>
          <w:sz w:val="20"/>
        </w:rPr>
        <w:t> </w:t>
      </w:r>
      <w:r>
        <w:rPr>
          <w:sz w:val="20"/>
        </w:rPr>
        <w:t>at</w:t>
      </w:r>
      <w:r>
        <w:rPr>
          <w:spacing w:val="-2"/>
          <w:sz w:val="20"/>
        </w:rPr>
        <w:t> </w:t>
      </w:r>
      <w:r>
        <w:rPr>
          <w:sz w:val="20"/>
        </w:rPr>
        <w:t>[6],</w:t>
      </w:r>
      <w:r>
        <w:rPr>
          <w:spacing w:val="-2"/>
          <w:sz w:val="20"/>
        </w:rPr>
        <w:t> </w:t>
      </w:r>
      <w:r>
        <w:rPr>
          <w:sz w:val="20"/>
        </w:rPr>
        <w:t>[24]</w:t>
      </w:r>
      <w:r>
        <w:rPr>
          <w:spacing w:val="-2"/>
          <w:sz w:val="20"/>
        </w:rPr>
        <w:t> </w:t>
      </w:r>
      <w:r>
        <w:rPr>
          <w:sz w:val="20"/>
        </w:rPr>
        <w:t>(where</w:t>
      </w:r>
      <w:r>
        <w:rPr>
          <w:spacing w:val="-2"/>
          <w:sz w:val="20"/>
        </w:rPr>
        <w:t> </w:t>
      </w:r>
      <w:r>
        <w:rPr>
          <w:sz w:val="20"/>
        </w:rPr>
        <w:t>the</w:t>
      </w:r>
      <w:r>
        <w:rPr>
          <w:spacing w:val="-2"/>
          <w:sz w:val="20"/>
        </w:rPr>
        <w:t> </w:t>
      </w:r>
      <w:r>
        <w:rPr>
          <w:sz w:val="20"/>
        </w:rPr>
        <w:t>issue</w:t>
      </w:r>
      <w:r>
        <w:rPr>
          <w:spacing w:val="-2"/>
          <w:sz w:val="20"/>
        </w:rPr>
        <w:t> </w:t>
      </w:r>
      <w:r>
        <w:rPr>
          <w:sz w:val="20"/>
        </w:rPr>
        <w:t>was</w:t>
      </w:r>
      <w:r>
        <w:rPr>
          <w:spacing w:val="-2"/>
          <w:sz w:val="20"/>
        </w:rPr>
        <w:t> </w:t>
      </w:r>
      <w:r>
        <w:rPr>
          <w:sz w:val="20"/>
        </w:rPr>
        <w:t>not</w:t>
      </w:r>
      <w:r>
        <w:rPr>
          <w:spacing w:val="-2"/>
          <w:sz w:val="20"/>
        </w:rPr>
        <w:t> </w:t>
      </w:r>
      <w:r>
        <w:rPr>
          <w:sz w:val="20"/>
        </w:rPr>
        <w:t>whether</w:t>
      </w:r>
      <w:r>
        <w:rPr>
          <w:spacing w:val="-2"/>
          <w:sz w:val="20"/>
        </w:rPr>
        <w:t> </w:t>
      </w:r>
      <w:r>
        <w:rPr>
          <w:sz w:val="20"/>
        </w:rPr>
        <w:t>the</w:t>
      </w:r>
      <w:r>
        <w:rPr>
          <w:spacing w:val="-2"/>
          <w:sz w:val="20"/>
        </w:rPr>
        <w:t> </w:t>
      </w:r>
      <w:r>
        <w:rPr>
          <w:sz w:val="20"/>
        </w:rPr>
        <w:t>insured’s rights had </w:t>
      </w:r>
      <w:r>
        <w:rPr>
          <w:rFonts w:ascii="Arial" w:hAnsi="Arial"/>
          <w:i/>
          <w:sz w:val="20"/>
        </w:rPr>
        <w:t>accrued</w:t>
      </w:r>
      <w:r>
        <w:rPr>
          <w:sz w:val="20"/>
        </w:rPr>
        <w:t>, but whether they had been </w:t>
      </w:r>
      <w:r>
        <w:rPr>
          <w:rFonts w:ascii="Arial" w:hAnsi="Arial"/>
          <w:i/>
          <w:sz w:val="20"/>
        </w:rPr>
        <w:t>barred </w:t>
      </w:r>
      <w:r>
        <w:rPr>
          <w:sz w:val="20"/>
        </w:rPr>
        <w:t>by lapse of time). cf. </w:t>
      </w:r>
      <w:r>
        <w:rPr>
          <w:rFonts w:ascii="Arial" w:hAnsi="Arial"/>
          <w:i/>
          <w:sz w:val="20"/>
        </w:rPr>
        <w:t>Eagle Star Insurance Co Ltd v Provincial Insurance plc [1994] A.C. 130</w:t>
      </w:r>
      <w:r>
        <w:rPr>
          <w:sz w:val="20"/>
        </w:rPr>
        <w:t>, where the issue of contribution between insurers arose under legislation in force in the Bahamas giving third parties direct</w:t>
      </w:r>
      <w:r>
        <w:rPr>
          <w:spacing w:val="40"/>
          <w:sz w:val="20"/>
        </w:rPr>
        <w:t> </w:t>
      </w:r>
      <w:r>
        <w:rPr>
          <w:sz w:val="20"/>
        </w:rPr>
        <w:t>rights against insurers; </w:t>
      </w:r>
      <w:r>
        <w:rPr>
          <w:rFonts w:ascii="Arial" w:hAnsi="Arial"/>
          <w:i/>
          <w:sz w:val="20"/>
        </w:rPr>
        <w:t>Charlton v Fisher [2001] EWCA Civ 112; [2002] Q.B. 578 </w:t>
      </w:r>
      <w:r>
        <w:rPr>
          <w:sz w:val="20"/>
        </w:rPr>
        <w:t>at [96] (third party has no claim under the 1930 Act where the insured’s claim against the insurer would fail on grounds of public policy since “as statutory assignee under the 1930 Act the third party simply stands in the shoes of the insured”); </w:t>
      </w:r>
      <w:r>
        <w:rPr>
          <w:rFonts w:ascii="Arial" w:hAnsi="Arial"/>
          <w:i/>
          <w:sz w:val="20"/>
        </w:rPr>
        <w:t>Matadeen v Caribbean Insurance Co Ltd [2002] UKPC 69, The Times January 20, 2003 </w:t>
      </w:r>
      <w:r>
        <w:rPr>
          <w:sz w:val="20"/>
        </w:rPr>
        <w:t>(third party subject to same period of limitation as insured).</w:t>
      </w:r>
      <w:r>
        <w:rPr>
          <w:spacing w:val="-1"/>
          <w:sz w:val="20"/>
        </w:rPr>
        <w:t> </w:t>
      </w:r>
      <w:r>
        <w:rPr>
          <w:sz w:val="20"/>
        </w:rPr>
        <w:t>For</w:t>
      </w:r>
      <w:r>
        <w:rPr>
          <w:spacing w:val="-1"/>
          <w:sz w:val="20"/>
        </w:rPr>
        <w:t> </w:t>
      </w:r>
      <w:r>
        <w:rPr>
          <w:sz w:val="20"/>
        </w:rPr>
        <w:t>conflicting</w:t>
      </w:r>
      <w:r>
        <w:rPr>
          <w:spacing w:val="-1"/>
          <w:sz w:val="20"/>
        </w:rPr>
        <w:t> </w:t>
      </w:r>
      <w:r>
        <w:rPr>
          <w:sz w:val="20"/>
        </w:rPr>
        <w:t>views</w:t>
      </w:r>
      <w:r>
        <w:rPr>
          <w:spacing w:val="-1"/>
          <w:sz w:val="20"/>
        </w:rPr>
        <w:t> </w:t>
      </w:r>
      <w:r>
        <w:rPr>
          <w:sz w:val="20"/>
        </w:rPr>
        <w:t>on</w:t>
      </w:r>
      <w:r>
        <w:rPr>
          <w:spacing w:val="-1"/>
          <w:sz w:val="20"/>
        </w:rPr>
        <w:t> </w:t>
      </w:r>
      <w:r>
        <w:rPr>
          <w:sz w:val="20"/>
        </w:rPr>
        <w:t>the</w:t>
      </w:r>
      <w:r>
        <w:rPr>
          <w:spacing w:val="-1"/>
          <w:sz w:val="20"/>
        </w:rPr>
        <w:t> </w:t>
      </w:r>
      <w:r>
        <w:rPr>
          <w:sz w:val="20"/>
        </w:rPr>
        <w:t>question</w:t>
      </w:r>
      <w:r>
        <w:rPr>
          <w:spacing w:val="-1"/>
          <w:sz w:val="20"/>
        </w:rPr>
        <w:t> </w:t>
      </w:r>
      <w:r>
        <w:rPr>
          <w:sz w:val="20"/>
        </w:rPr>
        <w:t>whether</w:t>
      </w:r>
      <w:r>
        <w:rPr>
          <w:spacing w:val="-1"/>
          <w:sz w:val="20"/>
        </w:rPr>
        <w:t> </w:t>
      </w:r>
      <w:r>
        <w:rPr>
          <w:sz w:val="20"/>
        </w:rPr>
        <w:t>the</w:t>
      </w:r>
      <w:r>
        <w:rPr>
          <w:spacing w:val="-1"/>
          <w:sz w:val="20"/>
        </w:rPr>
        <w:t> </w:t>
      </w:r>
      <w:r>
        <w:rPr>
          <w:sz w:val="20"/>
        </w:rPr>
        <w:t>third</w:t>
      </w:r>
      <w:r>
        <w:rPr>
          <w:spacing w:val="-1"/>
          <w:sz w:val="20"/>
        </w:rPr>
        <w:t> </w:t>
      </w:r>
      <w:r>
        <w:rPr>
          <w:sz w:val="20"/>
        </w:rPr>
        <w:t>party</w:t>
      </w:r>
      <w:r>
        <w:rPr>
          <w:spacing w:val="-1"/>
          <w:sz w:val="20"/>
        </w:rPr>
        <w:t> </w:t>
      </w:r>
      <w:r>
        <w:rPr>
          <w:sz w:val="20"/>
        </w:rPr>
        <w:t>had</w:t>
      </w:r>
      <w:r>
        <w:rPr>
          <w:spacing w:val="-1"/>
          <w:sz w:val="20"/>
        </w:rPr>
        <w:t> </w:t>
      </w:r>
      <w:r>
        <w:rPr>
          <w:sz w:val="20"/>
        </w:rPr>
        <w:t>any</w:t>
      </w:r>
      <w:r>
        <w:rPr>
          <w:spacing w:val="-1"/>
          <w:sz w:val="20"/>
        </w:rPr>
        <w:t> </w:t>
      </w:r>
      <w:r>
        <w:rPr>
          <w:sz w:val="20"/>
        </w:rPr>
        <w:t>right</w:t>
      </w:r>
      <w:r>
        <w:rPr>
          <w:spacing w:val="-1"/>
          <w:sz w:val="20"/>
        </w:rPr>
        <w:t> </w:t>
      </w:r>
      <w:r>
        <w:rPr>
          <w:sz w:val="20"/>
        </w:rPr>
        <w:t>under</w:t>
      </w:r>
      <w:r>
        <w:rPr>
          <w:spacing w:val="-1"/>
          <w:sz w:val="20"/>
        </w:rPr>
        <w:t> </w:t>
      </w:r>
      <w:r>
        <w:rPr>
          <w:sz w:val="20"/>
        </w:rPr>
        <w:t>s.1(3) before</w:t>
      </w:r>
      <w:r>
        <w:rPr>
          <w:spacing w:val="27"/>
          <w:sz w:val="20"/>
        </w:rPr>
        <w:t> </w:t>
      </w:r>
      <w:r>
        <w:rPr>
          <w:sz w:val="20"/>
        </w:rPr>
        <w:t>the</w:t>
      </w:r>
      <w:r>
        <w:rPr>
          <w:spacing w:val="27"/>
          <w:sz w:val="20"/>
        </w:rPr>
        <w:t> </w:t>
      </w:r>
      <w:r>
        <w:rPr>
          <w:sz w:val="20"/>
        </w:rPr>
        <w:t>insured’s</w:t>
      </w:r>
      <w:r>
        <w:rPr>
          <w:spacing w:val="27"/>
          <w:sz w:val="20"/>
        </w:rPr>
        <w:t> </w:t>
      </w:r>
      <w:r>
        <w:rPr>
          <w:sz w:val="20"/>
        </w:rPr>
        <w:t>liability</w:t>
      </w:r>
      <w:r>
        <w:rPr>
          <w:spacing w:val="27"/>
          <w:sz w:val="20"/>
        </w:rPr>
        <w:t> </w:t>
      </w:r>
      <w:r>
        <w:rPr>
          <w:sz w:val="20"/>
        </w:rPr>
        <w:t>to</w:t>
      </w:r>
      <w:r>
        <w:rPr>
          <w:spacing w:val="27"/>
          <w:sz w:val="20"/>
        </w:rPr>
        <w:t> </w:t>
      </w:r>
      <w:r>
        <w:rPr>
          <w:sz w:val="20"/>
        </w:rPr>
        <w:t>the</w:t>
      </w:r>
      <w:r>
        <w:rPr>
          <w:spacing w:val="27"/>
          <w:sz w:val="20"/>
        </w:rPr>
        <w:t> </w:t>
      </w:r>
      <w:r>
        <w:rPr>
          <w:sz w:val="20"/>
        </w:rPr>
        <w:t>third</w:t>
      </w:r>
      <w:r>
        <w:rPr>
          <w:spacing w:val="27"/>
          <w:sz w:val="20"/>
        </w:rPr>
        <w:t> </w:t>
      </w:r>
      <w:r>
        <w:rPr>
          <w:sz w:val="20"/>
        </w:rPr>
        <w:t>party</w:t>
      </w:r>
      <w:r>
        <w:rPr>
          <w:spacing w:val="27"/>
          <w:sz w:val="20"/>
        </w:rPr>
        <w:t> </w:t>
      </w:r>
      <w:r>
        <w:rPr>
          <w:sz w:val="20"/>
        </w:rPr>
        <w:t>had</w:t>
      </w:r>
      <w:r>
        <w:rPr>
          <w:spacing w:val="27"/>
          <w:sz w:val="20"/>
        </w:rPr>
        <w:t> </w:t>
      </w:r>
      <w:r>
        <w:rPr>
          <w:sz w:val="20"/>
        </w:rPr>
        <w:t>been</w:t>
      </w:r>
      <w:r>
        <w:rPr>
          <w:spacing w:val="27"/>
          <w:sz w:val="20"/>
        </w:rPr>
        <w:t> </w:t>
      </w:r>
      <w:r>
        <w:rPr>
          <w:sz w:val="20"/>
        </w:rPr>
        <w:t>established,</w:t>
      </w:r>
      <w:r>
        <w:rPr>
          <w:spacing w:val="27"/>
          <w:sz w:val="20"/>
        </w:rPr>
        <w:t> </w:t>
      </w:r>
      <w:r>
        <w:rPr>
          <w:sz w:val="20"/>
        </w:rPr>
        <w:t>contrast</w:t>
      </w:r>
      <w:r>
        <w:rPr>
          <w:spacing w:val="26"/>
          <w:sz w:val="20"/>
        </w:rPr>
        <w:t> </w:t>
      </w:r>
      <w:r>
        <w:rPr>
          <w:rFonts w:ascii="Arial" w:hAnsi="Arial"/>
          <w:i/>
          <w:sz w:val="20"/>
        </w:rPr>
        <w:t>Nigel</w:t>
      </w:r>
      <w:r>
        <w:rPr>
          <w:rFonts w:ascii="Arial" w:hAnsi="Arial"/>
          <w:i/>
          <w:spacing w:val="27"/>
          <w:sz w:val="20"/>
        </w:rPr>
        <w:t> </w:t>
      </w:r>
      <w:r>
        <w:rPr>
          <w:rFonts w:ascii="Arial" w:hAnsi="Arial"/>
          <w:i/>
          <w:spacing w:val="-2"/>
          <w:sz w:val="20"/>
        </w:rPr>
        <w:t>Upchurch</w:t>
      </w:r>
    </w:p>
    <w:p>
      <w:pPr>
        <w:spacing w:after="0" w:line="235" w:lineRule="auto"/>
        <w:jc w:val="both"/>
        <w:rPr>
          <w:rFonts w:ascii="Arial" w:hAnsi="Arial"/>
          <w:i/>
          <w:sz w:val="20"/>
        </w:rPr>
        <w:sectPr>
          <w:pgSz w:w="11900" w:h="16840"/>
          <w:pgMar w:header="971" w:footer="0" w:top="1160" w:bottom="280" w:left="1275" w:right="1275"/>
        </w:sectPr>
      </w:pPr>
    </w:p>
    <w:p>
      <w:pPr>
        <w:pStyle w:val="BodyText"/>
        <w:spacing w:before="24"/>
        <w:rPr>
          <w:rFonts w:ascii="Arial"/>
          <w:i/>
        </w:rPr>
      </w:pPr>
    </w:p>
    <w:p>
      <w:pPr>
        <w:spacing w:line="235" w:lineRule="auto" w:before="1"/>
        <w:ind w:left="705" w:right="167" w:firstLine="0"/>
        <w:jc w:val="both"/>
        <w:rPr>
          <w:sz w:val="20"/>
        </w:rPr>
      </w:pPr>
      <w:r>
        <w:rPr>
          <w:rFonts w:ascii="Arial" w:hAnsi="Arial"/>
          <w:i/>
          <w:sz w:val="20"/>
        </w:rPr>
        <w:t>Associates v Aldridge Estates Investment Co Ltd [1993] 1 Lloyd’s Rep. 533 </w:t>
      </w:r>
      <w:r>
        <w:rPr>
          <w:sz w:val="20"/>
        </w:rPr>
        <w:t>(no such right) </w:t>
      </w:r>
      <w:r>
        <w:rPr>
          <w:sz w:val="20"/>
        </w:rPr>
        <w:t>with </w:t>
      </w:r>
      <w:r>
        <w:rPr>
          <w:rFonts w:ascii="Arial" w:hAnsi="Arial"/>
          <w:i/>
          <w:sz w:val="20"/>
        </w:rPr>
        <w:t>Centre Reinsurance International Co v Curzon International Ltd [2004] EWHC 200 (Ch), [2004] 2 All E.R. (Comm) 28 </w:t>
      </w:r>
      <w:r>
        <w:rPr>
          <w:sz w:val="20"/>
        </w:rPr>
        <w:t>(such a right can rise “notwithstanding that the insured’s liability to the third party has yet to be established” (at [29]). The </w:t>
      </w:r>
      <w:r>
        <w:rPr>
          <w:rFonts w:ascii="Arial" w:hAnsi="Arial"/>
          <w:i/>
          <w:sz w:val="20"/>
        </w:rPr>
        <w:t>Centre Reinsurance </w:t>
      </w:r>
      <w:r>
        <w:rPr>
          <w:sz w:val="20"/>
        </w:rPr>
        <w:t>case was varied on appeal, but not on the point here under discussion: [2005] EWCA Civ 115, </w:t>
      </w:r>
      <w:r>
        <w:rPr>
          <w:rFonts w:ascii="Arial" w:hAnsi="Arial"/>
          <w:i/>
          <w:sz w:val="20"/>
        </w:rPr>
        <w:t>[2005] 2 All E.R. (Comm) 28</w:t>
      </w:r>
      <w:r>
        <w:rPr>
          <w:sz w:val="20"/>
        </w:rPr>
        <w:t>, where it was also held that s.1(3) was not intended to strike down provisions in the insurance contract itself which were designed to put the third party into a better position than that in which the insured would have been immediately before the statutory transfer of the insured’s</w:t>
      </w:r>
      <w:r>
        <w:rPr>
          <w:spacing w:val="-1"/>
          <w:sz w:val="20"/>
        </w:rPr>
        <w:t> </w:t>
      </w:r>
      <w:r>
        <w:rPr>
          <w:sz w:val="20"/>
        </w:rPr>
        <w:t>rights</w:t>
      </w:r>
      <w:r>
        <w:rPr>
          <w:spacing w:val="-1"/>
          <w:sz w:val="20"/>
        </w:rPr>
        <w:t> </w:t>
      </w:r>
      <w:r>
        <w:rPr>
          <w:sz w:val="20"/>
        </w:rPr>
        <w:t>to</w:t>
      </w:r>
      <w:r>
        <w:rPr>
          <w:spacing w:val="-1"/>
          <w:sz w:val="20"/>
        </w:rPr>
        <w:t> </w:t>
      </w:r>
      <w:r>
        <w:rPr>
          <w:sz w:val="20"/>
        </w:rPr>
        <w:t>the</w:t>
      </w:r>
      <w:r>
        <w:rPr>
          <w:spacing w:val="-1"/>
          <w:sz w:val="20"/>
        </w:rPr>
        <w:t> </w:t>
      </w:r>
      <w:r>
        <w:rPr>
          <w:sz w:val="20"/>
        </w:rPr>
        <w:t>third</w:t>
      </w:r>
      <w:r>
        <w:rPr>
          <w:spacing w:val="-1"/>
          <w:sz w:val="20"/>
        </w:rPr>
        <w:t> </w:t>
      </w:r>
      <w:r>
        <w:rPr>
          <w:sz w:val="20"/>
        </w:rPr>
        <w:t>party</w:t>
      </w:r>
      <w:r>
        <w:rPr>
          <w:spacing w:val="-1"/>
          <w:sz w:val="20"/>
        </w:rPr>
        <w:t> </w:t>
      </w:r>
      <w:r>
        <w:rPr>
          <w:sz w:val="20"/>
        </w:rPr>
        <w:t>(at</w:t>
      </w:r>
      <w:r>
        <w:rPr>
          <w:spacing w:val="-1"/>
          <w:sz w:val="20"/>
        </w:rPr>
        <w:t> </w:t>
      </w:r>
      <w:r>
        <w:rPr>
          <w:sz w:val="20"/>
        </w:rPr>
        <w:t>[83]).</w:t>
      </w:r>
      <w:r>
        <w:rPr>
          <w:spacing w:val="-1"/>
          <w:sz w:val="20"/>
        </w:rPr>
        <w:t> </w:t>
      </w:r>
      <w:r>
        <w:rPr>
          <w:sz w:val="20"/>
        </w:rPr>
        <w:t>On</w:t>
      </w:r>
      <w:r>
        <w:rPr>
          <w:spacing w:val="-1"/>
          <w:sz w:val="20"/>
        </w:rPr>
        <w:t> </w:t>
      </w:r>
      <w:r>
        <w:rPr>
          <w:sz w:val="20"/>
        </w:rPr>
        <w:t>further</w:t>
      </w:r>
      <w:r>
        <w:rPr>
          <w:spacing w:val="-1"/>
          <w:sz w:val="20"/>
        </w:rPr>
        <w:t> </w:t>
      </w:r>
      <w:r>
        <w:rPr>
          <w:sz w:val="20"/>
        </w:rPr>
        <w:t>appeal,</w:t>
      </w:r>
      <w:r>
        <w:rPr>
          <w:spacing w:val="-1"/>
          <w:sz w:val="20"/>
        </w:rPr>
        <w:t> </w:t>
      </w:r>
      <w:r>
        <w:rPr>
          <w:sz w:val="20"/>
        </w:rPr>
        <w:t>the</w:t>
      </w:r>
      <w:r>
        <w:rPr>
          <w:spacing w:val="-1"/>
          <w:sz w:val="20"/>
        </w:rPr>
        <w:t> </w:t>
      </w:r>
      <w:r>
        <w:rPr>
          <w:sz w:val="20"/>
        </w:rPr>
        <w:t>decision</w:t>
      </w:r>
      <w:r>
        <w:rPr>
          <w:spacing w:val="-1"/>
          <w:sz w:val="20"/>
        </w:rPr>
        <w:t> </w:t>
      </w:r>
      <w:r>
        <w:rPr>
          <w:sz w:val="20"/>
        </w:rPr>
        <w:t>of</w:t>
      </w:r>
      <w:r>
        <w:rPr>
          <w:spacing w:val="-1"/>
          <w:sz w:val="20"/>
        </w:rPr>
        <w:t> </w:t>
      </w:r>
      <w:r>
        <w:rPr>
          <w:sz w:val="20"/>
        </w:rPr>
        <w:t>the</w:t>
      </w:r>
      <w:r>
        <w:rPr>
          <w:spacing w:val="-1"/>
          <w:sz w:val="20"/>
        </w:rPr>
        <w:t> </w:t>
      </w:r>
      <w:r>
        <w:rPr>
          <w:sz w:val="20"/>
        </w:rPr>
        <w:t>Court</w:t>
      </w:r>
      <w:r>
        <w:rPr>
          <w:spacing w:val="-1"/>
          <w:sz w:val="20"/>
        </w:rPr>
        <w:t> </w:t>
      </w:r>
      <w:r>
        <w:rPr>
          <w:sz w:val="20"/>
        </w:rPr>
        <w:t>of</w:t>
      </w:r>
      <w:r>
        <w:rPr>
          <w:spacing w:val="-1"/>
          <w:sz w:val="20"/>
        </w:rPr>
        <w:t> </w:t>
      </w:r>
      <w:r>
        <w:rPr>
          <w:sz w:val="20"/>
        </w:rPr>
        <w:t>Appeal was reversed(</w:t>
      </w:r>
      <w:r>
        <w:rPr>
          <w:rFonts w:ascii="Arial" w:hAnsi="Arial"/>
          <w:i/>
          <w:sz w:val="20"/>
        </w:rPr>
        <w:t>[2006] UKHL 45, [2006] 1 W.L.R. 2863</w:t>
      </w:r>
      <w:r>
        <w:rPr>
          <w:sz w:val="20"/>
        </w:rPr>
        <w:t>), but not on the points here under discussion. See also </w:t>
      </w:r>
      <w:r>
        <w:rPr>
          <w:rFonts w:ascii="Arial" w:hAnsi="Arial"/>
          <w:i/>
          <w:sz w:val="20"/>
        </w:rPr>
        <w:t>Re T &amp; N Ltd (No.3) [2003] EWHC 1447 (Ch), [2007] 1 All E.R. (Comm) 851</w:t>
      </w:r>
      <w:r>
        <w:rPr>
          <w:rFonts w:ascii="Arial" w:hAnsi="Arial"/>
          <w:i/>
          <w:spacing w:val="-1"/>
          <w:sz w:val="20"/>
        </w:rPr>
        <w:t> </w:t>
      </w:r>
      <w:r>
        <w:rPr>
          <w:sz w:val="20"/>
        </w:rPr>
        <w:t>at</w:t>
      </w:r>
      <w:r>
        <w:rPr>
          <w:spacing w:val="-1"/>
          <w:sz w:val="20"/>
        </w:rPr>
        <w:t> </w:t>
      </w:r>
      <w:r>
        <w:rPr>
          <w:sz w:val="20"/>
        </w:rPr>
        <w:t>[30]–[33],</w:t>
      </w:r>
      <w:r>
        <w:rPr>
          <w:spacing w:val="-1"/>
          <w:sz w:val="20"/>
        </w:rPr>
        <w:t> </w:t>
      </w:r>
      <w:r>
        <w:rPr>
          <w:sz w:val="20"/>
        </w:rPr>
        <w:t>distinguishing</w:t>
      </w:r>
      <w:r>
        <w:rPr>
          <w:spacing w:val="-1"/>
          <w:sz w:val="20"/>
        </w:rPr>
        <w:t> </w:t>
      </w:r>
      <w:r>
        <w:rPr>
          <w:sz w:val="20"/>
        </w:rPr>
        <w:t>between</w:t>
      </w:r>
      <w:r>
        <w:rPr>
          <w:spacing w:val="-1"/>
          <w:sz w:val="20"/>
        </w:rPr>
        <w:t> </w:t>
      </w:r>
      <w:r>
        <w:rPr>
          <w:sz w:val="20"/>
        </w:rPr>
        <w:t>(a)</w:t>
      </w:r>
      <w:r>
        <w:rPr>
          <w:spacing w:val="-1"/>
          <w:sz w:val="20"/>
        </w:rPr>
        <w:t> </w:t>
      </w:r>
      <w:r>
        <w:rPr>
          <w:sz w:val="20"/>
        </w:rPr>
        <w:t>the</w:t>
      </w:r>
      <w:r>
        <w:rPr>
          <w:spacing w:val="-1"/>
          <w:sz w:val="20"/>
        </w:rPr>
        <w:t> </w:t>
      </w:r>
      <w:r>
        <w:rPr>
          <w:sz w:val="20"/>
        </w:rPr>
        <w:t>rule</w:t>
      </w:r>
      <w:r>
        <w:rPr>
          <w:spacing w:val="-1"/>
          <w:sz w:val="20"/>
        </w:rPr>
        <w:t> </w:t>
      </w:r>
      <w:r>
        <w:rPr>
          <w:sz w:val="20"/>
        </w:rPr>
        <w:t>that</w:t>
      </w:r>
      <w:r>
        <w:rPr>
          <w:spacing w:val="-1"/>
          <w:sz w:val="20"/>
        </w:rPr>
        <w:t> </w:t>
      </w:r>
      <w:r>
        <w:rPr>
          <w:sz w:val="20"/>
        </w:rPr>
        <w:t>only</w:t>
      </w:r>
      <w:r>
        <w:rPr>
          <w:spacing w:val="-1"/>
          <w:sz w:val="20"/>
        </w:rPr>
        <w:t> </w:t>
      </w:r>
      <w:r>
        <w:rPr>
          <w:sz w:val="20"/>
        </w:rPr>
        <w:t>those</w:t>
      </w:r>
      <w:r>
        <w:rPr>
          <w:spacing w:val="-1"/>
          <w:sz w:val="20"/>
        </w:rPr>
        <w:t> </w:t>
      </w:r>
      <w:r>
        <w:rPr>
          <w:sz w:val="20"/>
        </w:rPr>
        <w:t>rights</w:t>
      </w:r>
      <w:r>
        <w:rPr>
          <w:spacing w:val="-1"/>
          <w:sz w:val="20"/>
        </w:rPr>
        <w:t> </w:t>
      </w:r>
      <w:r>
        <w:rPr>
          <w:sz w:val="20"/>
        </w:rPr>
        <w:t>which</w:t>
      </w:r>
      <w:r>
        <w:rPr>
          <w:spacing w:val="-1"/>
          <w:sz w:val="20"/>
        </w:rPr>
        <w:t> </w:t>
      </w:r>
      <w:r>
        <w:rPr>
          <w:sz w:val="20"/>
        </w:rPr>
        <w:t>the</w:t>
      </w:r>
      <w:r>
        <w:rPr>
          <w:spacing w:val="-1"/>
          <w:sz w:val="20"/>
        </w:rPr>
        <w:t> </w:t>
      </w:r>
      <w:r>
        <w:rPr>
          <w:sz w:val="20"/>
        </w:rPr>
        <w:t>insured</w:t>
      </w:r>
      <w:r>
        <w:rPr>
          <w:spacing w:val="-1"/>
          <w:sz w:val="20"/>
        </w:rPr>
        <w:t> </w:t>
      </w:r>
      <w:r>
        <w:rPr>
          <w:sz w:val="20"/>
        </w:rPr>
        <w:t>has against the insurer can be vested in the third party transferee and (b) the stage at which the transfer takes place, which may be “an earlier stage” than that at which the rights of the insured against the insurer are established. The present topic is not covered by the Contracts (Rights of Third Parties) Act 1999: see Law Com. No.242 para.12-21.</w:t>
      </w:r>
    </w:p>
    <w:p>
      <w:pPr>
        <w:pStyle w:val="BodyText"/>
      </w:pPr>
    </w:p>
    <w:p>
      <w:pPr>
        <w:spacing w:line="227" w:lineRule="exact" w:before="0"/>
        <w:ind w:left="165" w:right="0" w:firstLine="0"/>
        <w:jc w:val="both"/>
        <w:rPr>
          <w:rFonts w:ascii="Arial"/>
          <w:i/>
          <w:sz w:val="20"/>
        </w:rPr>
      </w:pPr>
      <w:bookmarkStart w:name="_bookmark1518" w:id="1520"/>
      <w:bookmarkEnd w:id="1520"/>
      <w:r>
        <w:rPr/>
      </w:r>
      <w:hyperlink w:history="true" w:anchor="_bookmark1457">
        <w:r>
          <w:rPr>
            <w:color w:val="005DA1"/>
            <w:position w:val="5"/>
            <w:sz w:val="14"/>
            <w:u w:val="single" w:color="005DA1"/>
          </w:rPr>
          <w:t>790</w:t>
        </w:r>
      </w:hyperlink>
      <w:r>
        <w:rPr>
          <w:position w:val="5"/>
          <w:sz w:val="14"/>
        </w:rPr>
        <w:t>.</w:t>
      </w:r>
      <w:r>
        <w:rPr>
          <w:spacing w:val="75"/>
          <w:w w:val="150"/>
          <w:position w:val="5"/>
          <w:sz w:val="14"/>
        </w:rPr>
        <w:t>  </w:t>
      </w:r>
      <w:r>
        <w:rPr>
          <w:sz w:val="20"/>
        </w:rPr>
        <w:t>Third</w:t>
      </w:r>
      <w:r>
        <w:rPr>
          <w:spacing w:val="9"/>
          <w:sz w:val="20"/>
        </w:rPr>
        <w:t> </w:t>
      </w:r>
      <w:r>
        <w:rPr>
          <w:sz w:val="20"/>
        </w:rPr>
        <w:t>Parties</w:t>
      </w:r>
      <w:r>
        <w:rPr>
          <w:spacing w:val="9"/>
          <w:sz w:val="20"/>
        </w:rPr>
        <w:t> </w:t>
      </w:r>
      <w:r>
        <w:rPr>
          <w:sz w:val="20"/>
        </w:rPr>
        <w:t>(Rights</w:t>
      </w:r>
      <w:r>
        <w:rPr>
          <w:spacing w:val="9"/>
          <w:sz w:val="20"/>
        </w:rPr>
        <w:t> </w:t>
      </w:r>
      <w:r>
        <w:rPr>
          <w:sz w:val="20"/>
        </w:rPr>
        <w:t>against</w:t>
      </w:r>
      <w:r>
        <w:rPr>
          <w:spacing w:val="9"/>
          <w:sz w:val="20"/>
        </w:rPr>
        <w:t> </w:t>
      </w:r>
      <w:r>
        <w:rPr>
          <w:sz w:val="20"/>
        </w:rPr>
        <w:t>Insurers)</w:t>
      </w:r>
      <w:r>
        <w:rPr>
          <w:spacing w:val="9"/>
          <w:sz w:val="20"/>
        </w:rPr>
        <w:t> </w:t>
      </w:r>
      <w:r>
        <w:rPr>
          <w:sz w:val="20"/>
        </w:rPr>
        <w:t>Act</w:t>
      </w:r>
      <w:r>
        <w:rPr>
          <w:spacing w:val="9"/>
          <w:sz w:val="20"/>
        </w:rPr>
        <w:t> </w:t>
      </w:r>
      <w:r>
        <w:rPr>
          <w:sz w:val="20"/>
        </w:rPr>
        <w:t>1930;</w:t>
      </w:r>
      <w:r>
        <w:rPr>
          <w:spacing w:val="9"/>
          <w:sz w:val="20"/>
        </w:rPr>
        <w:t> </w:t>
      </w:r>
      <w:r>
        <w:rPr>
          <w:rFonts w:ascii="Arial"/>
          <w:i/>
          <w:sz w:val="20"/>
        </w:rPr>
        <w:t>Bradley</w:t>
      </w:r>
      <w:r>
        <w:rPr>
          <w:rFonts w:ascii="Arial"/>
          <w:i/>
          <w:spacing w:val="9"/>
          <w:sz w:val="20"/>
        </w:rPr>
        <w:t> </w:t>
      </w:r>
      <w:r>
        <w:rPr>
          <w:rFonts w:ascii="Arial"/>
          <w:i/>
          <w:sz w:val="20"/>
        </w:rPr>
        <w:t>v</w:t>
      </w:r>
      <w:r>
        <w:rPr>
          <w:rFonts w:ascii="Arial"/>
          <w:i/>
          <w:spacing w:val="9"/>
          <w:sz w:val="20"/>
        </w:rPr>
        <w:t> </w:t>
      </w:r>
      <w:r>
        <w:rPr>
          <w:rFonts w:ascii="Arial"/>
          <w:i/>
          <w:sz w:val="20"/>
        </w:rPr>
        <w:t>Eagle</w:t>
      </w:r>
      <w:r>
        <w:rPr>
          <w:rFonts w:ascii="Arial"/>
          <w:i/>
          <w:spacing w:val="9"/>
          <w:sz w:val="20"/>
        </w:rPr>
        <w:t> </w:t>
      </w:r>
      <w:r>
        <w:rPr>
          <w:rFonts w:ascii="Arial"/>
          <w:i/>
          <w:sz w:val="20"/>
        </w:rPr>
        <w:t>Star</w:t>
      </w:r>
      <w:r>
        <w:rPr>
          <w:rFonts w:ascii="Arial"/>
          <w:i/>
          <w:spacing w:val="9"/>
          <w:sz w:val="20"/>
        </w:rPr>
        <w:t> </w:t>
      </w:r>
      <w:r>
        <w:rPr>
          <w:rFonts w:ascii="Arial"/>
          <w:i/>
          <w:sz w:val="20"/>
        </w:rPr>
        <w:t>Insurance</w:t>
      </w:r>
      <w:r>
        <w:rPr>
          <w:rFonts w:ascii="Arial"/>
          <w:i/>
          <w:spacing w:val="9"/>
          <w:sz w:val="20"/>
        </w:rPr>
        <w:t> </w:t>
      </w:r>
      <w:r>
        <w:rPr>
          <w:rFonts w:ascii="Arial"/>
          <w:i/>
          <w:sz w:val="20"/>
        </w:rPr>
        <w:t>Co</w:t>
      </w:r>
      <w:r>
        <w:rPr>
          <w:rFonts w:ascii="Arial"/>
          <w:i/>
          <w:spacing w:val="9"/>
          <w:sz w:val="20"/>
        </w:rPr>
        <w:t> </w:t>
      </w:r>
      <w:r>
        <w:rPr>
          <w:rFonts w:ascii="Arial"/>
          <w:i/>
          <w:sz w:val="20"/>
        </w:rPr>
        <w:t>Ltd</w:t>
      </w:r>
      <w:r>
        <w:rPr>
          <w:rFonts w:ascii="Arial"/>
          <w:i/>
          <w:spacing w:val="9"/>
          <w:sz w:val="20"/>
        </w:rPr>
        <w:t> </w:t>
      </w:r>
      <w:r>
        <w:rPr>
          <w:rFonts w:ascii="Arial"/>
          <w:i/>
          <w:spacing w:val="-2"/>
          <w:sz w:val="20"/>
        </w:rPr>
        <w:t>[1989]</w:t>
      </w:r>
    </w:p>
    <w:p>
      <w:pPr>
        <w:pStyle w:val="BodyText"/>
        <w:spacing w:line="235" w:lineRule="auto" w:before="1"/>
        <w:ind w:left="705" w:right="167"/>
        <w:jc w:val="both"/>
      </w:pPr>
      <w:r>
        <w:rPr>
          <w:rFonts w:ascii="Arial" w:hAnsi="Arial"/>
          <w:i/>
        </w:rPr>
        <w:t>A.C. 957</w:t>
      </w:r>
      <w:r>
        <w:rPr/>
        <w:t>; Road Traffic Act 1988 ss.151–153 as amended by Road Traffic Act 1991 s.48 and Sch.4, para.66, s.83 and Sch.8 and by Insurance Act 2015 s.21(4) when the latter Act </w:t>
      </w:r>
      <w:r>
        <w:rPr/>
        <w:t>comes into force; Michel [1987] L.M.C.L.Q. 228; and see Policyholders Protection Act 1975, s.7 for the rights of such persons where the company is in liquidation.</w:t>
      </w:r>
    </w:p>
    <w:p>
      <w:pPr>
        <w:pStyle w:val="BodyText"/>
        <w:spacing w:before="5"/>
      </w:pPr>
    </w:p>
    <w:p>
      <w:pPr>
        <w:pStyle w:val="BodyText"/>
        <w:tabs>
          <w:tab w:pos="705" w:val="left" w:leader="none"/>
        </w:tabs>
        <w:spacing w:line="227" w:lineRule="exact"/>
        <w:ind w:left="165"/>
      </w:pPr>
      <w:bookmarkStart w:name="_bookmark1519" w:id="1521"/>
      <w:bookmarkEnd w:id="1521"/>
      <w:r>
        <w:rPr/>
      </w:r>
      <w:hyperlink w:history="true" w:anchor="_bookmark1458">
        <w:r>
          <w:rPr>
            <w:color w:val="005DA1"/>
            <w:spacing w:val="-4"/>
            <w:position w:val="5"/>
            <w:sz w:val="14"/>
            <w:u w:val="single" w:color="005DA1"/>
          </w:rPr>
          <w:t>791</w:t>
        </w:r>
      </w:hyperlink>
      <w:r>
        <w:rPr>
          <w:spacing w:val="-4"/>
          <w:position w:val="5"/>
          <w:sz w:val="14"/>
        </w:rPr>
        <w:t>.</w:t>
      </w:r>
      <w:r>
        <w:rPr>
          <w:position w:val="5"/>
          <w:sz w:val="14"/>
        </w:rPr>
        <w:tab/>
      </w:r>
      <w:r>
        <w:rPr/>
        <w:t>See</w:t>
      </w:r>
      <w:r>
        <w:rPr>
          <w:spacing w:val="28"/>
        </w:rPr>
        <w:t> </w:t>
      </w:r>
      <w:r>
        <w:rPr/>
        <w:t>their</w:t>
      </w:r>
      <w:r>
        <w:rPr>
          <w:spacing w:val="28"/>
        </w:rPr>
        <w:t> </w:t>
      </w:r>
      <w:r>
        <w:rPr/>
        <w:t>Report</w:t>
      </w:r>
      <w:r>
        <w:rPr>
          <w:spacing w:val="28"/>
        </w:rPr>
        <w:t> </w:t>
      </w:r>
      <w:r>
        <w:rPr/>
        <w:t>on</w:t>
      </w:r>
      <w:r>
        <w:rPr>
          <w:spacing w:val="28"/>
        </w:rPr>
        <w:t> </w:t>
      </w:r>
      <w:r>
        <w:rPr/>
        <w:t>Third</w:t>
      </w:r>
      <w:r>
        <w:rPr>
          <w:spacing w:val="28"/>
        </w:rPr>
        <w:t> </w:t>
      </w:r>
      <w:r>
        <w:rPr/>
        <w:t>Parties—Rights</w:t>
      </w:r>
      <w:r>
        <w:rPr>
          <w:spacing w:val="28"/>
        </w:rPr>
        <w:t> </w:t>
      </w:r>
      <w:r>
        <w:rPr/>
        <w:t>against</w:t>
      </w:r>
      <w:r>
        <w:rPr>
          <w:spacing w:val="28"/>
        </w:rPr>
        <w:t> </w:t>
      </w:r>
      <w:r>
        <w:rPr/>
        <w:t>Insurers,</w:t>
      </w:r>
      <w:r>
        <w:rPr>
          <w:spacing w:val="28"/>
        </w:rPr>
        <w:t> </w:t>
      </w:r>
      <w:r>
        <w:rPr/>
        <w:t>Law</w:t>
      </w:r>
      <w:r>
        <w:rPr>
          <w:spacing w:val="28"/>
        </w:rPr>
        <w:t> </w:t>
      </w:r>
      <w:r>
        <w:rPr/>
        <w:t>Com.</w:t>
      </w:r>
      <w:r>
        <w:rPr>
          <w:spacing w:val="28"/>
        </w:rPr>
        <w:t> </w:t>
      </w:r>
      <w:r>
        <w:rPr/>
        <w:t>272,</w:t>
      </w:r>
      <w:r>
        <w:rPr>
          <w:spacing w:val="28"/>
        </w:rPr>
        <w:t> </w:t>
      </w:r>
      <w:r>
        <w:rPr/>
        <w:t>Scot.</w:t>
      </w:r>
      <w:r>
        <w:rPr>
          <w:spacing w:val="28"/>
        </w:rPr>
        <w:t> </w:t>
      </w:r>
      <w:r>
        <w:rPr/>
        <w:t>Law</w:t>
      </w:r>
      <w:r>
        <w:rPr>
          <w:spacing w:val="28"/>
        </w:rPr>
        <w:t> </w:t>
      </w:r>
      <w:r>
        <w:rPr>
          <w:spacing w:val="-4"/>
        </w:rPr>
        <w:t>Com.</w:t>
      </w:r>
    </w:p>
    <w:p>
      <w:pPr>
        <w:pStyle w:val="BodyText"/>
        <w:spacing w:line="227" w:lineRule="exact"/>
        <w:ind w:left="705"/>
      </w:pPr>
      <w:r>
        <w:rPr/>
        <w:t>184, Cm </w:t>
      </w:r>
      <w:r>
        <w:rPr>
          <w:spacing w:val="-2"/>
        </w:rPr>
        <w:t>5217.</w:t>
      </w:r>
    </w:p>
    <w:p>
      <w:pPr>
        <w:pStyle w:val="BodyText"/>
        <w:spacing w:before="8"/>
        <w:rPr>
          <w:sz w:val="12"/>
        </w:rPr>
      </w:pPr>
    </w:p>
    <w:p>
      <w:pPr>
        <w:pStyle w:val="BodyText"/>
        <w:spacing w:after="0"/>
        <w:rPr>
          <w:sz w:val="12"/>
        </w:rPr>
        <w:sectPr>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3424">
            <wp:simplePos x="0" y="0"/>
            <wp:positionH relativeFrom="page">
              <wp:posOffset>1257846</wp:posOffset>
            </wp:positionH>
            <wp:positionV relativeFrom="paragraph">
              <wp:posOffset>160779</wp:posOffset>
            </wp:positionV>
            <wp:extent cx="107988" cy="107988"/>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20" w:id="1522"/>
      <w:bookmarkEnd w:id="1522"/>
      <w:r>
        <w:rPr/>
      </w:r>
      <w:hyperlink w:history="true" w:anchor="_bookmark1459">
        <w:r>
          <w:rPr>
            <w:color w:val="005DA1"/>
            <w:spacing w:val="-4"/>
            <w:sz w:val="14"/>
            <w:u w:val="single" w:color="005DA1"/>
          </w:rPr>
          <w:t>792</w:t>
        </w:r>
      </w:hyperlink>
      <w:r>
        <w:rPr>
          <w:spacing w:val="-4"/>
          <w:sz w:val="14"/>
        </w:rPr>
        <w:t>.</w:t>
      </w:r>
    </w:p>
    <w:p>
      <w:pPr>
        <w:pStyle w:val="BodyText"/>
        <w:spacing w:line="235" w:lineRule="auto" w:before="213"/>
        <w:ind w:left="165" w:right="167" w:firstLine="170"/>
        <w:jc w:val="both"/>
      </w:pPr>
      <w:r>
        <w:rPr/>
        <w:br w:type="column"/>
      </w:r>
      <w:r>
        <w:rPr/>
        <w:t>It suffices here to make a number of general points about the 2010 Act. First, that </w:t>
      </w:r>
      <w:r>
        <w:rPr/>
        <w:t>Act maintains</w:t>
      </w:r>
      <w:r>
        <w:rPr>
          <w:spacing w:val="-1"/>
        </w:rPr>
        <w:t> </w:t>
      </w:r>
      <w:r>
        <w:rPr/>
        <w:t>the</w:t>
      </w:r>
      <w:r>
        <w:rPr>
          <w:spacing w:val="-1"/>
        </w:rPr>
        <w:t> </w:t>
      </w:r>
      <w:r>
        <w:rPr/>
        <w:t>principle,</w:t>
      </w:r>
      <w:r>
        <w:rPr>
          <w:spacing w:val="-1"/>
        </w:rPr>
        <w:t> </w:t>
      </w:r>
      <w:r>
        <w:rPr/>
        <w:t>originally</w:t>
      </w:r>
      <w:r>
        <w:rPr>
          <w:spacing w:val="-1"/>
        </w:rPr>
        <w:t> </w:t>
      </w:r>
      <w:r>
        <w:rPr/>
        <w:t>contained</w:t>
      </w:r>
      <w:r>
        <w:rPr>
          <w:spacing w:val="-1"/>
        </w:rPr>
        <w:t> </w:t>
      </w:r>
      <w:r>
        <w:rPr/>
        <w:t>in</w:t>
      </w:r>
      <w:r>
        <w:rPr>
          <w:spacing w:val="-1"/>
        </w:rPr>
        <w:t> </w:t>
      </w:r>
      <w:r>
        <w:rPr/>
        <w:t>the</w:t>
      </w:r>
      <w:r>
        <w:rPr>
          <w:spacing w:val="-1"/>
        </w:rPr>
        <w:t> </w:t>
      </w:r>
      <w:r>
        <w:rPr/>
        <w:t>1930</w:t>
      </w:r>
      <w:r>
        <w:rPr>
          <w:spacing w:val="-1"/>
        </w:rPr>
        <w:t> </w:t>
      </w:r>
      <w:r>
        <w:rPr/>
        <w:t>Act,</w:t>
      </w:r>
      <w:r>
        <w:rPr>
          <w:spacing w:val="-1"/>
        </w:rPr>
        <w:t> </w:t>
      </w:r>
      <w:r>
        <w:rPr/>
        <w:t>that</w:t>
      </w:r>
      <w:r>
        <w:rPr>
          <w:spacing w:val="-1"/>
        </w:rPr>
        <w:t> </w:t>
      </w:r>
      <w:r>
        <w:rPr/>
        <w:t>(in</w:t>
      </w:r>
      <w:r>
        <w:rPr>
          <w:spacing w:val="-1"/>
        </w:rPr>
        <w:t> </w:t>
      </w:r>
      <w:r>
        <w:rPr/>
        <w:t>the</w:t>
      </w:r>
      <w:r>
        <w:rPr>
          <w:spacing w:val="-1"/>
        </w:rPr>
        <w:t> </w:t>
      </w:r>
      <w:r>
        <w:rPr/>
        <w:t>circumstances</w:t>
      </w:r>
      <w:r>
        <w:rPr>
          <w:spacing w:val="-1"/>
        </w:rPr>
        <w:t> </w:t>
      </w:r>
      <w:r>
        <w:rPr/>
        <w:t>specified in the 2010 Act) the rights of an insured person against the insurer under the policy can be transferred</w:t>
      </w:r>
      <w:r>
        <w:rPr>
          <w:spacing w:val="-1"/>
        </w:rPr>
        <w:t> </w:t>
      </w:r>
      <w:r>
        <w:rPr/>
        <w:t>to</w:t>
      </w:r>
      <w:r>
        <w:rPr>
          <w:spacing w:val="-1"/>
        </w:rPr>
        <w:t> </w:t>
      </w:r>
      <w:r>
        <w:rPr/>
        <w:t>a</w:t>
      </w:r>
      <w:r>
        <w:rPr>
          <w:spacing w:val="-1"/>
        </w:rPr>
        <w:t> </w:t>
      </w:r>
      <w:r>
        <w:rPr/>
        <w:t>third</w:t>
      </w:r>
      <w:r>
        <w:rPr>
          <w:spacing w:val="-1"/>
        </w:rPr>
        <w:t> </w:t>
      </w:r>
      <w:r>
        <w:rPr/>
        <w:t>party</w:t>
      </w:r>
      <w:r>
        <w:rPr>
          <w:spacing w:val="-1"/>
        </w:rPr>
        <w:t> </w:t>
      </w:r>
      <w:r>
        <w:rPr/>
        <w:t>to</w:t>
      </w:r>
      <w:r>
        <w:rPr>
          <w:spacing w:val="-1"/>
        </w:rPr>
        <w:t> </w:t>
      </w:r>
      <w:r>
        <w:rPr/>
        <w:t>whom</w:t>
      </w:r>
      <w:r>
        <w:rPr>
          <w:spacing w:val="-1"/>
        </w:rPr>
        <w:t> </w:t>
      </w:r>
      <w:r>
        <w:rPr/>
        <w:t>the</w:t>
      </w:r>
      <w:r>
        <w:rPr>
          <w:spacing w:val="-1"/>
        </w:rPr>
        <w:t> </w:t>
      </w:r>
      <w:r>
        <w:rPr/>
        <w:t>insured</w:t>
      </w:r>
      <w:r>
        <w:rPr>
          <w:spacing w:val="-1"/>
        </w:rPr>
        <w:t> </w:t>
      </w:r>
      <w:r>
        <w:rPr/>
        <w:t>incurred</w:t>
      </w:r>
      <w:r>
        <w:rPr>
          <w:spacing w:val="-1"/>
        </w:rPr>
        <w:t> </w:t>
      </w:r>
      <w:r>
        <w:rPr/>
        <w:t>the</w:t>
      </w:r>
      <w:r>
        <w:rPr>
          <w:spacing w:val="-1"/>
        </w:rPr>
        <w:t> </w:t>
      </w:r>
      <w:r>
        <w:rPr/>
        <w:t>liability</w:t>
      </w:r>
      <w:r>
        <w:rPr>
          <w:spacing w:val="-1"/>
        </w:rPr>
        <w:t> </w:t>
      </w:r>
      <w:r>
        <w:rPr/>
        <w:t>against</w:t>
      </w:r>
      <w:r>
        <w:rPr>
          <w:spacing w:val="-1"/>
        </w:rPr>
        <w:t> </w:t>
      </w:r>
      <w:r>
        <w:rPr/>
        <w:t>which</w:t>
      </w:r>
      <w:r>
        <w:rPr>
          <w:spacing w:val="-1"/>
        </w:rPr>
        <w:t> </w:t>
      </w:r>
      <w:r>
        <w:rPr/>
        <w:t>the</w:t>
      </w:r>
      <w:r>
        <w:rPr>
          <w:spacing w:val="-1"/>
        </w:rPr>
        <w:t> </w:t>
      </w:r>
      <w:r>
        <w:rPr/>
        <w:t>latter</w:t>
      </w:r>
      <w:r>
        <w:rPr>
          <w:spacing w:val="-1"/>
        </w:rPr>
        <w:t> </w:t>
      </w:r>
      <w:r>
        <w:rPr/>
        <w:t>was insured by the policy (s.1(2)). Secondly, the principle is extended to situations in which the insured, though not insolvent, has invoked one of a number of specified “alternatives to insolvency” now available to an “insured [who] is facing financial difficulties” (“Explanatory Notes” to the 2010 Act prepared by the Ministry of Justice, para.11; 2010 Act, ss.4 and 6). Thirdly, a new procedure is introduced which will make it possible for the third party to establish the liability of the insured to the third party in the same proceedings as those brought by the third party against the insurer (ss.1(3), 2). Fourthly, the rule in </w:t>
      </w:r>
      <w:r>
        <w:rPr>
          <w:rFonts w:ascii="Arial" w:hAnsi="Arial"/>
          <w:i/>
        </w:rPr>
        <w:t>The Fanti and the Padre Island [1991] 2 A.C. 1 </w:t>
      </w:r>
      <w:r>
        <w:rPr/>
        <w:t>(cited in n.763 above), by which no rights are transferred by virtue of the 1930 Act where the policy contained a provision requiring the insured first to pay the third party</w:t>
      </w:r>
      <w:r>
        <w:rPr>
          <w:spacing w:val="40"/>
        </w:rPr>
        <w:t> </w:t>
      </w:r>
      <w:r>
        <w:rPr/>
        <w:t>before the insured acquired any rights under the policy, will no longer apply (2010 Act, s.9(5)); but this change in the law will not apply to contracts of marine insurance, except in relation to personal injury claims (ibid., s.9(6)). Further amendments of the 2010 Act have been made by the Third Parties (Rights against Insurers) Regulations 2016 (SI 2016/570) which came into force immediately after the coming into force of the 2010 Act and of Insurance Act 2015 s.20 and Sch.2. Section 19 of the Insurance Act 2015 (which replaces s.19 of the Third Parties (Rights against Insurers) Act 2010) came into force on April 12, 2015: see s.23(3)(a) of the</w:t>
      </w:r>
      <w:r>
        <w:rPr>
          <w:spacing w:val="40"/>
        </w:rPr>
        <w:t> </w:t>
      </w:r>
      <w:r>
        <w:rPr/>
        <w:t>2015 Act. The rest of the 2010 Act is brought into force by the Third Parties (Rights against Insurers) Act 2010 (Commencement) Order 2016 (SI 2016/550) with effect from August 1,</w:t>
      </w:r>
      <w:r>
        <w:rPr>
          <w:spacing w:val="40"/>
        </w:rPr>
        <w:t> </w:t>
      </w:r>
      <w:r>
        <w:rPr>
          <w:spacing w:val="-2"/>
        </w:rPr>
        <w:t>2016.</w:t>
      </w:r>
    </w:p>
    <w:p>
      <w:pPr>
        <w:pStyle w:val="BodyText"/>
        <w:spacing w:after="0" w:line="235" w:lineRule="auto"/>
        <w:jc w:val="both"/>
        <w:sectPr>
          <w:type w:val="continuous"/>
          <w:pgSz w:w="11900" w:h="16840"/>
          <w:pgMar w:header="971" w:footer="0" w:top="1160" w:bottom="280" w:left="1275" w:right="1275"/>
          <w:cols w:num="2" w:equalWidth="0">
            <w:col w:w="478" w:space="63"/>
            <w:col w:w="8809"/>
          </w:cols>
        </w:sectPr>
      </w:pPr>
    </w:p>
    <w:p>
      <w:pPr>
        <w:pStyle w:val="BodyText"/>
        <w:spacing w:before="1"/>
        <w:rPr>
          <w:sz w:val="12"/>
        </w:rPr>
      </w:pPr>
    </w:p>
    <w:p>
      <w:pPr>
        <w:pStyle w:val="BodyText"/>
        <w:spacing w:after="0"/>
        <w:rPr>
          <w:sz w:val="12"/>
        </w:rPr>
        <w:sectPr>
          <w:type w:val="continuous"/>
          <w:pgSz w:w="11900" w:h="16840"/>
          <w:pgMar w:header="971" w:footer="0" w:top="1160" w:bottom="280" w:left="1275" w:right="1275"/>
        </w:sectPr>
      </w:pPr>
    </w:p>
    <w:p>
      <w:pPr>
        <w:spacing w:before="95"/>
        <w:ind w:left="165" w:right="0" w:firstLine="0"/>
        <w:jc w:val="left"/>
        <w:rPr>
          <w:sz w:val="14"/>
        </w:rPr>
      </w:pPr>
      <w:bookmarkStart w:name="_bookmark1521" w:id="1523"/>
      <w:bookmarkEnd w:id="1523"/>
      <w:r>
        <w:rPr/>
      </w:r>
      <w:hyperlink w:history="true" w:anchor="_bookmark1460">
        <w:r>
          <w:rPr>
            <w:color w:val="005DA1"/>
            <w:spacing w:val="-4"/>
            <w:sz w:val="14"/>
            <w:u w:val="single" w:color="005DA1"/>
          </w:rPr>
          <w:t>793</w:t>
        </w:r>
      </w:hyperlink>
      <w:r>
        <w:rPr>
          <w:spacing w:val="-4"/>
          <w:sz w:val="14"/>
        </w:rPr>
        <w:t>.</w:t>
      </w:r>
    </w:p>
    <w:p>
      <w:pPr>
        <w:spacing w:line="227" w:lineRule="exact" w:before="208"/>
        <w:ind w:left="335" w:right="0" w:firstLine="0"/>
        <w:jc w:val="left"/>
        <w:rPr>
          <w:rFonts w:ascii="Arial"/>
          <w:i/>
          <w:sz w:val="20"/>
        </w:rPr>
      </w:pPr>
      <w:r>
        <w:rPr/>
        <w:br w:type="column"/>
      </w:r>
      <w:r>
        <w:rPr>
          <w:sz w:val="20"/>
        </w:rPr>
        <w:t>See</w:t>
      </w:r>
      <w:r>
        <w:rPr>
          <w:spacing w:val="6"/>
          <w:sz w:val="20"/>
        </w:rPr>
        <w:t> </w:t>
      </w:r>
      <w:r>
        <w:rPr>
          <w:rFonts w:ascii="Arial"/>
          <w:i/>
          <w:sz w:val="20"/>
        </w:rPr>
        <w:t>Hardy</w:t>
      </w:r>
      <w:r>
        <w:rPr>
          <w:rFonts w:ascii="Arial"/>
          <w:i/>
          <w:spacing w:val="6"/>
          <w:sz w:val="20"/>
        </w:rPr>
        <w:t> </w:t>
      </w:r>
      <w:r>
        <w:rPr>
          <w:rFonts w:ascii="Arial"/>
          <w:i/>
          <w:sz w:val="20"/>
        </w:rPr>
        <w:t>v</w:t>
      </w:r>
      <w:r>
        <w:rPr>
          <w:rFonts w:ascii="Arial"/>
          <w:i/>
          <w:spacing w:val="6"/>
          <w:sz w:val="20"/>
        </w:rPr>
        <w:t> </w:t>
      </w:r>
      <w:r>
        <w:rPr>
          <w:rFonts w:ascii="Arial"/>
          <w:i/>
          <w:sz w:val="20"/>
        </w:rPr>
        <w:t>M.I.B.</w:t>
      </w:r>
      <w:r>
        <w:rPr>
          <w:rFonts w:ascii="Arial"/>
          <w:i/>
          <w:spacing w:val="6"/>
          <w:sz w:val="20"/>
        </w:rPr>
        <w:t> </w:t>
      </w:r>
      <w:r>
        <w:rPr>
          <w:rFonts w:ascii="Arial"/>
          <w:i/>
          <w:sz w:val="20"/>
        </w:rPr>
        <w:t>[1964]</w:t>
      </w:r>
      <w:r>
        <w:rPr>
          <w:rFonts w:ascii="Arial"/>
          <w:i/>
          <w:spacing w:val="6"/>
          <w:sz w:val="20"/>
        </w:rPr>
        <w:t> </w:t>
      </w:r>
      <w:r>
        <w:rPr>
          <w:rFonts w:ascii="Arial"/>
          <w:i/>
          <w:sz w:val="20"/>
        </w:rPr>
        <w:t>2</w:t>
      </w:r>
      <w:r>
        <w:rPr>
          <w:rFonts w:ascii="Arial"/>
          <w:i/>
          <w:spacing w:val="6"/>
          <w:sz w:val="20"/>
        </w:rPr>
        <w:t> </w:t>
      </w:r>
      <w:r>
        <w:rPr>
          <w:rFonts w:ascii="Arial"/>
          <w:i/>
          <w:sz w:val="20"/>
        </w:rPr>
        <w:t>Q.B.</w:t>
      </w:r>
      <w:r>
        <w:rPr>
          <w:rFonts w:ascii="Arial"/>
          <w:i/>
          <w:spacing w:val="6"/>
          <w:sz w:val="20"/>
        </w:rPr>
        <w:t> </w:t>
      </w:r>
      <w:r>
        <w:rPr>
          <w:rFonts w:ascii="Arial"/>
          <w:i/>
          <w:sz w:val="20"/>
        </w:rPr>
        <w:t>745,</w:t>
      </w:r>
      <w:r>
        <w:rPr>
          <w:rFonts w:ascii="Arial"/>
          <w:i/>
          <w:spacing w:val="6"/>
          <w:sz w:val="20"/>
        </w:rPr>
        <w:t> </w:t>
      </w:r>
      <w:r>
        <w:rPr>
          <w:rFonts w:ascii="Arial"/>
          <w:i/>
          <w:sz w:val="20"/>
        </w:rPr>
        <w:t>770</w:t>
      </w:r>
      <w:r>
        <w:rPr>
          <w:rFonts w:ascii="Arial"/>
          <w:i/>
          <w:spacing w:val="6"/>
          <w:sz w:val="20"/>
        </w:rPr>
        <w:t> </w:t>
      </w:r>
      <w:r>
        <w:rPr>
          <w:sz w:val="20"/>
        </w:rPr>
        <w:t>and</w:t>
      </w:r>
      <w:r>
        <w:rPr>
          <w:spacing w:val="6"/>
          <w:sz w:val="20"/>
        </w:rPr>
        <w:t> </w:t>
      </w:r>
      <w:r>
        <w:rPr>
          <w:rFonts w:ascii="Arial"/>
          <w:i/>
          <w:sz w:val="20"/>
        </w:rPr>
        <w:t>White</w:t>
      </w:r>
      <w:r>
        <w:rPr>
          <w:rFonts w:ascii="Arial"/>
          <w:i/>
          <w:spacing w:val="6"/>
          <w:sz w:val="20"/>
        </w:rPr>
        <w:t> </w:t>
      </w:r>
      <w:r>
        <w:rPr>
          <w:rFonts w:ascii="Arial"/>
          <w:i/>
          <w:sz w:val="20"/>
        </w:rPr>
        <w:t>v</w:t>
      </w:r>
      <w:r>
        <w:rPr>
          <w:rFonts w:ascii="Arial"/>
          <w:i/>
          <w:spacing w:val="6"/>
          <w:sz w:val="20"/>
        </w:rPr>
        <w:t> </w:t>
      </w:r>
      <w:r>
        <w:rPr>
          <w:rFonts w:ascii="Arial"/>
          <w:i/>
          <w:sz w:val="20"/>
        </w:rPr>
        <w:t>London</w:t>
      </w:r>
      <w:r>
        <w:rPr>
          <w:rFonts w:ascii="Arial"/>
          <w:i/>
          <w:spacing w:val="6"/>
          <w:sz w:val="20"/>
        </w:rPr>
        <w:t> </w:t>
      </w:r>
      <w:r>
        <w:rPr>
          <w:rFonts w:ascii="Arial"/>
          <w:i/>
          <w:sz w:val="20"/>
        </w:rPr>
        <w:t>Transport</w:t>
      </w:r>
      <w:r>
        <w:rPr>
          <w:rFonts w:ascii="Arial"/>
          <w:i/>
          <w:spacing w:val="6"/>
          <w:sz w:val="20"/>
        </w:rPr>
        <w:t> </w:t>
      </w:r>
      <w:r>
        <w:rPr>
          <w:rFonts w:ascii="Arial"/>
          <w:i/>
          <w:sz w:val="20"/>
        </w:rPr>
        <w:t>Executive</w:t>
      </w:r>
      <w:r>
        <w:rPr>
          <w:rFonts w:ascii="Arial"/>
          <w:i/>
          <w:spacing w:val="6"/>
          <w:sz w:val="20"/>
        </w:rPr>
        <w:t> </w:t>
      </w:r>
      <w:r>
        <w:rPr>
          <w:rFonts w:ascii="Arial"/>
          <w:i/>
          <w:sz w:val="20"/>
        </w:rPr>
        <w:t>[1971]</w:t>
      </w:r>
      <w:r>
        <w:rPr>
          <w:rFonts w:ascii="Arial"/>
          <w:i/>
          <w:spacing w:val="6"/>
          <w:sz w:val="20"/>
        </w:rPr>
        <w:t> </w:t>
      </w:r>
      <w:r>
        <w:rPr>
          <w:rFonts w:ascii="Arial"/>
          <w:i/>
          <w:spacing w:val="-10"/>
          <w:sz w:val="20"/>
        </w:rPr>
        <w:t>2</w:t>
      </w:r>
    </w:p>
    <w:p>
      <w:pPr>
        <w:spacing w:line="235" w:lineRule="auto" w:before="1"/>
        <w:ind w:left="165" w:right="168" w:firstLine="0"/>
        <w:jc w:val="both"/>
        <w:rPr>
          <w:sz w:val="20"/>
        </w:rPr>
      </w:pPr>
      <w:r>
        <w:rPr>
          <w:sz w:val="20"/>
        </w:rPr>
        <w:drawing>
          <wp:anchor distT="0" distB="0" distL="0" distR="0" allowOverlap="1" layoutInCell="1" locked="0" behindDoc="0" simplePos="0" relativeHeight="15783936">
            <wp:simplePos x="0" y="0"/>
            <wp:positionH relativeFrom="page">
              <wp:posOffset>1257846</wp:posOffset>
            </wp:positionH>
            <wp:positionV relativeFrom="paragraph">
              <wp:posOffset>-116231</wp:posOffset>
            </wp:positionV>
            <wp:extent cx="107988" cy="107988"/>
            <wp:effectExtent l="0" t="0" r="0" b="0"/>
            <wp:wrapNone/>
            <wp:docPr id="204" name="Image 204"/>
            <wp:cNvGraphicFramePr>
              <a:graphicFrameLocks/>
            </wp:cNvGraphicFramePr>
            <a:graphic>
              <a:graphicData uri="http://schemas.openxmlformats.org/drawingml/2006/picture">
                <pic:pic>
                  <pic:nvPicPr>
                    <pic:cNvPr id="204" name="Image 204"/>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QB 721, 729</w:t>
      </w:r>
      <w:r>
        <w:rPr>
          <w:sz w:val="20"/>
        </w:rPr>
        <w:t>; </w:t>
      </w:r>
      <w:r>
        <w:rPr>
          <w:rFonts w:ascii="Arial" w:hAnsi="Arial"/>
          <w:i/>
          <w:sz w:val="20"/>
        </w:rPr>
        <w:t>White v White [2001] UKHL 9; [2001] 1 W.L.R. 481 </w:t>
      </w:r>
      <w:r>
        <w:rPr>
          <w:sz w:val="20"/>
        </w:rPr>
        <w:t>and see ibid., at [7]; for a brief history of the Uninsured Drivers’ Agreement and the Untraced Drivers’ Agreement, see </w:t>
      </w:r>
      <w:r>
        <w:rPr>
          <w:rFonts w:ascii="Arial" w:hAnsi="Arial"/>
          <w:i/>
          <w:sz w:val="20"/>
        </w:rPr>
        <w:t>Jacobs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Motor</w:t>
      </w:r>
      <w:r>
        <w:rPr>
          <w:rFonts w:ascii="Arial" w:hAnsi="Arial"/>
          <w:i/>
          <w:spacing w:val="40"/>
          <w:sz w:val="20"/>
        </w:rPr>
        <w:t> </w:t>
      </w:r>
      <w:r>
        <w:rPr>
          <w:rFonts w:ascii="Arial" w:hAnsi="Arial"/>
          <w:i/>
          <w:sz w:val="20"/>
        </w:rPr>
        <w:t>Insurers’</w:t>
      </w:r>
      <w:r>
        <w:rPr>
          <w:rFonts w:ascii="Arial" w:hAnsi="Arial"/>
          <w:i/>
          <w:spacing w:val="40"/>
          <w:sz w:val="20"/>
        </w:rPr>
        <w:t> </w:t>
      </w:r>
      <w:r>
        <w:rPr>
          <w:rFonts w:ascii="Arial" w:hAnsi="Arial"/>
          <w:i/>
          <w:sz w:val="20"/>
        </w:rPr>
        <w:t>Bureau</w:t>
      </w:r>
      <w:r>
        <w:rPr>
          <w:rFonts w:ascii="Arial" w:hAnsi="Arial"/>
          <w:i/>
          <w:spacing w:val="40"/>
          <w:sz w:val="20"/>
        </w:rPr>
        <w:t> </w:t>
      </w:r>
      <w:r>
        <w:rPr>
          <w:rFonts w:ascii="Arial" w:hAnsi="Arial"/>
          <w:i/>
          <w:sz w:val="20"/>
        </w:rPr>
        <w:t>[2010]</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1208,</w:t>
      </w:r>
      <w:r>
        <w:rPr>
          <w:rFonts w:ascii="Arial" w:hAnsi="Arial"/>
          <w:i/>
          <w:spacing w:val="40"/>
          <w:sz w:val="20"/>
        </w:rPr>
        <w:t> </w:t>
      </w:r>
      <w:r>
        <w:rPr>
          <w:rFonts w:ascii="Arial" w:hAnsi="Arial"/>
          <w:i/>
          <w:sz w:val="20"/>
        </w:rPr>
        <w:t>[2011]</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All</w:t>
      </w:r>
      <w:r>
        <w:rPr>
          <w:rFonts w:ascii="Arial" w:hAnsi="Arial"/>
          <w:i/>
          <w:spacing w:val="40"/>
          <w:sz w:val="20"/>
        </w:rPr>
        <w:t> </w:t>
      </w:r>
      <w:r>
        <w:rPr>
          <w:rFonts w:ascii="Arial" w:hAnsi="Arial"/>
          <w:i/>
          <w:sz w:val="20"/>
        </w:rPr>
        <w:t>E.R.</w:t>
      </w:r>
      <w:r>
        <w:rPr>
          <w:rFonts w:ascii="Arial" w:hAnsi="Arial"/>
          <w:i/>
          <w:spacing w:val="40"/>
          <w:sz w:val="20"/>
        </w:rPr>
        <w:t> </w:t>
      </w:r>
      <w:r>
        <w:rPr>
          <w:rFonts w:ascii="Arial" w:hAnsi="Arial"/>
          <w:i/>
          <w:sz w:val="20"/>
        </w:rPr>
        <w:t>844</w:t>
      </w:r>
      <w:r>
        <w:rPr>
          <w:rFonts w:ascii="Arial" w:hAnsi="Arial"/>
          <w:i/>
          <w:spacing w:val="40"/>
          <w:sz w:val="20"/>
        </w:rPr>
        <w:t> </w:t>
      </w:r>
      <w:r>
        <w:rPr>
          <w:sz w:val="20"/>
        </w:rPr>
        <w:t>at</w:t>
      </w:r>
      <w:r>
        <w:rPr>
          <w:spacing w:val="40"/>
          <w:sz w:val="20"/>
        </w:rPr>
        <w:t> </w:t>
      </w:r>
      <w:r>
        <w:rPr>
          <w:sz w:val="20"/>
        </w:rPr>
        <w:t>[7];</w:t>
      </w:r>
      <w:r>
        <w:rPr>
          <w:spacing w:val="40"/>
          <w:sz w:val="20"/>
        </w:rPr>
        <w:t> </w:t>
      </w:r>
      <w:r>
        <w:rPr>
          <w:sz w:val="20"/>
        </w:rPr>
        <w:t>Vol.II, </w:t>
      </w:r>
      <w:r>
        <w:rPr>
          <w:spacing w:val="-2"/>
          <w:sz w:val="20"/>
        </w:rPr>
        <w:t>para.42-125.</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bookmarkStart w:name="_bookmark1522" w:id="1524"/>
      <w:bookmarkEnd w:id="1524"/>
      <w:r>
        <w:rPr/>
      </w:r>
      <w:hyperlink w:history="true" w:anchor="_bookmark1461">
        <w:r>
          <w:rPr>
            <w:color w:val="005DA1"/>
            <w:spacing w:val="-4"/>
            <w:position w:val="5"/>
            <w:sz w:val="14"/>
            <w:u w:val="single" w:color="005DA1"/>
          </w:rPr>
          <w:t>794</w:t>
        </w:r>
      </w:hyperlink>
      <w:r>
        <w:rPr>
          <w:spacing w:val="-4"/>
          <w:position w:val="5"/>
          <w:sz w:val="14"/>
        </w:rPr>
        <w:t>.</w:t>
      </w:r>
      <w:r>
        <w:rPr>
          <w:position w:val="5"/>
          <w:sz w:val="14"/>
        </w:rPr>
        <w:tab/>
      </w:r>
      <w:r>
        <w:rPr>
          <w:sz w:val="20"/>
        </w:rPr>
        <w:t>See</w:t>
      </w:r>
      <w:r>
        <w:rPr>
          <w:spacing w:val="-1"/>
          <w:sz w:val="20"/>
        </w:rPr>
        <w:t> </w:t>
      </w:r>
      <w:r>
        <w:rPr>
          <w:rFonts w:ascii="Arial"/>
          <w:i/>
          <w:sz w:val="20"/>
        </w:rPr>
        <w:t>Gurtner v Circuit [1968] 2 Q.B. </w:t>
      </w:r>
      <w:r>
        <w:rPr>
          <w:rFonts w:ascii="Arial"/>
          <w:i/>
          <w:spacing w:val="-4"/>
          <w:sz w:val="20"/>
        </w:rPr>
        <w:t>587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23" w:id="1525"/>
      <w:bookmarkEnd w:id="1525"/>
      <w:r>
        <w:rPr/>
      </w:r>
      <w:hyperlink w:history="true" w:anchor="_bookmark1462">
        <w:r>
          <w:rPr>
            <w:color w:val="005DA1"/>
            <w:spacing w:val="-4"/>
            <w:position w:val="5"/>
            <w:sz w:val="14"/>
            <w:u w:val="single" w:color="005DA1"/>
          </w:rPr>
          <w:t>795</w:t>
        </w:r>
      </w:hyperlink>
      <w:r>
        <w:rPr>
          <w:spacing w:val="-4"/>
          <w:position w:val="5"/>
          <w:sz w:val="14"/>
        </w:rPr>
        <w:t>.</w:t>
      </w:r>
      <w:r>
        <w:rPr>
          <w:position w:val="5"/>
          <w:sz w:val="14"/>
        </w:rPr>
        <w:tab/>
      </w:r>
      <w:r>
        <w:rPr>
          <w:spacing w:val="-2"/>
          <w:sz w:val="20"/>
        </w:rPr>
        <w:t>ibid.</w:t>
      </w:r>
    </w:p>
    <w:p>
      <w:pPr>
        <w:spacing w:after="0"/>
        <w:jc w:val="left"/>
        <w:rPr>
          <w:sz w:val="20"/>
        </w:rPr>
        <w:sectPr>
          <w:type w:val="continuous"/>
          <w:pgSz w:w="11900" w:h="16840"/>
          <w:pgMar w:header="971" w:footer="0" w:top="1160" w:bottom="280" w:left="1275" w:right="1275"/>
        </w:sectPr>
      </w:pPr>
    </w:p>
    <w:p>
      <w:pPr>
        <w:pStyle w:val="BodyText"/>
        <w:spacing w:before="4"/>
        <w:rPr>
          <w:sz w:val="19"/>
        </w:rPr>
      </w:pPr>
    </w:p>
    <w:p>
      <w:pPr>
        <w:pStyle w:val="BodyText"/>
        <w:spacing w:after="0"/>
        <w:rPr>
          <w:sz w:val="19"/>
        </w:rPr>
        <w:sectPr>
          <w:pgSz w:w="11900" w:h="16840"/>
          <w:pgMar w:header="971" w:footer="0" w:top="1160" w:bottom="280" w:left="1275" w:right="1275"/>
        </w:sectPr>
      </w:pPr>
    </w:p>
    <w:p>
      <w:pPr>
        <w:spacing w:before="96"/>
        <w:ind w:left="165" w:right="0" w:firstLine="0"/>
        <w:jc w:val="left"/>
        <w:rPr>
          <w:sz w:val="14"/>
        </w:rPr>
      </w:pPr>
      <w:hyperlink w:history="true" w:anchor="_bookmark1463">
        <w:r>
          <w:rPr>
            <w:color w:val="005DA1"/>
            <w:spacing w:val="-4"/>
            <w:sz w:val="14"/>
            <w:u w:val="single" w:color="005DA1"/>
          </w:rPr>
          <w:t>796</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Gardner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Moore</w:t>
      </w:r>
      <w:r>
        <w:rPr>
          <w:rFonts w:ascii="Arial" w:hAnsi="Arial"/>
          <w:i/>
          <w:spacing w:val="-1"/>
          <w:sz w:val="20"/>
        </w:rPr>
        <w:t> </w:t>
      </w:r>
      <w:r>
        <w:rPr>
          <w:rFonts w:ascii="Arial" w:hAnsi="Arial"/>
          <w:i/>
          <w:sz w:val="20"/>
        </w:rPr>
        <w:t>[1984]</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548,</w:t>
      </w:r>
      <w:r>
        <w:rPr>
          <w:rFonts w:ascii="Arial" w:hAnsi="Arial"/>
          <w:i/>
          <w:spacing w:val="-1"/>
          <w:sz w:val="20"/>
        </w:rPr>
        <w:t> </w:t>
      </w:r>
      <w:r>
        <w:rPr>
          <w:rFonts w:ascii="Arial" w:hAnsi="Arial"/>
          <w:i/>
          <w:sz w:val="20"/>
        </w:rPr>
        <w:t>556</w:t>
      </w:r>
      <w:r>
        <w:rPr>
          <w:sz w:val="20"/>
        </w:rPr>
        <w:t>.</w:t>
      </w:r>
      <w:r>
        <w:rPr>
          <w:spacing w:val="-1"/>
          <w:sz w:val="20"/>
        </w:rPr>
        <w:t> </w:t>
      </w:r>
      <w:r>
        <w:rPr>
          <w:sz w:val="20"/>
        </w:rPr>
        <w:t>Where</w:t>
      </w:r>
      <w:r>
        <w:rPr>
          <w:spacing w:val="-1"/>
          <w:sz w:val="20"/>
        </w:rPr>
        <w:t> </w:t>
      </w:r>
      <w:r>
        <w:rPr>
          <w:sz w:val="20"/>
        </w:rPr>
        <w:t>the</w:t>
      </w:r>
      <w:r>
        <w:rPr>
          <w:spacing w:val="-1"/>
          <w:sz w:val="20"/>
        </w:rPr>
        <w:t> </w:t>
      </w:r>
      <w:r>
        <w:rPr>
          <w:sz w:val="20"/>
        </w:rPr>
        <w:t>injured</w:t>
      </w:r>
      <w:r>
        <w:rPr>
          <w:spacing w:val="-1"/>
          <w:sz w:val="20"/>
        </w:rPr>
        <w:t> </w:t>
      </w:r>
      <w:r>
        <w:rPr>
          <w:sz w:val="20"/>
        </w:rPr>
        <w:t>third</w:t>
      </w:r>
      <w:r>
        <w:rPr>
          <w:spacing w:val="-1"/>
          <w:sz w:val="20"/>
        </w:rPr>
        <w:t> </w:t>
      </w:r>
      <w:r>
        <w:rPr>
          <w:sz w:val="20"/>
        </w:rPr>
        <w:t>party</w:t>
      </w:r>
      <w:r>
        <w:rPr>
          <w:spacing w:val="-1"/>
          <w:sz w:val="20"/>
        </w:rPr>
        <w:t> </w:t>
      </w:r>
      <w:r>
        <w:rPr>
          <w:sz w:val="20"/>
        </w:rPr>
        <w:t>has</w:t>
      </w:r>
      <w:r>
        <w:rPr>
          <w:spacing w:val="-1"/>
          <w:sz w:val="20"/>
        </w:rPr>
        <w:t> </w:t>
      </w:r>
      <w:r>
        <w:rPr>
          <w:sz w:val="20"/>
        </w:rPr>
        <w:t>no</w:t>
      </w:r>
      <w:r>
        <w:rPr>
          <w:spacing w:val="-1"/>
          <w:sz w:val="20"/>
        </w:rPr>
        <w:t> </w:t>
      </w:r>
      <w:r>
        <w:rPr>
          <w:sz w:val="20"/>
        </w:rPr>
        <w:t>rights</w:t>
      </w:r>
      <w:r>
        <w:rPr>
          <w:spacing w:val="-1"/>
          <w:sz w:val="20"/>
        </w:rPr>
        <w:t> </w:t>
      </w:r>
      <w:r>
        <w:rPr>
          <w:sz w:val="20"/>
        </w:rPr>
        <w:t>by</w:t>
      </w:r>
      <w:r>
        <w:rPr>
          <w:spacing w:val="-1"/>
          <w:sz w:val="20"/>
        </w:rPr>
        <w:t> </w:t>
      </w:r>
      <w:r>
        <w:rPr>
          <w:sz w:val="20"/>
        </w:rPr>
        <w:t>virtue</w:t>
      </w:r>
      <w:r>
        <w:rPr>
          <w:spacing w:val="-1"/>
          <w:sz w:val="20"/>
        </w:rPr>
        <w:t> </w:t>
      </w:r>
      <w:r>
        <w:rPr>
          <w:sz w:val="20"/>
        </w:rPr>
        <w:t>of the Uninsured Driver’s Agreement referred to in n.767 above, that party may, precisely for </w:t>
      </w:r>
      <w:r>
        <w:rPr>
          <w:sz w:val="20"/>
        </w:rPr>
        <w:t>that reason, have rights to compensation against the Secretary of State for Transport under EU law: see </w:t>
      </w:r>
      <w:r>
        <w:rPr>
          <w:rFonts w:ascii="Arial" w:hAnsi="Arial"/>
          <w:i/>
          <w:sz w:val="20"/>
        </w:rPr>
        <w:t>Delaney v Secretary of State for Transport [2014] EWHC 1785 (QB), [2014] R.T.R. 25</w:t>
      </w:r>
      <w:r>
        <w:rPr>
          <w:sz w:val="20"/>
        </w:rPr>
        <w:t>; </w:t>
      </w:r>
      <w:r>
        <w:rPr>
          <w:rFonts w:ascii="Arial" w:hAnsi="Arial"/>
          <w:i/>
          <w:sz w:val="20"/>
        </w:rPr>
        <w:t>Wigley-Foster</w:t>
      </w:r>
      <w:r>
        <w:rPr>
          <w:rFonts w:ascii="Arial" w:hAnsi="Arial"/>
          <w:i/>
          <w:spacing w:val="15"/>
          <w:sz w:val="20"/>
        </w:rPr>
        <w:t> </w:t>
      </w:r>
      <w:r>
        <w:rPr>
          <w:rFonts w:ascii="Arial" w:hAnsi="Arial"/>
          <w:i/>
          <w:sz w:val="20"/>
        </w:rPr>
        <w:t>v</w:t>
      </w:r>
      <w:r>
        <w:rPr>
          <w:rFonts w:ascii="Arial" w:hAnsi="Arial"/>
          <w:i/>
          <w:spacing w:val="18"/>
          <w:sz w:val="20"/>
        </w:rPr>
        <w:t> </w:t>
      </w:r>
      <w:r>
        <w:rPr>
          <w:rFonts w:ascii="Arial" w:hAnsi="Arial"/>
          <w:i/>
          <w:sz w:val="20"/>
        </w:rPr>
        <w:t>Wilson</w:t>
      </w:r>
      <w:r>
        <w:rPr>
          <w:rFonts w:ascii="Arial" w:hAnsi="Arial"/>
          <w:i/>
          <w:spacing w:val="18"/>
          <w:sz w:val="20"/>
        </w:rPr>
        <w:t> </w:t>
      </w:r>
      <w:r>
        <w:rPr>
          <w:rFonts w:ascii="Arial" w:hAnsi="Arial"/>
          <w:i/>
          <w:sz w:val="20"/>
        </w:rPr>
        <w:t>[2016]</w:t>
      </w:r>
      <w:r>
        <w:rPr>
          <w:rFonts w:ascii="Arial" w:hAnsi="Arial"/>
          <w:i/>
          <w:spacing w:val="18"/>
          <w:sz w:val="20"/>
        </w:rPr>
        <w:t> </w:t>
      </w:r>
      <w:r>
        <w:rPr>
          <w:rFonts w:ascii="Arial" w:hAnsi="Arial"/>
          <w:i/>
          <w:sz w:val="20"/>
        </w:rPr>
        <w:t>EWCA</w:t>
      </w:r>
      <w:r>
        <w:rPr>
          <w:rFonts w:ascii="Arial" w:hAnsi="Arial"/>
          <w:i/>
          <w:spacing w:val="18"/>
          <w:sz w:val="20"/>
        </w:rPr>
        <w:t> </w:t>
      </w:r>
      <w:r>
        <w:rPr>
          <w:rFonts w:ascii="Arial" w:hAnsi="Arial"/>
          <w:i/>
          <w:sz w:val="20"/>
        </w:rPr>
        <w:t>Civ</w:t>
      </w:r>
      <w:r>
        <w:rPr>
          <w:rFonts w:ascii="Arial" w:hAnsi="Arial"/>
          <w:i/>
          <w:spacing w:val="18"/>
          <w:sz w:val="20"/>
        </w:rPr>
        <w:t> </w:t>
      </w:r>
      <w:r>
        <w:rPr>
          <w:rFonts w:ascii="Arial" w:hAnsi="Arial"/>
          <w:i/>
          <w:sz w:val="20"/>
        </w:rPr>
        <w:t>454,</w:t>
      </w:r>
      <w:r>
        <w:rPr>
          <w:rFonts w:ascii="Arial" w:hAnsi="Arial"/>
          <w:i/>
          <w:spacing w:val="18"/>
          <w:sz w:val="20"/>
        </w:rPr>
        <w:t> </w:t>
      </w:r>
      <w:r>
        <w:rPr>
          <w:rFonts w:ascii="Arial" w:hAnsi="Arial"/>
          <w:i/>
          <w:sz w:val="20"/>
        </w:rPr>
        <w:t>[2017]</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All</w:t>
      </w:r>
      <w:r>
        <w:rPr>
          <w:rFonts w:ascii="Arial" w:hAnsi="Arial"/>
          <w:i/>
          <w:spacing w:val="18"/>
          <w:sz w:val="20"/>
        </w:rPr>
        <w:t> </w:t>
      </w:r>
      <w:r>
        <w:rPr>
          <w:rFonts w:ascii="Arial" w:hAnsi="Arial"/>
          <w:i/>
          <w:sz w:val="20"/>
        </w:rPr>
        <w:t>E.R.</w:t>
      </w:r>
      <w:r>
        <w:rPr>
          <w:rFonts w:ascii="Arial" w:hAnsi="Arial"/>
          <w:i/>
          <w:spacing w:val="18"/>
          <w:sz w:val="20"/>
        </w:rPr>
        <w:t> </w:t>
      </w:r>
      <w:r>
        <w:rPr>
          <w:rFonts w:ascii="Arial" w:hAnsi="Arial"/>
          <w:i/>
          <w:sz w:val="20"/>
        </w:rPr>
        <w:t>(Comm)</w:t>
      </w:r>
      <w:r>
        <w:rPr>
          <w:rFonts w:ascii="Arial" w:hAnsi="Arial"/>
          <w:i/>
          <w:spacing w:val="18"/>
          <w:sz w:val="20"/>
        </w:rPr>
        <w:t> </w:t>
      </w:r>
      <w:r>
        <w:rPr>
          <w:rFonts w:ascii="Arial" w:hAnsi="Arial"/>
          <w:i/>
          <w:sz w:val="20"/>
        </w:rPr>
        <w:t>715</w:t>
      </w:r>
      <w:r>
        <w:rPr>
          <w:sz w:val="20"/>
        </w:rPr>
        <w:t>,</w:t>
      </w:r>
      <w:r>
        <w:rPr>
          <w:spacing w:val="18"/>
          <w:sz w:val="20"/>
        </w:rPr>
        <w:t> </w:t>
      </w:r>
      <w:r>
        <w:rPr>
          <w:sz w:val="20"/>
        </w:rPr>
        <w:t>citing</w:t>
      </w:r>
      <w:r>
        <w:rPr>
          <w:spacing w:val="18"/>
          <w:sz w:val="20"/>
        </w:rPr>
        <w:t> </w:t>
      </w:r>
      <w:r>
        <w:rPr>
          <w:rFonts w:ascii="Arial" w:hAnsi="Arial"/>
          <w:i/>
          <w:sz w:val="20"/>
        </w:rPr>
        <w:t>Jacobs</w:t>
      </w:r>
      <w:r>
        <w:rPr>
          <w:rFonts w:ascii="Arial" w:hAnsi="Arial"/>
          <w:i/>
          <w:spacing w:val="18"/>
          <w:sz w:val="20"/>
        </w:rPr>
        <w:t> </w:t>
      </w:r>
      <w:r>
        <w:rPr>
          <w:rFonts w:ascii="Arial" w:hAnsi="Arial"/>
          <w:i/>
          <w:spacing w:val="-10"/>
          <w:sz w:val="20"/>
        </w:rPr>
        <w:t>v</w:t>
      </w:r>
    </w:p>
    <w:p>
      <w:pPr>
        <w:spacing w:line="235" w:lineRule="auto" w:before="0"/>
        <w:ind w:left="165" w:right="168" w:firstLine="0"/>
        <w:jc w:val="both"/>
        <w:rPr>
          <w:sz w:val="20"/>
        </w:rPr>
      </w:pPr>
      <w:r>
        <w:rPr>
          <w:sz w:val="20"/>
        </w:rPr>
        <w:drawing>
          <wp:anchor distT="0" distB="0" distL="0" distR="0" allowOverlap="1" layoutInCell="1" locked="0" behindDoc="0" simplePos="0" relativeHeight="15784448">
            <wp:simplePos x="0" y="0"/>
            <wp:positionH relativeFrom="page">
              <wp:posOffset>1257846</wp:posOffset>
            </wp:positionH>
            <wp:positionV relativeFrom="paragraph">
              <wp:posOffset>-689719</wp:posOffset>
            </wp:positionV>
            <wp:extent cx="107988" cy="107988"/>
            <wp:effectExtent l="0" t="0" r="0" b="0"/>
            <wp:wrapNone/>
            <wp:docPr id="205" name="Image 205"/>
            <wp:cNvGraphicFramePr>
              <a:graphicFrameLocks/>
            </wp:cNvGraphicFramePr>
            <a:graphic>
              <a:graphicData uri="http://schemas.openxmlformats.org/drawingml/2006/picture">
                <pic:pic>
                  <pic:nvPicPr>
                    <pic:cNvPr id="205" name="Image 205"/>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Motor Insurers’ Bureau [2010] EWCA Civ 1208, [2011] 1 W.L.R. 2609</w:t>
      </w:r>
      <w:r>
        <w:rPr>
          <w:sz w:val="20"/>
        </w:rPr>
        <w:t>. Since these rights </w:t>
      </w:r>
      <w:r>
        <w:rPr>
          <w:sz w:val="20"/>
        </w:rPr>
        <w:t>are not contractual, their “foundations in jurisprudence” do not call for discussion here.</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16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84960">
            <wp:simplePos x="0" y="0"/>
            <wp:positionH relativeFrom="page">
              <wp:posOffset>1257846</wp:posOffset>
            </wp:positionH>
            <wp:positionV relativeFrom="paragraph">
              <wp:posOffset>160704</wp:posOffset>
            </wp:positionV>
            <wp:extent cx="107988" cy="107988"/>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24" w:id="1526"/>
      <w:bookmarkEnd w:id="1526"/>
      <w:r>
        <w:rPr/>
      </w:r>
      <w:hyperlink w:history="true" w:anchor="_bookmark1464">
        <w:r>
          <w:rPr>
            <w:color w:val="005DA1"/>
            <w:spacing w:val="-4"/>
            <w:sz w:val="14"/>
            <w:u w:val="single" w:color="005DA1"/>
          </w:rPr>
          <w:t>797</w:t>
        </w:r>
      </w:hyperlink>
      <w:r>
        <w:rPr>
          <w:spacing w:val="-4"/>
          <w:sz w:val="14"/>
        </w:rPr>
        <w:t>.</w:t>
      </w:r>
    </w:p>
    <w:p>
      <w:pPr>
        <w:spacing w:line="235" w:lineRule="auto" w:before="213"/>
        <w:ind w:left="165" w:right="167" w:firstLine="170"/>
        <w:jc w:val="both"/>
        <w:rPr>
          <w:sz w:val="20"/>
        </w:rPr>
      </w:pPr>
      <w:r>
        <w:rPr/>
        <w:br w:type="column"/>
      </w:r>
      <w:r>
        <w:rPr>
          <w:rFonts w:ascii="Arial" w:hAnsi="Arial"/>
          <w:i/>
          <w:sz w:val="20"/>
        </w:rPr>
        <w:t>Hardy v M.I.B.</w:t>
      </w:r>
      <w:r>
        <w:rPr>
          <w:sz w:val="20"/>
        </w:rPr>
        <w:t>, above, at 757; </w:t>
      </w:r>
      <w:r>
        <w:rPr>
          <w:rFonts w:ascii="Arial" w:hAnsi="Arial"/>
          <w:i/>
          <w:sz w:val="20"/>
        </w:rPr>
        <w:t>Randall v M.I.B. [1968] 1 W.L.R. 1900</w:t>
      </w:r>
      <w:r>
        <w:rPr>
          <w:sz w:val="20"/>
        </w:rPr>
        <w:t>; </w:t>
      </w:r>
      <w:r>
        <w:rPr>
          <w:rFonts w:ascii="Arial" w:hAnsi="Arial"/>
          <w:i/>
          <w:sz w:val="20"/>
        </w:rPr>
        <w:t>Persson v </w:t>
      </w:r>
      <w:r>
        <w:rPr>
          <w:rFonts w:ascii="Arial" w:hAnsi="Arial"/>
          <w:i/>
          <w:sz w:val="20"/>
        </w:rPr>
        <w:t>London County Buses [1974] 1 W.L.R. 569</w:t>
      </w:r>
      <w:r>
        <w:rPr>
          <w:sz w:val="20"/>
        </w:rPr>
        <w:t>; </w:t>
      </w:r>
      <w:r>
        <w:rPr>
          <w:rFonts w:ascii="Arial" w:hAnsi="Arial"/>
          <w:i/>
          <w:sz w:val="20"/>
        </w:rPr>
        <w:t>Porter v Addo [1975] R.T.R. 503</w:t>
      </w:r>
      <w:r>
        <w:rPr>
          <w:sz w:val="20"/>
        </w:rPr>
        <w:t>. As the Bureau is interested in the outcome of the litigation between the injured party and the driver it may, at the court’s discretion, be added as a party to such litigation: see </w:t>
      </w:r>
      <w:r>
        <w:rPr>
          <w:rFonts w:ascii="Arial" w:hAnsi="Arial"/>
          <w:i/>
          <w:sz w:val="20"/>
        </w:rPr>
        <w:t>Gurtner v Circuit</w:t>
      </w:r>
      <w:r>
        <w:rPr>
          <w:sz w:val="20"/>
        </w:rPr>
        <w:t>, above, and contrast </w:t>
      </w:r>
      <w:r>
        <w:rPr>
          <w:rFonts w:ascii="Arial" w:hAnsi="Arial"/>
          <w:i/>
          <w:sz w:val="20"/>
        </w:rPr>
        <w:t>White v London Transport Executive</w:t>
      </w:r>
      <w:r>
        <w:rPr>
          <w:sz w:val="20"/>
        </w:rPr>
        <w:t>, above n.767. Notice of proceedings against the driver must be served on the Bureau: </w:t>
      </w:r>
      <w:r>
        <w:rPr>
          <w:rFonts w:ascii="Arial" w:hAnsi="Arial"/>
          <w:i/>
          <w:sz w:val="20"/>
        </w:rPr>
        <w:t>Cambridge v Callaghan, The Times, March 21, 1997</w:t>
      </w:r>
      <w:r>
        <w:rPr>
          <w:sz w:val="20"/>
        </w:rPr>
        <w:t>; Uninsured Drivers Agreement 2015 (in force August 1, 2015). For the enforceability of the agreement by third parties, see also </w:t>
      </w:r>
      <w:r>
        <w:rPr>
          <w:rFonts w:ascii="Arial" w:hAnsi="Arial"/>
          <w:i/>
          <w:sz w:val="20"/>
        </w:rPr>
        <w:t>Charlton v Fisher [2001] EWCA Civ 122; [2002] Q.B. 578</w:t>
      </w:r>
      <w:r>
        <w:rPr>
          <w:sz w:val="20"/>
        </w:rPr>
        <w:t>, at [25], [82] and below at n.772.</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6"/>
      </w:pPr>
    </w:p>
    <w:p>
      <w:pPr>
        <w:tabs>
          <w:tab w:pos="705" w:val="left" w:leader="none"/>
        </w:tabs>
        <w:spacing w:line="235" w:lineRule="auto" w:before="0"/>
        <w:ind w:left="705" w:right="168" w:hanging="541"/>
        <w:jc w:val="left"/>
        <w:rPr>
          <w:sz w:val="20"/>
        </w:rPr>
      </w:pPr>
      <w:bookmarkStart w:name="_bookmark1525" w:id="1527"/>
      <w:bookmarkEnd w:id="1527"/>
      <w:r>
        <w:rPr/>
      </w:r>
      <w:hyperlink w:history="true" w:anchor="_bookmark1465">
        <w:r>
          <w:rPr>
            <w:color w:val="005DA1"/>
            <w:spacing w:val="-4"/>
            <w:position w:val="5"/>
            <w:sz w:val="14"/>
            <w:u w:val="single" w:color="005DA1"/>
          </w:rPr>
          <w:t>798</w:t>
        </w:r>
      </w:hyperlink>
      <w:r>
        <w:rPr>
          <w:spacing w:val="-4"/>
          <w:position w:val="5"/>
          <w:sz w:val="14"/>
        </w:rPr>
        <w:t>.</w:t>
      </w:r>
      <w:r>
        <w:rPr>
          <w:position w:val="5"/>
          <w:sz w:val="14"/>
        </w:rPr>
        <w:tab/>
      </w:r>
      <w:r>
        <w:rPr>
          <w:sz w:val="20"/>
        </w:rPr>
        <w:t>Above,</w:t>
      </w:r>
      <w:r>
        <w:rPr>
          <w:spacing w:val="25"/>
          <w:sz w:val="20"/>
        </w:rPr>
        <w:t> </w:t>
      </w:r>
      <w:r>
        <w:rPr>
          <w:sz w:val="20"/>
        </w:rPr>
        <w:t>para.18-091:</w:t>
      </w:r>
      <w:r>
        <w:rPr>
          <w:spacing w:val="25"/>
          <w:sz w:val="20"/>
        </w:rPr>
        <w:t> </w:t>
      </w:r>
      <w:r>
        <w:rPr>
          <w:sz w:val="20"/>
        </w:rPr>
        <w:t>see</w:t>
      </w:r>
      <w:r>
        <w:rPr>
          <w:spacing w:val="25"/>
          <w:sz w:val="20"/>
        </w:rPr>
        <w:t> </w:t>
      </w:r>
      <w:r>
        <w:rPr>
          <w:rFonts w:ascii="Arial" w:hAnsi="Arial"/>
          <w:i/>
          <w:sz w:val="20"/>
        </w:rPr>
        <w:t>Evans</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Secretary</w:t>
      </w:r>
      <w:r>
        <w:rPr>
          <w:rFonts w:ascii="Arial" w:hAnsi="Arial"/>
          <w:i/>
          <w:spacing w:val="25"/>
          <w:sz w:val="20"/>
        </w:rPr>
        <w:t> </w:t>
      </w:r>
      <w:r>
        <w:rPr>
          <w:rFonts w:ascii="Arial" w:hAnsi="Arial"/>
          <w:i/>
          <w:sz w:val="20"/>
        </w:rPr>
        <w:t>of</w:t>
      </w:r>
      <w:r>
        <w:rPr>
          <w:rFonts w:ascii="Arial" w:hAnsi="Arial"/>
          <w:i/>
          <w:spacing w:val="25"/>
          <w:sz w:val="20"/>
        </w:rPr>
        <w:t> </w:t>
      </w:r>
      <w:r>
        <w:rPr>
          <w:rFonts w:ascii="Arial" w:hAnsi="Arial"/>
          <w:i/>
          <w:sz w:val="20"/>
        </w:rPr>
        <w:t>State</w:t>
      </w:r>
      <w:r>
        <w:rPr>
          <w:rFonts w:ascii="Arial" w:hAnsi="Arial"/>
          <w:i/>
          <w:spacing w:val="25"/>
          <w:sz w:val="20"/>
        </w:rPr>
        <w:t> </w:t>
      </w:r>
      <w:r>
        <w:rPr>
          <w:rFonts w:ascii="Arial" w:hAnsi="Arial"/>
          <w:i/>
          <w:sz w:val="20"/>
        </w:rPr>
        <w:t>for</w:t>
      </w:r>
      <w:r>
        <w:rPr>
          <w:rFonts w:ascii="Arial" w:hAnsi="Arial"/>
          <w:i/>
          <w:spacing w:val="25"/>
          <w:sz w:val="20"/>
        </w:rPr>
        <w:t> </w:t>
      </w:r>
      <w:r>
        <w:rPr>
          <w:rFonts w:ascii="Arial" w:hAnsi="Arial"/>
          <w:i/>
          <w:sz w:val="20"/>
        </w:rPr>
        <w:t>the</w:t>
      </w:r>
      <w:r>
        <w:rPr>
          <w:rFonts w:ascii="Arial" w:hAnsi="Arial"/>
          <w:i/>
          <w:spacing w:val="25"/>
          <w:sz w:val="20"/>
        </w:rPr>
        <w:t> </w:t>
      </w:r>
      <w:r>
        <w:rPr>
          <w:rFonts w:ascii="Arial" w:hAnsi="Arial"/>
          <w:i/>
          <w:sz w:val="20"/>
        </w:rPr>
        <w:t>Environment,</w:t>
      </w:r>
      <w:r>
        <w:rPr>
          <w:rFonts w:ascii="Arial" w:hAnsi="Arial"/>
          <w:i/>
          <w:spacing w:val="25"/>
          <w:sz w:val="20"/>
        </w:rPr>
        <w:t> </w:t>
      </w:r>
      <w:r>
        <w:rPr>
          <w:rFonts w:ascii="Arial" w:hAnsi="Arial"/>
          <w:i/>
          <w:sz w:val="20"/>
        </w:rPr>
        <w:t>Transport</w:t>
      </w:r>
      <w:r>
        <w:rPr>
          <w:rFonts w:ascii="Arial" w:hAnsi="Arial"/>
          <w:i/>
          <w:spacing w:val="25"/>
          <w:sz w:val="20"/>
        </w:rPr>
        <w:t> </w:t>
      </w:r>
      <w:r>
        <w:rPr>
          <w:rFonts w:ascii="Arial" w:hAnsi="Arial"/>
          <w:i/>
          <w:sz w:val="20"/>
        </w:rPr>
        <w:t>and</w:t>
      </w:r>
      <w:r>
        <w:rPr>
          <w:rFonts w:ascii="Arial" w:hAnsi="Arial"/>
          <w:i/>
          <w:spacing w:val="25"/>
          <w:sz w:val="20"/>
        </w:rPr>
        <w:t> </w:t>
      </w:r>
      <w:r>
        <w:rPr>
          <w:rFonts w:ascii="Arial" w:hAnsi="Arial"/>
          <w:i/>
          <w:sz w:val="20"/>
        </w:rPr>
        <w:t>the Regions [2001] EWCA Civ 32, [2002] Lloyd’s Rep. I.R. 1 </w:t>
      </w:r>
      <w:r>
        <w:rPr>
          <w:sz w:val="20"/>
        </w:rPr>
        <w:t>at [4].</w:t>
      </w:r>
    </w:p>
    <w:p>
      <w:pPr>
        <w:pStyle w:val="BodyText"/>
        <w:spacing w:before="5"/>
      </w:pPr>
    </w:p>
    <w:p>
      <w:pPr>
        <w:pStyle w:val="BodyText"/>
        <w:tabs>
          <w:tab w:pos="705" w:val="left" w:leader="none"/>
        </w:tabs>
        <w:spacing w:before="1"/>
        <w:ind w:left="165"/>
      </w:pPr>
      <w:bookmarkStart w:name="_bookmark1526" w:id="1528"/>
      <w:bookmarkEnd w:id="1528"/>
      <w:r>
        <w:rPr/>
      </w:r>
      <w:hyperlink w:history="true" w:anchor="_bookmark1466">
        <w:r>
          <w:rPr>
            <w:color w:val="005DA1"/>
            <w:spacing w:val="-4"/>
            <w:position w:val="5"/>
            <w:sz w:val="14"/>
            <w:u w:val="single" w:color="005DA1"/>
          </w:rPr>
          <w:t>799</w:t>
        </w:r>
      </w:hyperlink>
      <w:r>
        <w:rPr>
          <w:spacing w:val="-4"/>
          <w:position w:val="5"/>
          <w:sz w:val="14"/>
        </w:rPr>
        <w:t>.</w:t>
      </w:r>
      <w:r>
        <w:rPr>
          <w:position w:val="5"/>
          <w:sz w:val="14"/>
        </w:rPr>
        <w:tab/>
      </w:r>
      <w:r>
        <w:rPr/>
        <w:t>Occupiers’ Liability Act 1957, </w:t>
      </w:r>
      <w:r>
        <w:rPr>
          <w:spacing w:val="-2"/>
        </w:rPr>
        <w:t>s.3(1).</w:t>
      </w:r>
    </w:p>
    <w:p>
      <w:pPr>
        <w:pStyle w:val="BodyText"/>
        <w:spacing w:before="8"/>
      </w:pPr>
    </w:p>
    <w:p>
      <w:pPr>
        <w:pStyle w:val="BodyText"/>
        <w:tabs>
          <w:tab w:pos="705" w:val="left" w:leader="none"/>
        </w:tabs>
        <w:spacing w:line="235" w:lineRule="auto"/>
        <w:ind w:left="705" w:right="168" w:hanging="541"/>
      </w:pPr>
      <w:bookmarkStart w:name="_bookmark1527" w:id="1529"/>
      <w:bookmarkEnd w:id="1529"/>
      <w:r>
        <w:rPr/>
      </w:r>
      <w:hyperlink w:history="true" w:anchor="_bookmark1467">
        <w:r>
          <w:rPr>
            <w:color w:val="005DA1"/>
            <w:spacing w:val="-4"/>
            <w:position w:val="5"/>
            <w:sz w:val="14"/>
            <w:u w:val="single" w:color="005DA1"/>
          </w:rPr>
          <w:t>800</w:t>
        </w:r>
      </w:hyperlink>
      <w:r>
        <w:rPr>
          <w:spacing w:val="-4"/>
          <w:position w:val="5"/>
          <w:sz w:val="14"/>
        </w:rPr>
        <w:t>.</w:t>
      </w:r>
      <w:r>
        <w:rPr>
          <w:position w:val="5"/>
          <w:sz w:val="14"/>
        </w:rPr>
        <w:tab/>
      </w:r>
      <w:r>
        <w:rPr/>
        <w:t>This</w:t>
      </w:r>
      <w:r>
        <w:rPr>
          <w:spacing w:val="15"/>
        </w:rPr>
        <w:t> </w:t>
      </w:r>
      <w:r>
        <w:rPr/>
        <w:t>order</w:t>
      </w:r>
      <w:r>
        <w:rPr>
          <w:spacing w:val="15"/>
        </w:rPr>
        <w:t> </w:t>
      </w:r>
      <w:r>
        <w:rPr/>
        <w:t>will</w:t>
      </w:r>
      <w:r>
        <w:rPr>
          <w:spacing w:val="15"/>
        </w:rPr>
        <w:t> </w:t>
      </w:r>
      <w:r>
        <w:rPr/>
        <w:t>generally</w:t>
      </w:r>
      <w:r>
        <w:rPr>
          <w:spacing w:val="15"/>
        </w:rPr>
        <w:t> </w:t>
      </w:r>
      <w:r>
        <w:rPr/>
        <w:t>give</w:t>
      </w:r>
      <w:r>
        <w:rPr>
          <w:spacing w:val="15"/>
        </w:rPr>
        <w:t> </w:t>
      </w:r>
      <w:r>
        <w:rPr/>
        <w:t>rise</w:t>
      </w:r>
      <w:r>
        <w:rPr>
          <w:spacing w:val="15"/>
        </w:rPr>
        <w:t> </w:t>
      </w:r>
      <w:r>
        <w:rPr/>
        <w:t>to</w:t>
      </w:r>
      <w:r>
        <w:rPr>
          <w:spacing w:val="15"/>
        </w:rPr>
        <w:t> </w:t>
      </w:r>
      <w:r>
        <w:rPr/>
        <w:t>a</w:t>
      </w:r>
      <w:r>
        <w:rPr>
          <w:spacing w:val="15"/>
        </w:rPr>
        <w:t> </w:t>
      </w:r>
      <w:r>
        <w:rPr/>
        <w:t>contract</w:t>
      </w:r>
      <w:r>
        <w:rPr>
          <w:spacing w:val="15"/>
        </w:rPr>
        <w:t> </w:t>
      </w:r>
      <w:r>
        <w:rPr/>
        <w:t>but</w:t>
      </w:r>
      <w:r>
        <w:rPr>
          <w:spacing w:val="15"/>
        </w:rPr>
        <w:t> </w:t>
      </w:r>
      <w:r>
        <w:rPr/>
        <w:t>the</w:t>
      </w:r>
      <w:r>
        <w:rPr>
          <w:spacing w:val="15"/>
        </w:rPr>
        <w:t> </w:t>
      </w:r>
      <w:r>
        <w:rPr/>
        <w:t>duty</w:t>
      </w:r>
      <w:r>
        <w:rPr>
          <w:spacing w:val="15"/>
        </w:rPr>
        <w:t> </w:t>
      </w:r>
      <w:r>
        <w:rPr/>
        <w:t>is</w:t>
      </w:r>
      <w:r>
        <w:rPr>
          <w:spacing w:val="15"/>
        </w:rPr>
        <w:t> </w:t>
      </w:r>
      <w:r>
        <w:rPr/>
        <w:t>imposed</w:t>
      </w:r>
      <w:r>
        <w:rPr>
          <w:spacing w:val="15"/>
        </w:rPr>
        <w:t> </w:t>
      </w:r>
      <w:r>
        <w:rPr/>
        <w:t>even</w:t>
      </w:r>
      <w:r>
        <w:rPr>
          <w:spacing w:val="15"/>
        </w:rPr>
        <w:t> </w:t>
      </w:r>
      <w:r>
        <w:rPr/>
        <w:t>where</w:t>
      </w:r>
      <w:r>
        <w:rPr>
          <w:spacing w:val="15"/>
        </w:rPr>
        <w:t> </w:t>
      </w:r>
      <w:r>
        <w:rPr/>
        <w:t>this</w:t>
      </w:r>
      <w:r>
        <w:rPr>
          <w:spacing w:val="15"/>
        </w:rPr>
        <w:t> </w:t>
      </w:r>
      <w:r>
        <w:rPr/>
        <w:t>is</w:t>
      </w:r>
      <w:r>
        <w:rPr>
          <w:spacing w:val="15"/>
        </w:rPr>
        <w:t> </w:t>
      </w:r>
      <w:r>
        <w:rPr/>
        <w:t>not the case.</w:t>
      </w:r>
    </w:p>
    <w:p>
      <w:pPr>
        <w:pStyle w:val="BodyText"/>
        <w:spacing w:before="6"/>
      </w:pPr>
    </w:p>
    <w:p>
      <w:pPr>
        <w:pStyle w:val="BodyText"/>
        <w:tabs>
          <w:tab w:pos="705" w:val="left" w:leader="none"/>
        </w:tabs>
        <w:ind w:left="165"/>
      </w:pPr>
      <w:bookmarkStart w:name="_bookmark1528" w:id="1530"/>
      <w:bookmarkEnd w:id="1530"/>
      <w:r>
        <w:rPr/>
      </w:r>
      <w:hyperlink w:history="true" w:anchor="_bookmark1468">
        <w:r>
          <w:rPr>
            <w:color w:val="005DA1"/>
            <w:spacing w:val="-4"/>
            <w:position w:val="5"/>
            <w:sz w:val="14"/>
            <w:u w:val="single" w:color="005DA1"/>
          </w:rPr>
          <w:t>801</w:t>
        </w:r>
      </w:hyperlink>
      <w:r>
        <w:rPr>
          <w:spacing w:val="-4"/>
          <w:position w:val="5"/>
          <w:sz w:val="14"/>
        </w:rPr>
        <w:t>.</w:t>
      </w:r>
      <w:r>
        <w:rPr>
          <w:position w:val="5"/>
          <w:sz w:val="14"/>
        </w:rPr>
        <w:tab/>
      </w:r>
      <w:r>
        <w:rPr/>
        <w:t>Defective Premises Act 1972, </w:t>
      </w:r>
      <w:r>
        <w:rPr>
          <w:spacing w:val="-4"/>
        </w:rPr>
        <w:t>s.1.</w:t>
      </w:r>
    </w:p>
    <w:p>
      <w:pPr>
        <w:pStyle w:val="BodyText"/>
        <w:spacing w:before="5"/>
      </w:pPr>
    </w:p>
    <w:p>
      <w:pPr>
        <w:pStyle w:val="BodyText"/>
        <w:tabs>
          <w:tab w:pos="705" w:val="left" w:leader="none"/>
        </w:tabs>
        <w:ind w:left="165"/>
      </w:pPr>
      <w:bookmarkStart w:name="_bookmark1529" w:id="1531"/>
      <w:bookmarkEnd w:id="1531"/>
      <w:r>
        <w:rPr/>
      </w:r>
      <w:hyperlink w:history="true" w:anchor="_bookmark1469">
        <w:r>
          <w:rPr>
            <w:color w:val="005DA1"/>
            <w:spacing w:val="-4"/>
            <w:position w:val="5"/>
            <w:sz w:val="14"/>
            <w:u w:val="single" w:color="005DA1"/>
          </w:rPr>
          <w:t>802</w:t>
        </w:r>
      </w:hyperlink>
      <w:r>
        <w:rPr>
          <w:spacing w:val="-4"/>
          <w:position w:val="5"/>
          <w:sz w:val="14"/>
        </w:rPr>
        <w:t>.</w:t>
      </w:r>
      <w:r>
        <w:rPr>
          <w:position w:val="5"/>
          <w:sz w:val="14"/>
        </w:rPr>
        <w:tab/>
      </w:r>
      <w:r>
        <w:rPr/>
        <w:t>This will generally be contractual but might also be imposed (for example) by </w:t>
      </w:r>
      <w:r>
        <w:rPr>
          <w:spacing w:val="-2"/>
        </w:rPr>
        <w:t>statute.</w:t>
      </w:r>
    </w:p>
    <w:p>
      <w:pPr>
        <w:pStyle w:val="BodyText"/>
        <w:spacing w:before="5"/>
      </w:pPr>
    </w:p>
    <w:p>
      <w:pPr>
        <w:pStyle w:val="BodyText"/>
        <w:tabs>
          <w:tab w:pos="705" w:val="left" w:leader="none"/>
        </w:tabs>
        <w:ind w:left="165"/>
      </w:pPr>
      <w:bookmarkStart w:name="_bookmark1530" w:id="1532"/>
      <w:bookmarkEnd w:id="1532"/>
      <w:r>
        <w:rPr/>
      </w:r>
      <w:hyperlink w:history="true" w:anchor="_bookmark1470">
        <w:r>
          <w:rPr>
            <w:color w:val="005DA1"/>
            <w:spacing w:val="-4"/>
            <w:position w:val="5"/>
            <w:sz w:val="14"/>
            <w:u w:val="single" w:color="005DA1"/>
          </w:rPr>
          <w:t>803</w:t>
        </w:r>
      </w:hyperlink>
      <w:r>
        <w:rPr>
          <w:spacing w:val="-4"/>
          <w:position w:val="5"/>
          <w:sz w:val="14"/>
        </w:rPr>
        <w:t>.</w:t>
      </w:r>
      <w:r>
        <w:rPr>
          <w:position w:val="5"/>
          <w:sz w:val="14"/>
        </w:rPr>
        <w:tab/>
      </w:r>
      <w:r>
        <w:rPr/>
        <w:t>Defective Premises Act 1972, </w:t>
      </w:r>
      <w:r>
        <w:rPr>
          <w:spacing w:val="-4"/>
        </w:rPr>
        <w:t>s.4.</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160" w:bottom="280" w:left="1275" w:right="1275"/>
        </w:sectPr>
      </w:pPr>
    </w:p>
    <w:p>
      <w:pPr>
        <w:pStyle w:val="BodyText"/>
        <w:spacing w:before="79"/>
        <w:rPr>
          <w:sz w:val="28"/>
        </w:r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1072"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4088832">
                <wp:simplePos x="0" y="0"/>
                <wp:positionH relativeFrom="page">
                  <wp:posOffset>4703826</wp:posOffset>
                </wp:positionH>
                <wp:positionV relativeFrom="paragraph">
                  <wp:posOffset>377436</wp:posOffset>
                </wp:positionV>
                <wp:extent cx="4254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27648" from="370.380005pt,29.719406pt" to="373.716005pt,29.719406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w:t>
      </w:r>
      <w:bookmarkStart w:name="_bookmark1531" w:id="1533"/>
      <w:bookmarkEnd w:id="1533"/>
      <w:r>
        <w:rPr>
          <w:rFonts w:ascii="Arial"/>
          <w:b/>
          <w:sz w:val="24"/>
        </w:rPr>
        <w:t>Chapter</w:t>
      </w:r>
      <w:r>
        <w:rPr>
          <w:rFonts w:ascii="Arial"/>
          <w:b/>
          <w:sz w:val="24"/>
        </w:rPr>
        <w:t> 18 - Third Parties </w:t>
      </w:r>
      <w:r>
        <w:rPr>
          <w:rFonts w:ascii="Arial"/>
          <w:b/>
          <w:color w:val="005DA1"/>
          <w:position w:val="11"/>
          <w:sz w:val="12"/>
        </w:rPr>
        <w:t>1</w:t>
      </w:r>
    </w:p>
    <w:p>
      <w:pPr>
        <w:spacing w:before="2"/>
        <w:ind w:left="1073" w:right="1076" w:firstLine="0"/>
        <w:jc w:val="center"/>
        <w:rPr>
          <w:rFonts w:ascii="Arial"/>
          <w:b/>
          <w:sz w:val="24"/>
        </w:rPr>
      </w:pPr>
      <w:r>
        <w:rPr>
          <w:rFonts w:ascii="Arial"/>
          <w:b/>
          <w:sz w:val="24"/>
        </w:rPr>
        <w:t>Section 5. - Enforcement Against Third </w:t>
      </w:r>
      <w:r>
        <w:rPr>
          <w:rFonts w:ascii="Arial"/>
          <w:b/>
          <w:spacing w:val="-2"/>
          <w:sz w:val="24"/>
        </w:rPr>
        <w:t>Parties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General rule: third party not </w:t>
      </w:r>
      <w:r>
        <w:rPr>
          <w:rFonts w:ascii="Arial"/>
          <w:b/>
          <w:spacing w:val="-2"/>
          <w:sz w:val="18"/>
        </w:rPr>
        <w:t>bound</w:t>
      </w:r>
    </w:p>
    <w:p>
      <w:pPr>
        <w:pStyle w:val="BodyText"/>
        <w:spacing w:before="41"/>
        <w:rPr>
          <w:rFonts w:ascii="Arial"/>
          <w:b/>
          <w:sz w:val="18"/>
        </w:rPr>
      </w:pPr>
    </w:p>
    <w:p>
      <w:pPr>
        <w:pStyle w:val="Heading2"/>
      </w:pPr>
      <w:r>
        <w:rPr/>
        <w:t>18-</w:t>
      </w:r>
      <w:r>
        <w:rPr>
          <w:spacing w:val="-5"/>
        </w:rPr>
        <w:t>139</w:t>
      </w:r>
    </w:p>
    <w:p>
      <w:pPr>
        <w:pStyle w:val="BodyText"/>
        <w:spacing w:line="235" w:lineRule="auto" w:before="203"/>
        <w:ind w:left="164" w:right="167"/>
        <w:jc w:val="both"/>
      </w:pPr>
      <w:bookmarkStart w:name="_bookmark1532" w:id="1534"/>
      <w:bookmarkEnd w:id="1534"/>
      <w:r>
        <w:rPr/>
      </w:r>
      <w:r>
        <w:rPr/>
        <w:t>The</w:t>
      </w:r>
      <w:r>
        <w:rPr>
          <w:spacing w:val="-1"/>
        </w:rPr>
        <w:t> </w:t>
      </w:r>
      <w:r>
        <w:rPr/>
        <w:t>general</w:t>
      </w:r>
      <w:r>
        <w:rPr>
          <w:spacing w:val="-1"/>
        </w:rPr>
        <w:t> </w:t>
      </w:r>
      <w:r>
        <w:rPr/>
        <w:t>rule</w:t>
      </w:r>
      <w:r>
        <w:rPr>
          <w:spacing w:val="-1"/>
        </w:rPr>
        <w:t> </w:t>
      </w:r>
      <w:r>
        <w:rPr/>
        <w:t>is</w:t>
      </w:r>
      <w:r>
        <w:rPr>
          <w:spacing w:val="-1"/>
        </w:rPr>
        <w:t> </w:t>
      </w:r>
      <w:r>
        <w:rPr/>
        <w:t>that</w:t>
      </w:r>
      <w:r>
        <w:rPr>
          <w:spacing w:val="-1"/>
        </w:rPr>
        <w:t> </w:t>
      </w:r>
      <w:r>
        <w:rPr/>
        <w:t>a</w:t>
      </w:r>
      <w:r>
        <w:rPr>
          <w:spacing w:val="-1"/>
        </w:rPr>
        <w:t> </w:t>
      </w:r>
      <w:r>
        <w:rPr/>
        <w:t>contract</w:t>
      </w:r>
      <w:r>
        <w:rPr>
          <w:spacing w:val="-1"/>
        </w:rPr>
        <w:t> </w:t>
      </w:r>
      <w:r>
        <w:rPr/>
        <w:t>binds</w:t>
      </w:r>
      <w:r>
        <w:rPr>
          <w:spacing w:val="-1"/>
        </w:rPr>
        <w:t> </w:t>
      </w:r>
      <w:r>
        <w:rPr/>
        <w:t>only</w:t>
      </w:r>
      <w:r>
        <w:rPr>
          <w:spacing w:val="-1"/>
        </w:rPr>
        <w:t> </w:t>
      </w:r>
      <w:r>
        <w:rPr/>
        <w:t>the</w:t>
      </w:r>
      <w:r>
        <w:rPr>
          <w:spacing w:val="-1"/>
        </w:rPr>
        <w:t> </w:t>
      </w:r>
      <w:r>
        <w:rPr/>
        <w:t>parties</w:t>
      </w:r>
      <w:r>
        <w:rPr>
          <w:spacing w:val="-1"/>
        </w:rPr>
        <w:t> </w:t>
      </w:r>
      <w:r>
        <w:rPr/>
        <w:t>to</w:t>
      </w:r>
      <w:r>
        <w:rPr>
          <w:spacing w:val="-1"/>
        </w:rPr>
        <w:t> </w:t>
      </w:r>
      <w:r>
        <w:rPr/>
        <w:t>it.</w:t>
      </w:r>
      <w:r>
        <w:rPr>
          <w:spacing w:val="-1"/>
        </w:rPr>
        <w:t> </w:t>
      </w:r>
      <w:r>
        <w:rPr/>
        <w:t>This</w:t>
      </w:r>
      <w:r>
        <w:rPr>
          <w:spacing w:val="-1"/>
        </w:rPr>
        <w:t> </w:t>
      </w:r>
      <w:r>
        <w:rPr/>
        <w:t>rule</w:t>
      </w:r>
      <w:r>
        <w:rPr>
          <w:spacing w:val="-1"/>
        </w:rPr>
        <w:t> </w:t>
      </w:r>
      <w:r>
        <w:rPr/>
        <w:t>is</w:t>
      </w:r>
      <w:r>
        <w:rPr>
          <w:spacing w:val="-1"/>
        </w:rPr>
        <w:t> </w:t>
      </w:r>
      <w:r>
        <w:rPr/>
        <w:t>regarded</w:t>
      </w:r>
      <w:r>
        <w:rPr>
          <w:spacing w:val="-1"/>
        </w:rPr>
        <w:t> </w:t>
      </w:r>
      <w:r>
        <w:rPr/>
        <w:t>as</w:t>
      </w:r>
      <w:r>
        <w:rPr>
          <w:spacing w:val="-1"/>
        </w:rPr>
        <w:t> </w:t>
      </w:r>
      <w:r>
        <w:rPr/>
        <w:t>an</w:t>
      </w:r>
      <w:r>
        <w:rPr>
          <w:spacing w:val="-1"/>
        </w:rPr>
        <w:t> </w:t>
      </w:r>
      <w:r>
        <w:rPr/>
        <w:t>aspect</w:t>
      </w:r>
      <w:r>
        <w:rPr>
          <w:spacing w:val="-1"/>
        </w:rPr>
        <w:t> </w:t>
      </w:r>
      <w:r>
        <w:rPr/>
        <w:t>of</w:t>
      </w:r>
      <w:r>
        <w:rPr>
          <w:spacing w:val="-1"/>
        </w:rPr>
        <w:t> </w:t>
      </w:r>
      <w:r>
        <w:rPr/>
        <w:t>the </w:t>
      </w:r>
      <w:bookmarkStart w:name="_bookmark1533" w:id="1535"/>
      <w:bookmarkEnd w:id="1535"/>
      <w:r>
        <w:rPr/>
        <w:t>doctrine</w:t>
      </w:r>
      <w:r>
        <w:rPr/>
        <w:t> of privity </w:t>
      </w:r>
      <w:r>
        <w:rPr>
          <w:color w:val="005DA1"/>
          <w:u w:val="single" w:color="005DA1"/>
          <w:vertAlign w:val="superscript"/>
        </w:rPr>
        <w:t>804</w:t>
      </w:r>
      <w:r>
        <w:rPr>
          <w:vertAlign w:val="baseline"/>
        </w:rPr>
        <w:t>; and in so far as A and B cannot by a contract between them impose an obligation to perform duties arising under that contract on C, </w:t>
      </w:r>
      <w:r>
        <w:rPr>
          <w:color w:val="005DA1"/>
          <w:u w:val="single" w:color="005DA1"/>
          <w:vertAlign w:val="superscript"/>
        </w:rPr>
        <w:t>805</w:t>
      </w:r>
      <w:r>
        <w:rPr>
          <w:color w:val="005DA1"/>
          <w:vertAlign w:val="baseline"/>
        </w:rPr>
        <w:t> </w:t>
      </w:r>
      <w:r>
        <w:rPr>
          <w:vertAlign w:val="baseline"/>
        </w:rPr>
        <w:t>the rule may seem to be so obvious that it scarcely needs to be stated: if a contract between A and B provided that C was to pay £100 to A, no-one would suppose that this contract could oblige C to make the payment. The point is further </w:t>
      </w:r>
      <w:bookmarkStart w:name="_bookmark1534" w:id="1536"/>
      <w:bookmarkEnd w:id="1536"/>
      <w:r>
        <w:rPr>
          <w:vertAlign w:val="baseline"/>
        </w:rPr>
        <w:t>illustrated</w:t>
      </w:r>
      <w:r>
        <w:rPr>
          <w:vertAlign w:val="baseline"/>
        </w:rPr>
        <w:t> by a case in which the Supreme Court held that a contract entered into by a company did not bind a third party merely because that person was the company’s controlling shareholder. </w:t>
      </w:r>
      <w:r>
        <w:rPr>
          <w:color w:val="005DA1"/>
          <w:u w:val="single" w:color="005DA1"/>
          <w:vertAlign w:val="superscript"/>
        </w:rPr>
        <w:t>806</w:t>
      </w:r>
      <w:r>
        <w:rPr>
          <w:color w:val="005DA1"/>
          <w:vertAlign w:val="baseline"/>
        </w:rPr>
        <w:t> </w:t>
      </w:r>
      <w:r>
        <w:rPr>
          <w:vertAlign w:val="baseline"/>
        </w:rPr>
        <w:t>Similar policy considerations account for the rule that C is not liable to A in restitution merely because </w:t>
      </w:r>
      <w:bookmarkStart w:name="_bookmark1535" w:id="1537"/>
      <w:bookmarkEnd w:id="1537"/>
      <w:r>
        <w:rPr>
          <w:vertAlign w:val="baseline"/>
        </w:rPr>
        <w:t>A</w:t>
      </w:r>
      <w:r>
        <w:rPr>
          <w:vertAlign w:val="baseline"/>
        </w:rPr>
        <w:t> has, in the performance of a contract between A and B (to which C was not a party), conferred a benefit on C. </w:t>
      </w:r>
      <w:r>
        <w:rPr>
          <w:color w:val="005DA1"/>
          <w:u w:val="single" w:color="005DA1"/>
          <w:vertAlign w:val="superscript"/>
        </w:rPr>
        <w:t>807</w:t>
      </w:r>
      <w:r>
        <w:rPr>
          <w:color w:val="005DA1"/>
          <w:vertAlign w:val="baseline"/>
        </w:rPr>
        <w:t> </w:t>
      </w:r>
      <w:r>
        <w:rPr>
          <w:vertAlign w:val="baseline"/>
        </w:rPr>
        <w:t>But the rule equally applies where the contract between A and B merely purports </w:t>
      </w:r>
      <w:r>
        <w:rPr>
          <w:vertAlign w:val="baseline"/>
        </w:rPr>
        <w:t>to deprive C of some right or to restrict his freedom of action, without imposing any obligation to perform </w:t>
      </w:r>
      <w:bookmarkStart w:name="_bookmark1536" w:id="1538"/>
      <w:bookmarkEnd w:id="1538"/>
      <w:r>
        <w:rPr>
          <w:vertAlign w:val="baseline"/>
        </w:rPr>
        <w:t>on</w:t>
      </w:r>
      <w:r>
        <w:rPr>
          <w:spacing w:val="-1"/>
          <w:vertAlign w:val="baseline"/>
        </w:rPr>
        <w:t> </w:t>
      </w:r>
      <w:r>
        <w:rPr>
          <w:vertAlign w:val="baseline"/>
        </w:rPr>
        <w:t>him:</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bound</w:t>
      </w:r>
      <w:r>
        <w:rPr>
          <w:spacing w:val="-1"/>
          <w:vertAlign w:val="baseline"/>
        </w:rPr>
        <w:t> </w:t>
      </w:r>
      <w:r>
        <w:rPr>
          <w:vertAlign w:val="baseline"/>
        </w:rPr>
        <w:t>by</w:t>
      </w:r>
      <w:r>
        <w:rPr>
          <w:spacing w:val="-1"/>
          <w:vertAlign w:val="baseline"/>
        </w:rPr>
        <w:t> </w:t>
      </w:r>
      <w:r>
        <w:rPr>
          <w:vertAlign w:val="baseline"/>
        </w:rPr>
        <w:t>an</w:t>
      </w:r>
      <w:r>
        <w:rPr>
          <w:spacing w:val="-1"/>
          <w:vertAlign w:val="baseline"/>
        </w:rPr>
        <w:t> </w:t>
      </w:r>
      <w:r>
        <w:rPr>
          <w:vertAlign w:val="baseline"/>
        </w:rPr>
        <w:t>exclusion</w:t>
      </w:r>
      <w:r>
        <w:rPr>
          <w:spacing w:val="-1"/>
          <w:vertAlign w:val="baseline"/>
        </w:rPr>
        <w:t> </w:t>
      </w:r>
      <w:r>
        <w:rPr>
          <w:vertAlign w:val="baseline"/>
        </w:rPr>
        <w:t>clause</w:t>
      </w:r>
      <w:r>
        <w:rPr>
          <w:spacing w:val="-1"/>
          <w:vertAlign w:val="baseline"/>
        </w:rPr>
        <w:t> </w:t>
      </w:r>
      <w:r>
        <w:rPr>
          <w:vertAlign w:val="baseline"/>
        </w:rPr>
        <w:t>contained</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to</w:t>
      </w:r>
      <w:r>
        <w:rPr>
          <w:spacing w:val="-1"/>
          <w:vertAlign w:val="baseline"/>
        </w:rPr>
        <w:t> </w:t>
      </w:r>
      <w:r>
        <w:rPr>
          <w:vertAlign w:val="baseline"/>
        </w:rPr>
        <w:t>which</w:t>
      </w:r>
      <w:r>
        <w:rPr>
          <w:spacing w:val="-1"/>
          <w:vertAlign w:val="baseline"/>
        </w:rPr>
        <w:t> </w:t>
      </w:r>
      <w:r>
        <w:rPr>
          <w:vertAlign w:val="baseline"/>
        </w:rPr>
        <w:t>he is not a party, </w:t>
      </w:r>
      <w:r>
        <w:rPr>
          <w:color w:val="005DA1"/>
          <w:u w:val="single" w:color="005DA1"/>
          <w:vertAlign w:val="superscript"/>
        </w:rPr>
        <w:t>808</w:t>
      </w:r>
      <w:r>
        <w:rPr>
          <w:color w:val="005DA1"/>
          <w:vertAlign w:val="baseline"/>
        </w:rPr>
        <w:t> </w:t>
      </w:r>
      <w:r>
        <w:rPr>
          <w:vertAlign w:val="baseline"/>
        </w:rPr>
        <w:t>unless one of the exceptions to the doctrine of privity can be invoked against him </w:t>
      </w:r>
      <w:r>
        <w:rPr>
          <w:color w:val="005DA1"/>
          <w:u w:val="single" w:color="005DA1"/>
          <w:vertAlign w:val="superscript"/>
        </w:rPr>
        <w:t>809</w:t>
      </w:r>
      <w:r>
        <w:rPr>
          <w:color w:val="005DA1"/>
          <w:vertAlign w:val="baseline"/>
        </w:rPr>
        <w:t> </w:t>
      </w:r>
      <w:r>
        <w:rPr>
          <w:vertAlign w:val="baseline"/>
        </w:rPr>
        <w:t>or</w:t>
      </w:r>
      <w:r>
        <w:rPr>
          <w:spacing w:val="38"/>
          <w:vertAlign w:val="baseline"/>
        </w:rPr>
        <w:t> </w:t>
      </w:r>
      <w:r>
        <w:rPr>
          <w:vertAlign w:val="baseline"/>
        </w:rPr>
        <w:t>unless</w:t>
      </w:r>
      <w:r>
        <w:rPr>
          <w:spacing w:val="38"/>
          <w:vertAlign w:val="baseline"/>
        </w:rPr>
        <w:t> </w:t>
      </w:r>
      <w:r>
        <w:rPr>
          <w:vertAlign w:val="baseline"/>
        </w:rPr>
        <w:t>he</w:t>
      </w:r>
      <w:r>
        <w:rPr>
          <w:spacing w:val="38"/>
          <w:vertAlign w:val="baseline"/>
        </w:rPr>
        <w:t> </w:t>
      </w:r>
      <w:r>
        <w:rPr>
          <w:vertAlign w:val="baseline"/>
        </w:rPr>
        <w:t>can</w:t>
      </w:r>
      <w:r>
        <w:rPr>
          <w:spacing w:val="38"/>
          <w:vertAlign w:val="baseline"/>
        </w:rPr>
        <w:t> </w:t>
      </w:r>
      <w:r>
        <w:rPr>
          <w:vertAlign w:val="baseline"/>
        </w:rPr>
        <w:t>be</w:t>
      </w:r>
      <w:r>
        <w:rPr>
          <w:spacing w:val="38"/>
          <w:vertAlign w:val="baseline"/>
        </w:rPr>
        <w:t> </w:t>
      </w:r>
      <w:r>
        <w:rPr>
          <w:vertAlign w:val="baseline"/>
        </w:rPr>
        <w:t>held</w:t>
      </w:r>
      <w:r>
        <w:rPr>
          <w:spacing w:val="38"/>
          <w:vertAlign w:val="baseline"/>
        </w:rPr>
        <w:t> </w:t>
      </w:r>
      <w:r>
        <w:rPr>
          <w:vertAlign w:val="baseline"/>
        </w:rPr>
        <w:t>to</w:t>
      </w:r>
      <w:r>
        <w:rPr>
          <w:spacing w:val="38"/>
          <w:vertAlign w:val="baseline"/>
        </w:rPr>
        <w:t> </w:t>
      </w:r>
      <w:r>
        <w:rPr>
          <w:vertAlign w:val="baseline"/>
        </w:rPr>
        <w:t>be</w:t>
      </w:r>
      <w:r>
        <w:rPr>
          <w:spacing w:val="38"/>
          <w:vertAlign w:val="baseline"/>
        </w:rPr>
        <w:t> </w:t>
      </w:r>
      <w:r>
        <w:rPr>
          <w:vertAlign w:val="baseline"/>
        </w:rPr>
        <w:t>so</w:t>
      </w:r>
      <w:r>
        <w:rPr>
          <w:spacing w:val="38"/>
          <w:vertAlign w:val="baseline"/>
        </w:rPr>
        <w:t> </w:t>
      </w:r>
      <w:r>
        <w:rPr>
          <w:vertAlign w:val="baseline"/>
        </w:rPr>
        <w:t>bound</w:t>
      </w:r>
      <w:r>
        <w:rPr>
          <w:spacing w:val="38"/>
          <w:vertAlign w:val="baseline"/>
        </w:rPr>
        <w:t> </w:t>
      </w:r>
      <w:r>
        <w:rPr>
          <w:vertAlign w:val="baseline"/>
        </w:rPr>
        <w:t>by</w:t>
      </w:r>
      <w:r>
        <w:rPr>
          <w:spacing w:val="38"/>
          <w:vertAlign w:val="baseline"/>
        </w:rPr>
        <w:t> </w:t>
      </w:r>
      <w:r>
        <w:rPr>
          <w:vertAlign w:val="baseline"/>
        </w:rPr>
        <w:t>virtue</w:t>
      </w:r>
      <w:r>
        <w:rPr>
          <w:spacing w:val="38"/>
          <w:vertAlign w:val="baseline"/>
        </w:rPr>
        <w:t> </w:t>
      </w:r>
      <w:r>
        <w:rPr>
          <w:vertAlign w:val="baseline"/>
        </w:rPr>
        <w:t>of</w:t>
      </w:r>
      <w:r>
        <w:rPr>
          <w:spacing w:val="38"/>
          <w:vertAlign w:val="baseline"/>
        </w:rPr>
        <w:t> </w:t>
      </w:r>
      <w:r>
        <w:rPr>
          <w:vertAlign w:val="baseline"/>
        </w:rPr>
        <w:t>some</w:t>
      </w:r>
      <w:r>
        <w:rPr>
          <w:spacing w:val="38"/>
          <w:vertAlign w:val="baseline"/>
        </w:rPr>
        <w:t> </w:t>
      </w:r>
      <w:r>
        <w:rPr>
          <w:vertAlign w:val="baseline"/>
        </w:rPr>
        <w:t>relationship</w:t>
      </w:r>
      <w:r>
        <w:rPr>
          <w:spacing w:val="38"/>
          <w:vertAlign w:val="baseline"/>
        </w:rPr>
        <w:t> </w:t>
      </w:r>
      <w:r>
        <w:rPr>
          <w:vertAlign w:val="baseline"/>
        </w:rPr>
        <w:t>(such</w:t>
      </w:r>
      <w:r>
        <w:rPr>
          <w:spacing w:val="38"/>
          <w:vertAlign w:val="baseline"/>
        </w:rPr>
        <w:t> </w:t>
      </w:r>
      <w:r>
        <w:rPr>
          <w:vertAlign w:val="baseline"/>
        </w:rPr>
        <w:t>as</w:t>
      </w:r>
      <w:r>
        <w:rPr>
          <w:spacing w:val="38"/>
          <w:vertAlign w:val="baseline"/>
        </w:rPr>
        <w:t> </w:t>
      </w:r>
      <w:r>
        <w:rPr>
          <w:vertAlign w:val="baseline"/>
        </w:rPr>
        <w:t>a</w:t>
      </w:r>
      <w:r>
        <w:rPr>
          <w:spacing w:val="38"/>
          <w:vertAlign w:val="baseline"/>
        </w:rPr>
        <w:t> </w:t>
      </w:r>
      <w:r>
        <w:rPr>
          <w:vertAlign w:val="baseline"/>
        </w:rPr>
        <w:t>bailment</w:t>
      </w:r>
      <w:r>
        <w:rPr>
          <w:spacing w:val="38"/>
          <w:vertAlign w:val="baseline"/>
        </w:rPr>
        <w:t> </w:t>
      </w:r>
      <w:r>
        <w:rPr>
          <w:vertAlign w:val="baseline"/>
        </w:rPr>
        <w:t>or </w:t>
      </w:r>
      <w:bookmarkStart w:name="_bookmark1537" w:id="1539"/>
      <w:bookmarkEnd w:id="1539"/>
      <w:r>
        <w:rPr>
          <w:vertAlign w:val="baseline"/>
        </w:rPr>
        <w:t>sub</w:t>
      </w:r>
      <w:r>
        <w:rPr>
          <w:vertAlign w:val="baseline"/>
        </w:rPr>
        <w:t>-bailment on terms to which he had consented, incorporating the clause) between himself and the wrongdoer. </w:t>
      </w:r>
      <w:r>
        <w:rPr>
          <w:color w:val="005DA1"/>
          <w:u w:val="single" w:color="005DA1"/>
          <w:vertAlign w:val="superscript"/>
        </w:rPr>
        <w:t>810</w:t>
      </w:r>
      <w:r>
        <w:rPr>
          <w:color w:val="005DA1"/>
          <w:vertAlign w:val="baseline"/>
        </w:rPr>
        <w:t> </w:t>
      </w:r>
      <w:r>
        <w:rPr>
          <w:vertAlign w:val="baseline"/>
        </w:rPr>
        <w:t>Another illustration of the same point is provided by a case </w:t>
      </w:r>
      <w:r>
        <w:rPr>
          <w:color w:val="005DA1"/>
          <w:u w:val="single" w:color="005DA1"/>
          <w:vertAlign w:val="superscript"/>
        </w:rPr>
        <w:t>811</w:t>
      </w:r>
      <w:r>
        <w:rPr>
          <w:color w:val="005DA1"/>
          <w:vertAlign w:val="baseline"/>
        </w:rPr>
        <w:t> </w:t>
      </w:r>
      <w:r>
        <w:rPr>
          <w:vertAlign w:val="baseline"/>
        </w:rPr>
        <w:t>in which A (the Crown) had granted a licence to B to “search, bore for and get” petroleum owned by A and lying partly under </w:t>
      </w:r>
      <w:bookmarkStart w:name="_bookmark1538" w:id="1540"/>
      <w:bookmarkEnd w:id="1540"/>
      <w:r>
        <w:rPr>
          <w:vertAlign w:val="baseline"/>
        </w:rPr>
        <w:t>C’s</w:t>
      </w:r>
      <w:r>
        <w:rPr>
          <w:vertAlign w:val="baseline"/>
        </w:rPr>
        <w:t> land. It was held that there was no “common law principle that [B] can invoke … to regulate their position in relation to a landowner (C) who was not a party to that arrangement.” </w:t>
      </w:r>
      <w:r>
        <w:rPr>
          <w:color w:val="005DA1"/>
          <w:u w:val="single" w:color="005DA1"/>
          <w:vertAlign w:val="superscript"/>
        </w:rPr>
        <w:t>812</w:t>
      </w:r>
      <w:r>
        <w:rPr>
          <w:color w:val="005DA1"/>
          <w:vertAlign w:val="baseline"/>
        </w:rPr>
        <w:t> </w:t>
      </w:r>
      <w:r>
        <w:rPr>
          <w:vertAlign w:val="baseline"/>
        </w:rPr>
        <w:t>Accordingly, B was liable to C for trespass to land in drilling and laying pipelines under C’s land (pursuant to the licence) in order to extract the petroleum.</w:t>
      </w:r>
    </w:p>
    <w:p>
      <w:pPr>
        <w:pStyle w:val="BodyText"/>
      </w:pPr>
    </w:p>
    <w:p>
      <w:pPr>
        <w:pStyle w:val="BodyText"/>
        <w:spacing w:before="30"/>
      </w:pPr>
    </w:p>
    <w:p>
      <w:pPr>
        <w:spacing w:before="0"/>
        <w:ind w:left="165" w:right="0" w:firstLine="0"/>
        <w:jc w:val="left"/>
        <w:rPr>
          <w:rFonts w:ascii="Arial"/>
          <w:b/>
          <w:sz w:val="18"/>
        </w:rPr>
      </w:pPr>
      <w:r>
        <w:rPr>
          <w:rFonts w:ascii="Arial"/>
          <w:b/>
          <w:sz w:val="18"/>
        </w:rPr>
        <w:t>Exceptions to the doctrine of </w:t>
      </w:r>
      <w:r>
        <w:rPr>
          <w:rFonts w:ascii="Arial"/>
          <w:b/>
          <w:spacing w:val="-2"/>
          <w:sz w:val="18"/>
        </w:rPr>
        <w:t>privity</w:t>
      </w:r>
    </w:p>
    <w:p>
      <w:pPr>
        <w:pStyle w:val="BodyText"/>
        <w:spacing w:before="42"/>
        <w:rPr>
          <w:rFonts w:ascii="Arial"/>
          <w:b/>
          <w:sz w:val="18"/>
        </w:rPr>
      </w:pPr>
    </w:p>
    <w:p>
      <w:pPr>
        <w:pStyle w:val="Heading2"/>
      </w:pPr>
      <w:r>
        <w:rPr/>
        <w:t>18-</w:t>
      </w:r>
      <w:r>
        <w:rPr>
          <w:spacing w:val="-5"/>
        </w:rPr>
        <w:t>140</w:t>
      </w:r>
    </w:p>
    <w:p>
      <w:pPr>
        <w:pStyle w:val="BodyText"/>
        <w:spacing w:line="235" w:lineRule="auto" w:before="202"/>
        <w:ind w:left="165" w:right="166"/>
        <w:jc w:val="both"/>
      </w:pPr>
      <w:r>
        <w:rPr/>
        <w:t>The discussion of the exceptions to the doctrine of privity in paras 18-079 to 18-138 above </w:t>
      </w:r>
      <w:r>
        <w:rPr/>
        <w:t>concerns situations in which a person can acquire </w:t>
      </w:r>
      <w:r>
        <w:rPr>
          <w:rFonts w:ascii="Arial"/>
          <w:i/>
        </w:rPr>
        <w:t>rights </w:t>
      </w:r>
      <w:r>
        <w:rPr/>
        <w:t>under a contract to which he is not a party. It does not deal with the converse problem, whether </w:t>
      </w:r>
      <w:r>
        <w:rPr>
          <w:rFonts w:ascii="Arial"/>
          <w:i/>
        </w:rPr>
        <w:t>duties </w:t>
      </w:r>
      <w:r>
        <w:rPr/>
        <w:t>or liabilities can be imposed by such a contract on a third party. This possibility can, however, arise, under some of the exceptions to the doctrine which have been referred to in para.18-079, but which (for reasons there stated) are not discussed in this chapter; e.g. under the law of agency and under the law as to covenants relating to land. It can also </w:t>
      </w:r>
      <w:bookmarkStart w:name="_bookmark1539" w:id="1541"/>
      <w:bookmarkEnd w:id="1541"/>
      <w:r>
        <w:rPr/>
        <w:t>arise</w:t>
      </w:r>
      <w:r>
        <w:rPr/>
        <w:t> where liabilities arising under a contract are imposed by legislation on a person who is not an original party to the contract. </w:t>
      </w:r>
      <w:r>
        <w:rPr>
          <w:color w:val="005DA1"/>
          <w:u w:val="single" w:color="005DA1"/>
          <w:vertAlign w:val="superscript"/>
        </w:rPr>
        <w:t>813</w:t>
      </w:r>
    </w:p>
    <w:p>
      <w:pPr>
        <w:pStyle w:val="BodyText"/>
      </w:pPr>
    </w:p>
    <w:p>
      <w:pPr>
        <w:pStyle w:val="BodyText"/>
        <w:spacing w:before="36"/>
      </w:pPr>
    </w:p>
    <w:p>
      <w:pPr>
        <w:spacing w:before="0"/>
        <w:ind w:left="165" w:right="0" w:firstLine="0"/>
        <w:jc w:val="left"/>
        <w:rPr>
          <w:rFonts w:ascii="Arial"/>
          <w:b/>
          <w:sz w:val="18"/>
        </w:rPr>
      </w:pPr>
      <w:r>
        <w:rPr>
          <w:rFonts w:ascii="Arial"/>
          <w:b/>
          <w:sz w:val="18"/>
        </w:rPr>
        <w:t>Scope of the </w:t>
      </w:r>
      <w:r>
        <w:rPr>
          <w:rFonts w:ascii="Arial"/>
          <w:b/>
          <w:spacing w:val="-4"/>
          <w:sz w:val="18"/>
        </w:rPr>
        <w:t>rule</w:t>
      </w:r>
    </w:p>
    <w:p>
      <w:pPr>
        <w:pStyle w:val="BodyText"/>
        <w:spacing w:before="41"/>
        <w:rPr>
          <w:rFonts w:ascii="Arial"/>
          <w:b/>
          <w:sz w:val="18"/>
        </w:rPr>
      </w:pPr>
    </w:p>
    <w:p>
      <w:pPr>
        <w:pStyle w:val="Heading2"/>
      </w:pPr>
      <w:r>
        <w:rPr/>
        <w:t>18-</w:t>
      </w:r>
      <w:r>
        <w:rPr>
          <w:spacing w:val="-5"/>
        </w:rPr>
        <w:t>141</w:t>
      </w:r>
    </w:p>
    <w:p>
      <w:pPr>
        <w:pStyle w:val="Heading2"/>
        <w:spacing w:after="0"/>
        <w:sectPr>
          <w:headerReference w:type="default" r:id="rId22"/>
          <w:pgSz w:w="11900" w:h="16840"/>
          <w:pgMar w:header="971" w:footer="0" w:top="1160" w:bottom="280" w:left="1275" w:right="1275"/>
          <w:pgNumType w:start="1"/>
        </w:sectPr>
      </w:pPr>
    </w:p>
    <w:p>
      <w:pPr>
        <w:pStyle w:val="BodyText"/>
        <w:spacing w:before="124"/>
        <w:rPr>
          <w:rFonts w:ascii="Arial"/>
          <w:b/>
        </w:rPr>
      </w:pPr>
    </w:p>
    <w:p>
      <w:pPr>
        <w:pStyle w:val="BodyText"/>
        <w:spacing w:line="235" w:lineRule="auto" w:before="1"/>
        <w:ind w:left="164" w:right="167"/>
        <w:jc w:val="both"/>
      </w:pPr>
      <w:r>
        <w:rPr/>
        <w:t>In cases governed by the general rule stated in para.18-139 above, a contract between A and </w:t>
      </w:r>
      <w:r>
        <w:rPr/>
        <w:t>B cannot impose a positive duty on C to render the performance specified in the contract; but the </w:t>
      </w:r>
      <w:bookmarkStart w:name="_bookmark1540" w:id="1542"/>
      <w:bookmarkEnd w:id="1542"/>
      <w:r>
        <w:rPr/>
        <w:t>contract</w:t>
      </w:r>
      <w:r>
        <w:rPr/>
        <w:t> can impose legal restrictions on C’s freedom of action in various other ways. For example, it </w:t>
      </w:r>
      <w:bookmarkStart w:name="_bookmark1541" w:id="1543"/>
      <w:bookmarkEnd w:id="1543"/>
      <w:r>
        <w:rPr/>
        <w:t>may</w:t>
      </w:r>
      <w:r>
        <w:rPr/>
        <w:t> create a lien, </w:t>
      </w:r>
      <w:r>
        <w:rPr>
          <w:color w:val="005DA1"/>
          <w:u w:val="single" w:color="005DA1"/>
          <w:vertAlign w:val="superscript"/>
        </w:rPr>
        <w:t>814</w:t>
      </w:r>
      <w:r>
        <w:rPr>
          <w:color w:val="005DA1"/>
          <w:vertAlign w:val="baseline"/>
        </w:rPr>
        <w:t> </w:t>
      </w:r>
      <w:r>
        <w:rPr>
          <w:vertAlign w:val="baseline"/>
        </w:rPr>
        <w:t>or a lease, </w:t>
      </w:r>
      <w:r>
        <w:rPr>
          <w:color w:val="005DA1"/>
          <w:u w:val="single" w:color="005DA1"/>
          <w:vertAlign w:val="superscript"/>
        </w:rPr>
        <w:t>815</w:t>
      </w:r>
      <w:r>
        <w:rPr>
          <w:color w:val="005DA1"/>
          <w:vertAlign w:val="baseline"/>
        </w:rPr>
        <w:t> </w:t>
      </w:r>
      <w:r>
        <w:rPr>
          <w:vertAlign w:val="baseline"/>
        </w:rPr>
        <w:t>or an equitable interest, or give rise to a constructive trust affecting property, </w:t>
      </w:r>
      <w:r>
        <w:rPr>
          <w:color w:val="005DA1"/>
          <w:u w:val="single" w:color="005DA1"/>
          <w:vertAlign w:val="superscript"/>
        </w:rPr>
        <w:t>816</w:t>
      </w:r>
      <w:r>
        <w:rPr>
          <w:color w:val="005DA1"/>
          <w:vertAlign w:val="baseline"/>
        </w:rPr>
        <w:t> </w:t>
      </w:r>
      <w:r>
        <w:rPr>
          <w:vertAlign w:val="baseline"/>
        </w:rPr>
        <w:t>and such interests can affect the rights of third parties who later acquire the property. Moreover, although a contract primarily creates rights and duties enforceable by the </w:t>
      </w:r>
      <w:bookmarkStart w:name="_bookmark1542" w:id="1544"/>
      <w:bookmarkEnd w:id="1544"/>
      <w:r>
        <w:rPr>
          <w:vertAlign w:val="baseline"/>
        </w:rPr>
        <w:t>contracting</w:t>
      </w:r>
      <w:r>
        <w:rPr>
          <w:spacing w:val="-1"/>
          <w:vertAlign w:val="baseline"/>
        </w:rPr>
        <w:t> </w:t>
      </w:r>
      <w:r>
        <w:rPr>
          <w:vertAlign w:val="baseline"/>
        </w:rPr>
        <w:t>parties</w:t>
      </w:r>
      <w:r>
        <w:rPr>
          <w:spacing w:val="-1"/>
          <w:vertAlign w:val="baseline"/>
        </w:rPr>
        <w:t> </w:t>
      </w:r>
      <w:r>
        <w:rPr>
          <w:vertAlign w:val="baseline"/>
        </w:rPr>
        <w:t>against</w:t>
      </w:r>
      <w:r>
        <w:rPr>
          <w:spacing w:val="-1"/>
          <w:vertAlign w:val="baseline"/>
        </w:rPr>
        <w:t> </w:t>
      </w:r>
      <w:r>
        <w:rPr>
          <w:vertAlign w:val="baseline"/>
        </w:rPr>
        <w:t>each</w:t>
      </w:r>
      <w:r>
        <w:rPr>
          <w:spacing w:val="-1"/>
          <w:vertAlign w:val="baseline"/>
        </w:rPr>
        <w:t> </w:t>
      </w:r>
      <w:r>
        <w:rPr>
          <w:vertAlign w:val="baseline"/>
        </w:rPr>
        <w:t>other,</w:t>
      </w:r>
      <w:r>
        <w:rPr>
          <w:spacing w:val="-1"/>
          <w:vertAlign w:val="baseline"/>
        </w:rPr>
        <w:t> </w:t>
      </w:r>
      <w:r>
        <w:rPr>
          <w:vertAlign w:val="baseline"/>
        </w:rPr>
        <w:t>it</w:t>
      </w:r>
      <w:r>
        <w:rPr>
          <w:spacing w:val="-1"/>
          <w:vertAlign w:val="baseline"/>
        </w:rPr>
        <w:t> </w:t>
      </w:r>
      <w:r>
        <w:rPr>
          <w:vertAlign w:val="baseline"/>
        </w:rPr>
        <w:t>also</w:t>
      </w:r>
      <w:r>
        <w:rPr>
          <w:spacing w:val="-1"/>
          <w:vertAlign w:val="baseline"/>
        </w:rPr>
        <w:t> </w:t>
      </w:r>
      <w:r>
        <w:rPr>
          <w:vertAlign w:val="baseline"/>
        </w:rPr>
        <w:t>incidentally</w:t>
      </w:r>
      <w:r>
        <w:rPr>
          <w:spacing w:val="-1"/>
          <w:vertAlign w:val="baseline"/>
        </w:rPr>
        <w:t> </w:t>
      </w:r>
      <w:r>
        <w:rPr>
          <w:vertAlign w:val="baseline"/>
        </w:rPr>
        <w:t>imposes</w:t>
      </w:r>
      <w:r>
        <w:rPr>
          <w:spacing w:val="-1"/>
          <w:vertAlign w:val="baseline"/>
        </w:rPr>
        <w:t> </w:t>
      </w:r>
      <w:r>
        <w:rPr>
          <w:vertAlign w:val="baseline"/>
        </w:rPr>
        <w:t>on</w:t>
      </w:r>
      <w:r>
        <w:rPr>
          <w:spacing w:val="-1"/>
          <w:vertAlign w:val="baseline"/>
        </w:rPr>
        <w:t> </w:t>
      </w:r>
      <w:r>
        <w:rPr>
          <w:vertAlign w:val="baseline"/>
        </w:rPr>
        <w:t>third</w:t>
      </w:r>
      <w:r>
        <w:rPr>
          <w:spacing w:val="-1"/>
          <w:vertAlign w:val="baseline"/>
        </w:rPr>
        <w:t> </w:t>
      </w:r>
      <w:r>
        <w:rPr>
          <w:vertAlign w:val="baseline"/>
        </w:rPr>
        <w:t>parties</w:t>
      </w:r>
      <w:r>
        <w:rPr>
          <w:spacing w:val="-1"/>
          <w:vertAlign w:val="baseline"/>
        </w:rPr>
        <w:t> </w:t>
      </w:r>
      <w:r>
        <w:rPr>
          <w:vertAlign w:val="baseline"/>
        </w:rPr>
        <w:t>a</w:t>
      </w:r>
      <w:r>
        <w:rPr>
          <w:spacing w:val="-1"/>
          <w:vertAlign w:val="baseline"/>
        </w:rPr>
        <w:t> </w:t>
      </w:r>
      <w:r>
        <w:rPr>
          <w:vertAlign w:val="baseline"/>
        </w:rPr>
        <w:t>duty</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induce one of the contracting parties to commit a breach of the contract. In the leading case of </w:t>
      </w:r>
      <w:r>
        <w:rPr>
          <w:rFonts w:ascii="Arial" w:hAnsi="Arial"/>
          <w:i/>
          <w:vertAlign w:val="baseline"/>
        </w:rPr>
        <w:t>Lumley v Gye </w:t>
      </w:r>
      <w:r>
        <w:rPr>
          <w:color w:val="005DA1"/>
          <w:u w:val="single" w:color="005DA1"/>
          <w:vertAlign w:val="superscript"/>
        </w:rPr>
        <w:t>817</w:t>
      </w:r>
      <w:r>
        <w:rPr>
          <w:color w:val="005DA1"/>
          <w:vertAlign w:val="baseline"/>
        </w:rPr>
        <w:t> </w:t>
      </w:r>
      <w:bookmarkStart w:name="_bookmark1543" w:id="1545"/>
      <w:bookmarkEnd w:id="1545"/>
      <w:r>
        <w:rPr>
          <w:color w:val="005DA1"/>
          <w:spacing w:val="-7"/>
          <w:vertAlign w:val="baseline"/>
        </w:rPr>
      </w:r>
      <w:r>
        <w:rPr>
          <w:vertAlign w:val="baseline"/>
        </w:rPr>
        <w:t>it was held that a person who, knowing of a contract between two others, “maliciously”, i.e. </w:t>
      </w:r>
      <w:bookmarkStart w:name="_bookmark1544" w:id="1546"/>
      <w:bookmarkEnd w:id="1546"/>
      <w:r>
        <w:rPr>
          <w:vertAlign w:val="baseline"/>
        </w:rPr>
        <w:t>intentionally</w:t>
      </w:r>
      <w:r>
        <w:rPr>
          <w:vertAlign w:val="baseline"/>
        </w:rPr>
        <w:t> </w:t>
      </w:r>
      <w:r>
        <w:rPr>
          <w:color w:val="005DA1"/>
          <w:u w:val="single" w:color="005DA1"/>
          <w:vertAlign w:val="superscript"/>
        </w:rPr>
        <w:t>818</w:t>
      </w:r>
      <w:r>
        <w:rPr>
          <w:color w:val="005DA1"/>
          <w:vertAlign w:val="baseline"/>
        </w:rPr>
        <w:t> </w:t>
      </w:r>
      <w:r>
        <w:rPr>
          <w:vertAlign w:val="baseline"/>
        </w:rPr>
        <w:t>induces one of them to commit a breach of it (e.g. by wrongfully refusing to perform it) is liable to the other for the tort of inducing a breach of the contract. </w:t>
      </w:r>
      <w:r>
        <w:rPr>
          <w:color w:val="005DA1"/>
          <w:u w:val="single" w:color="005DA1"/>
          <w:vertAlign w:val="superscript"/>
        </w:rPr>
        <w:t>819</w:t>
      </w:r>
      <w:r>
        <w:rPr>
          <w:color w:val="005DA1"/>
          <w:vertAlign w:val="baseline"/>
        </w:rPr>
        <w:t> </w:t>
      </w:r>
      <w:r>
        <w:rPr>
          <w:vertAlign w:val="baseline"/>
        </w:rPr>
        <w:t>In some later cases, this tort </w:t>
      </w:r>
      <w:bookmarkStart w:name="_bookmark1545" w:id="1547"/>
      <w:bookmarkEnd w:id="1547"/>
      <w:r>
        <w:rPr>
          <w:vertAlign w:val="baseline"/>
        </w:rPr>
        <w:t>was</w:t>
      </w:r>
      <w:r>
        <w:rPr>
          <w:vertAlign w:val="baseline"/>
        </w:rPr>
        <w:t> described as one of “interference” by C with contractual rights which A had under a contract </w:t>
      </w:r>
      <w:bookmarkStart w:name="_bookmark1546" w:id="1548"/>
      <w:bookmarkEnd w:id="1548"/>
      <w:r>
        <w:rPr>
          <w:vertAlign w:val="baseline"/>
        </w:rPr>
        <w:t>between</w:t>
      </w:r>
      <w:r>
        <w:rPr>
          <w:vertAlign w:val="baseline"/>
        </w:rPr>
        <w:t> A and B. This terminology was based on authorities </w:t>
      </w:r>
      <w:r>
        <w:rPr>
          <w:color w:val="005DA1"/>
          <w:u w:val="single" w:color="005DA1"/>
          <w:vertAlign w:val="superscript"/>
        </w:rPr>
        <w:t>820</w:t>
      </w:r>
      <w:r>
        <w:rPr>
          <w:color w:val="005DA1"/>
          <w:vertAlign w:val="baseline"/>
        </w:rPr>
        <w:t> </w:t>
      </w:r>
      <w:r>
        <w:rPr>
          <w:vertAlign w:val="baseline"/>
        </w:rPr>
        <w:t>which had supported the “unified </w:t>
      </w:r>
      <w:bookmarkStart w:name="_bookmark1547" w:id="1549"/>
      <w:bookmarkEnd w:id="1549"/>
      <w:r>
        <w:rPr>
          <w:vertAlign w:val="baseline"/>
        </w:rPr>
        <w:t>theory”</w:t>
      </w:r>
      <w:r>
        <w:rPr>
          <w:vertAlign w:val="baseline"/>
        </w:rPr>
        <w:t> </w:t>
      </w:r>
      <w:r>
        <w:rPr>
          <w:color w:val="005DA1"/>
          <w:u w:val="single" w:color="005DA1"/>
          <w:vertAlign w:val="superscript"/>
        </w:rPr>
        <w:t>821</w:t>
      </w:r>
      <w:r>
        <w:rPr>
          <w:color w:val="005DA1"/>
          <w:vertAlign w:val="baseline"/>
        </w:rPr>
        <w:t> </w:t>
      </w:r>
      <w:r>
        <w:rPr>
          <w:vertAlign w:val="baseline"/>
        </w:rPr>
        <w:t>that tort liability for inducing a breach of contract was “a species of a more general tort of </w:t>
      </w:r>
      <w:bookmarkStart w:name="_bookmark1548" w:id="1550"/>
      <w:bookmarkEnd w:id="1550"/>
      <w:r>
        <w:rPr>
          <w:vertAlign w:val="baseline"/>
        </w:rPr>
        <w:t>actionable</w:t>
      </w:r>
      <w:r>
        <w:rPr>
          <w:vertAlign w:val="baseline"/>
        </w:rPr>
        <w:t> interference with contractual rights,” </w:t>
      </w:r>
      <w:r>
        <w:rPr>
          <w:color w:val="005DA1"/>
          <w:u w:val="single" w:color="005DA1"/>
          <w:vertAlign w:val="superscript"/>
        </w:rPr>
        <w:t>822</w:t>
      </w:r>
      <w:r>
        <w:rPr>
          <w:color w:val="005DA1"/>
          <w:vertAlign w:val="baseline"/>
        </w:rPr>
        <w:t> </w:t>
      </w:r>
      <w:r>
        <w:rPr>
          <w:vertAlign w:val="baseline"/>
        </w:rPr>
        <w:t>But this “unified theory” was rejected </w:t>
      </w:r>
      <w:r>
        <w:rPr>
          <w:color w:val="005DA1"/>
          <w:u w:val="single" w:color="005DA1"/>
          <w:vertAlign w:val="superscript"/>
        </w:rPr>
        <w:t>823</w:t>
      </w:r>
      <w:r>
        <w:rPr>
          <w:color w:val="005DA1"/>
          <w:vertAlign w:val="baseline"/>
        </w:rPr>
        <w:t> </w:t>
      </w:r>
      <w:r>
        <w:rPr>
          <w:vertAlign w:val="baseline"/>
        </w:rPr>
        <w:t>by the </w:t>
      </w:r>
      <w:bookmarkStart w:name="_bookmark1549" w:id="1551"/>
      <w:bookmarkEnd w:id="1551"/>
      <w:r>
        <w:rPr>
          <w:vertAlign w:val="baseline"/>
        </w:rPr>
        <w:t>House</w:t>
      </w:r>
      <w:r>
        <w:rPr>
          <w:vertAlign w:val="baseline"/>
        </w:rPr>
        <w:t> of Lords in </w:t>
      </w:r>
      <w:r>
        <w:rPr>
          <w:rFonts w:ascii="Arial" w:hAnsi="Arial"/>
          <w:i/>
          <w:vertAlign w:val="baseline"/>
        </w:rPr>
        <w:t>OBG Ltd v Allan</w:t>
      </w:r>
      <w:r>
        <w:rPr>
          <w:vertAlign w:val="baseline"/>
        </w:rPr>
        <w:t>. </w:t>
      </w:r>
      <w:r>
        <w:rPr>
          <w:color w:val="005DA1"/>
          <w:u w:val="single" w:color="005DA1"/>
          <w:vertAlign w:val="superscript"/>
        </w:rPr>
        <w:t>824</w:t>
      </w:r>
      <w:r>
        <w:rPr>
          <w:color w:val="005DA1"/>
          <w:vertAlign w:val="baseline"/>
        </w:rPr>
        <w:t> </w:t>
      </w:r>
      <w:r>
        <w:rPr>
          <w:vertAlign w:val="baseline"/>
        </w:rPr>
        <w:t>A sharp distinction was there drawn between two torts: that of inducing a breach of contract </w:t>
      </w:r>
      <w:r>
        <w:rPr>
          <w:color w:val="005DA1"/>
          <w:u w:val="single" w:color="005DA1"/>
          <w:vertAlign w:val="superscript"/>
        </w:rPr>
        <w:t>825</w:t>
      </w:r>
      <w:r>
        <w:rPr>
          <w:color w:val="005DA1"/>
          <w:vertAlign w:val="baseline"/>
        </w:rPr>
        <w:t> </w:t>
      </w:r>
      <w:r>
        <w:rPr>
          <w:vertAlign w:val="baseline"/>
        </w:rPr>
        <w:t>and that of causing loss by unlawful means. </w:t>
      </w:r>
      <w:r>
        <w:rPr>
          <w:color w:val="005DA1"/>
          <w:u w:val="single" w:color="005DA1"/>
          <w:vertAlign w:val="superscript"/>
        </w:rPr>
        <w:t>826</w:t>
      </w:r>
      <w:r>
        <w:rPr>
          <w:color w:val="005DA1"/>
          <w:vertAlign w:val="baseline"/>
        </w:rPr>
        <w:t> </w:t>
      </w:r>
      <w:r>
        <w:rPr>
          <w:vertAlign w:val="baseline"/>
        </w:rPr>
        <w:t>The details of this </w:t>
      </w:r>
      <w:bookmarkStart w:name="_bookmark1550" w:id="1552"/>
      <w:bookmarkEnd w:id="1552"/>
      <w:r>
        <w:rPr>
          <w:vertAlign w:val="baseline"/>
        </w:rPr>
        <w:t>distinction</w:t>
      </w:r>
      <w:r>
        <w:rPr>
          <w:vertAlign w:val="baseline"/>
        </w:rPr>
        <w:t> are beyond the scope of a book on the law of contract. It suffices here to say that the former tort depends on C’s having induced a breach by B, while the latter does not</w:t>
      </w:r>
      <w:r>
        <w:rPr>
          <w:spacing w:val="-1"/>
          <w:vertAlign w:val="baseline"/>
        </w:rPr>
        <w:t> </w:t>
      </w:r>
      <w:r>
        <w:rPr>
          <w:color w:val="005DA1"/>
          <w:u w:val="single" w:color="005DA1"/>
          <w:vertAlign w:val="superscript"/>
        </w:rPr>
        <w:t>827</w:t>
      </w:r>
      <w:r>
        <w:rPr>
          <w:vertAlign w:val="baseline"/>
        </w:rPr>
        <w:t>; that the former </w:t>
      </w:r>
      <w:bookmarkStart w:name="_bookmark1551" w:id="1553"/>
      <w:bookmarkEnd w:id="1553"/>
      <w:r>
        <w:rPr>
          <w:vertAlign w:val="baseline"/>
        </w:rPr>
        <w:t>tort</w:t>
      </w:r>
      <w:r>
        <w:rPr>
          <w:vertAlign w:val="baseline"/>
        </w:rPr>
        <w:t> does not, while the latter does, depend on C’s having used means (to induce the breach) which are “independently unlawful” </w:t>
      </w:r>
      <w:r>
        <w:rPr>
          <w:color w:val="005DA1"/>
          <w:u w:val="single" w:color="005DA1"/>
          <w:vertAlign w:val="superscript"/>
        </w:rPr>
        <w:t>828</w:t>
      </w:r>
      <w:r>
        <w:rPr>
          <w:vertAlign w:val="baseline"/>
        </w:rPr>
        <w:t>; and that the mental elements of the two torts differ in that the former </w:t>
      </w:r>
      <w:bookmarkStart w:name="_bookmark1552" w:id="1554"/>
      <w:bookmarkEnd w:id="1554"/>
      <w:r>
        <w:rPr>
          <w:vertAlign w:val="baseline"/>
        </w:rPr>
        <w:t>requires</w:t>
      </w:r>
      <w:r>
        <w:rPr>
          <w:vertAlign w:val="baseline"/>
        </w:rPr>
        <w:t> no more than an intention to induce the breach by B while the latter requires an intention to cause loss to A. </w:t>
      </w:r>
      <w:r>
        <w:rPr>
          <w:color w:val="005DA1"/>
          <w:u w:val="single" w:color="005DA1"/>
          <w:vertAlign w:val="superscript"/>
        </w:rPr>
        <w:t>829</w:t>
      </w:r>
      <w:r>
        <w:rPr>
          <w:color w:val="005DA1"/>
          <w:vertAlign w:val="baseline"/>
        </w:rPr>
        <w:t> </w:t>
      </w:r>
      <w:r>
        <w:rPr>
          <w:vertAlign w:val="baseline"/>
        </w:rPr>
        <w:t>If, for example, A’s claim is based on the allegation that C has </w:t>
      </w:r>
      <w:r>
        <w:rPr>
          <w:rFonts w:ascii="Arial" w:hAnsi="Arial"/>
          <w:i/>
          <w:vertAlign w:val="baseline"/>
        </w:rPr>
        <w:t>prevented </w:t>
      </w:r>
      <w:r>
        <w:rPr>
          <w:vertAlign w:val="baseline"/>
        </w:rPr>
        <w:t>B from </w:t>
      </w:r>
      <w:bookmarkStart w:name="_bookmark1553" w:id="1555"/>
      <w:bookmarkEnd w:id="1555"/>
      <w:r>
        <w:rPr>
          <w:vertAlign w:val="baseline"/>
        </w:rPr>
        <w:t>performing</w:t>
      </w:r>
      <w:r>
        <w:rPr>
          <w:vertAlign w:val="baseline"/>
        </w:rPr>
        <w:t> his contract with A, but without B’s having committed any </w:t>
      </w:r>
      <w:r>
        <w:rPr>
          <w:rFonts w:ascii="Arial" w:hAnsi="Arial"/>
          <w:i/>
          <w:vertAlign w:val="baseline"/>
        </w:rPr>
        <w:t>breach </w:t>
      </w:r>
      <w:r>
        <w:rPr>
          <w:vertAlign w:val="baseline"/>
        </w:rPr>
        <w:t>of it, then C’s liability (if any) is for the “unlawful means” tort and will arise only if the requirements of </w:t>
      </w:r>
      <w:r>
        <w:rPr>
          <w:rFonts w:ascii="Arial" w:hAnsi="Arial"/>
          <w:i/>
          <w:vertAlign w:val="baseline"/>
        </w:rPr>
        <w:t>that </w:t>
      </w:r>
      <w:r>
        <w:rPr>
          <w:vertAlign w:val="baseline"/>
        </w:rPr>
        <w:t>tort are satisfied. </w:t>
      </w:r>
      <w:r>
        <w:rPr>
          <w:color w:val="005DA1"/>
          <w:u w:val="single" w:color="005DA1"/>
          <w:vertAlign w:val="superscript"/>
        </w:rPr>
        <w:t>830</w:t>
      </w:r>
      <w:r>
        <w:rPr>
          <w:color w:val="005DA1"/>
          <w:vertAlign w:val="baseline"/>
        </w:rPr>
        <w:t> </w:t>
      </w:r>
      <w:bookmarkStart w:name="_bookmark1554" w:id="1556"/>
      <w:bookmarkEnd w:id="1556"/>
      <w:r>
        <w:rPr>
          <w:color w:val="005DA1"/>
          <w:w w:val="92"/>
          <w:vertAlign w:val="baseline"/>
        </w:rPr>
      </w:r>
      <w:r>
        <w:rPr>
          <w:vertAlign w:val="baseline"/>
        </w:rPr>
        <w:t>Our concern in this Chapter is with the first of the two torts distinguished in the decision of the House of Lords in </w:t>
      </w:r>
      <w:r>
        <w:rPr>
          <w:rFonts w:ascii="Arial" w:hAnsi="Arial"/>
          <w:i/>
          <w:vertAlign w:val="baseline"/>
        </w:rPr>
        <w:t>OBG Ltd v Allen</w:t>
      </w:r>
      <w:r>
        <w:rPr>
          <w:vertAlign w:val="baseline"/>
        </w:rPr>
        <w:t>, </w:t>
      </w:r>
      <w:r>
        <w:rPr>
          <w:color w:val="005DA1"/>
          <w:u w:val="single" w:color="005DA1"/>
          <w:vertAlign w:val="superscript"/>
        </w:rPr>
        <w:t>831</w:t>
      </w:r>
      <w:r>
        <w:rPr>
          <w:color w:val="005DA1"/>
          <w:vertAlign w:val="baseline"/>
        </w:rPr>
        <w:t> </w:t>
      </w:r>
      <w:r>
        <w:rPr>
          <w:vertAlign w:val="baseline"/>
        </w:rPr>
        <w:t>i.e., with that of inducing a breach of contract.</w:t>
      </w:r>
    </w:p>
    <w:p>
      <w:pPr>
        <w:pStyle w:val="BodyText"/>
      </w:pPr>
    </w:p>
    <w:p>
      <w:pPr>
        <w:pStyle w:val="BodyText"/>
        <w:spacing w:before="28"/>
      </w:pPr>
    </w:p>
    <w:p>
      <w:pPr>
        <w:spacing w:before="0"/>
        <w:ind w:left="165" w:right="0" w:firstLine="0"/>
        <w:jc w:val="both"/>
        <w:rPr>
          <w:rFonts w:ascii="Arial"/>
          <w:b/>
          <w:sz w:val="18"/>
        </w:rPr>
      </w:pPr>
      <w:r>
        <w:rPr>
          <w:rFonts w:ascii="Arial"/>
          <w:b/>
          <w:sz w:val="18"/>
        </w:rPr>
        <w:t>Scope of the </w:t>
      </w:r>
      <w:r>
        <w:rPr>
          <w:rFonts w:ascii="Arial"/>
          <w:b/>
          <w:spacing w:val="-4"/>
          <w:sz w:val="18"/>
        </w:rPr>
        <w:t>tort</w:t>
      </w:r>
    </w:p>
    <w:p>
      <w:pPr>
        <w:pStyle w:val="BodyText"/>
        <w:spacing w:before="41"/>
        <w:rPr>
          <w:rFonts w:ascii="Arial"/>
          <w:b/>
          <w:sz w:val="18"/>
        </w:rPr>
      </w:pPr>
    </w:p>
    <w:p>
      <w:pPr>
        <w:pStyle w:val="Heading2"/>
      </w:pPr>
      <w:r>
        <w:rPr/>
        <w:t>18-</w:t>
      </w:r>
      <w:r>
        <w:rPr>
          <w:spacing w:val="-5"/>
        </w:rPr>
        <w:t>142</w:t>
      </w:r>
    </w:p>
    <w:p>
      <w:pPr>
        <w:pStyle w:val="BodyText"/>
        <w:spacing w:line="235" w:lineRule="auto" w:before="203"/>
        <w:ind w:left="165" w:right="167"/>
        <w:jc w:val="both"/>
      </w:pPr>
      <w:r>
        <w:rPr/>
        <w:t>The effect of the tort of inducing a breach of contract may be, not only to restrict the activities of </w:t>
      </w:r>
      <w:r>
        <w:rPr/>
        <w:t>the person</w:t>
      </w:r>
      <w:r>
        <w:rPr>
          <w:spacing w:val="-2"/>
        </w:rPr>
        <w:t> </w:t>
      </w:r>
      <w:r>
        <w:rPr/>
        <w:t>guilty</w:t>
      </w:r>
      <w:r>
        <w:rPr>
          <w:spacing w:val="-2"/>
        </w:rPr>
        <w:t> </w:t>
      </w:r>
      <w:r>
        <w:rPr/>
        <w:t>of</w:t>
      </w:r>
      <w:r>
        <w:rPr>
          <w:spacing w:val="-2"/>
        </w:rPr>
        <w:t> </w:t>
      </w:r>
      <w:r>
        <w:rPr/>
        <w:t>the</w:t>
      </w:r>
      <w:r>
        <w:rPr>
          <w:spacing w:val="-2"/>
        </w:rPr>
        <w:t> </w:t>
      </w:r>
      <w:r>
        <w:rPr/>
        <w:t>wrongful</w:t>
      </w:r>
      <w:r>
        <w:rPr>
          <w:spacing w:val="-2"/>
        </w:rPr>
        <w:t> </w:t>
      </w:r>
      <w:r>
        <w:rPr/>
        <w:t>interference,</w:t>
      </w:r>
      <w:r>
        <w:rPr>
          <w:spacing w:val="-2"/>
        </w:rPr>
        <w:t> </w:t>
      </w:r>
      <w:r>
        <w:rPr/>
        <w:t>but</w:t>
      </w:r>
      <w:r>
        <w:rPr>
          <w:spacing w:val="-2"/>
        </w:rPr>
        <w:t> </w:t>
      </w:r>
      <w:r>
        <w:rPr/>
        <w:t>also</w:t>
      </w:r>
      <w:r>
        <w:rPr>
          <w:spacing w:val="-2"/>
        </w:rPr>
        <w:t> </w:t>
      </w:r>
      <w:r>
        <w:rPr/>
        <w:t>adversely</w:t>
      </w:r>
      <w:r>
        <w:rPr>
          <w:spacing w:val="-2"/>
        </w:rPr>
        <w:t> </w:t>
      </w:r>
      <w:r>
        <w:rPr/>
        <w:t>to</w:t>
      </w:r>
      <w:r>
        <w:rPr>
          <w:spacing w:val="-2"/>
        </w:rPr>
        <w:t> </w:t>
      </w:r>
      <w:r>
        <w:rPr/>
        <w:t>affect</w:t>
      </w:r>
      <w:r>
        <w:rPr>
          <w:spacing w:val="-2"/>
        </w:rPr>
        <w:t> </w:t>
      </w:r>
      <w:r>
        <w:rPr/>
        <w:t>other</w:t>
      </w:r>
      <w:r>
        <w:rPr>
          <w:spacing w:val="-2"/>
        </w:rPr>
        <w:t> </w:t>
      </w:r>
      <w:r>
        <w:rPr/>
        <w:t>third</w:t>
      </w:r>
      <w:r>
        <w:rPr>
          <w:spacing w:val="-2"/>
        </w:rPr>
        <w:t> </w:t>
      </w:r>
      <w:r>
        <w:rPr/>
        <w:t>parties.</w:t>
      </w:r>
      <w:r>
        <w:rPr>
          <w:spacing w:val="-2"/>
        </w:rPr>
        <w:t> </w:t>
      </w:r>
      <w:r>
        <w:rPr/>
        <w:t>For</w:t>
      </w:r>
      <w:r>
        <w:rPr>
          <w:spacing w:val="-2"/>
        </w:rPr>
        <w:t> </w:t>
      </w:r>
      <w:r>
        <w:rPr/>
        <w:t>example, where a former employee disclosed the employer’s trade secrets to a company which the employee controlled, and which used those trade secrets to secure an order from one of the employer’s old customers, an injunction was granted not only to restrain the employee from using the trade secrets, </w:t>
      </w:r>
      <w:bookmarkStart w:name="_bookmark1555" w:id="1557"/>
      <w:bookmarkEnd w:id="1557"/>
      <w:r>
        <w:rPr/>
        <w:t>but</w:t>
      </w:r>
      <w:r>
        <w:rPr/>
        <w:t> also to restrain the company from fulfilling its contract with the customer, whose remedy would have been in damages against the company. </w:t>
      </w:r>
      <w:r>
        <w:rPr>
          <w:color w:val="005DA1"/>
          <w:u w:val="single" w:color="005DA1"/>
          <w:vertAlign w:val="superscript"/>
        </w:rPr>
        <w:t>832</w:t>
      </w:r>
    </w:p>
    <w:p>
      <w:pPr>
        <w:pStyle w:val="BodyText"/>
      </w:pPr>
    </w:p>
    <w:p>
      <w:pPr>
        <w:pStyle w:val="BodyText"/>
        <w:spacing w:before="36"/>
      </w:pPr>
    </w:p>
    <w:p>
      <w:pPr>
        <w:spacing w:before="0"/>
        <w:ind w:left="164" w:right="0" w:firstLine="0"/>
        <w:jc w:val="left"/>
        <w:rPr>
          <w:rFonts w:ascii="Arial"/>
          <w:b/>
          <w:sz w:val="18"/>
        </w:rPr>
      </w:pPr>
      <w:bookmarkStart w:name="_bookmark1556" w:id="1558"/>
      <w:bookmarkEnd w:id="1558"/>
      <w:r>
        <w:rPr/>
      </w:r>
      <w:r>
        <w:rPr>
          <w:rFonts w:ascii="Arial"/>
          <w:b/>
          <w:sz w:val="18"/>
        </w:rPr>
        <w:t>Contracts affecting chattels</w:t>
      </w:r>
      <w:r>
        <w:rPr>
          <w:rFonts w:ascii="Arial"/>
          <w:b/>
          <w:spacing w:val="-1"/>
          <w:sz w:val="18"/>
        </w:rPr>
        <w:t> </w:t>
      </w:r>
      <w:r>
        <w:rPr>
          <w:rFonts w:ascii="Arial"/>
          <w:b/>
          <w:color w:val="005DA1"/>
          <w:spacing w:val="-5"/>
          <w:sz w:val="18"/>
          <w:u w:val="single" w:color="005DA1"/>
          <w:vertAlign w:val="superscript"/>
        </w:rPr>
        <w:t>833</w:t>
      </w:r>
    </w:p>
    <w:p>
      <w:pPr>
        <w:pStyle w:val="BodyText"/>
        <w:spacing w:before="41"/>
        <w:rPr>
          <w:rFonts w:ascii="Arial"/>
          <w:b/>
          <w:sz w:val="18"/>
        </w:rPr>
      </w:pPr>
    </w:p>
    <w:p>
      <w:pPr>
        <w:pStyle w:val="Heading2"/>
      </w:pPr>
      <w:r>
        <w:rPr/>
        <w:t>18-</w:t>
      </w:r>
      <w:r>
        <w:rPr>
          <w:spacing w:val="-5"/>
        </w:rPr>
        <w:t>143</w:t>
      </w:r>
    </w:p>
    <w:p>
      <w:pPr>
        <w:pStyle w:val="BodyText"/>
        <w:spacing w:line="235" w:lineRule="auto" w:before="203"/>
        <w:ind w:left="165" w:right="167"/>
        <w:jc w:val="both"/>
      </w:pPr>
      <w:bookmarkStart w:name="_bookmark1557" w:id="1559"/>
      <w:bookmarkEnd w:id="1559"/>
      <w:r>
        <w:rPr/>
      </w:r>
      <w:r>
        <w:rPr/>
        <w:t>The rule in </w:t>
      </w:r>
      <w:r>
        <w:rPr>
          <w:rFonts w:ascii="Arial"/>
          <w:i/>
        </w:rPr>
        <w:t>Lumley v Gye </w:t>
      </w:r>
      <w:r>
        <w:rPr>
          <w:color w:val="005DA1"/>
          <w:u w:val="single" w:color="005DA1"/>
          <w:vertAlign w:val="superscript"/>
        </w:rPr>
        <w:t>834</w:t>
      </w:r>
      <w:r>
        <w:rPr>
          <w:color w:val="005DA1"/>
          <w:vertAlign w:val="baseline"/>
        </w:rPr>
        <w:t> </w:t>
      </w:r>
      <w:r>
        <w:rPr>
          <w:vertAlign w:val="baseline"/>
        </w:rPr>
        <w:t>may help to solve the problem which can arise where a person </w:t>
      </w:r>
      <w:r>
        <w:rPr>
          <w:vertAlign w:val="baseline"/>
        </w:rPr>
        <w:t>acquires a chattel which is the subject-matter of a contract previously made between two other persons. The problem</w:t>
      </w:r>
      <w:r>
        <w:rPr>
          <w:spacing w:val="-1"/>
          <w:vertAlign w:val="baseline"/>
        </w:rPr>
        <w:t> </w:t>
      </w:r>
      <w:r>
        <w:rPr>
          <w:vertAlign w:val="baseline"/>
        </w:rPr>
        <w:t>is</w:t>
      </w:r>
      <w:r>
        <w:rPr>
          <w:spacing w:val="-1"/>
          <w:vertAlign w:val="baseline"/>
        </w:rPr>
        <w:t> </w:t>
      </w:r>
      <w:r>
        <w:rPr>
          <w:vertAlign w:val="baseline"/>
        </w:rPr>
        <w:t>to</w:t>
      </w:r>
      <w:r>
        <w:rPr>
          <w:spacing w:val="-1"/>
          <w:vertAlign w:val="baseline"/>
        </w:rPr>
        <w:t> </w:t>
      </w:r>
      <w:r>
        <w:rPr>
          <w:vertAlign w:val="baseline"/>
        </w:rPr>
        <w:t>what</w:t>
      </w:r>
      <w:r>
        <w:rPr>
          <w:spacing w:val="-1"/>
          <w:vertAlign w:val="baseline"/>
        </w:rPr>
        <w:t> </w:t>
      </w:r>
      <w:r>
        <w:rPr>
          <w:vertAlign w:val="baseline"/>
        </w:rPr>
        <w:t>extent</w:t>
      </w:r>
      <w:r>
        <w:rPr>
          <w:spacing w:val="-1"/>
          <w:vertAlign w:val="baseline"/>
        </w:rPr>
        <w:t> </w:t>
      </w:r>
      <w:r>
        <w:rPr>
          <w:vertAlign w:val="baseline"/>
        </w:rPr>
        <w:t>the</w:t>
      </w:r>
      <w:r>
        <w:rPr>
          <w:spacing w:val="-1"/>
          <w:vertAlign w:val="baseline"/>
        </w:rPr>
        <w:t> </w:t>
      </w:r>
      <w:r>
        <w:rPr>
          <w:vertAlign w:val="baseline"/>
        </w:rPr>
        <w:t>acquirer</w:t>
      </w:r>
      <w:r>
        <w:rPr>
          <w:spacing w:val="-1"/>
          <w:vertAlign w:val="baseline"/>
        </w:rPr>
        <w:t> </w:t>
      </w:r>
      <w:r>
        <w:rPr>
          <w:vertAlign w:val="baseline"/>
        </w:rPr>
        <w:t>may,</w:t>
      </w:r>
      <w:r>
        <w:rPr>
          <w:spacing w:val="-1"/>
          <w:vertAlign w:val="baseline"/>
        </w:rPr>
        <w:t> </w:t>
      </w:r>
      <w:r>
        <w:rPr>
          <w:vertAlign w:val="baseline"/>
        </w:rPr>
        <w:t>although</w:t>
      </w:r>
      <w:r>
        <w:rPr>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stranger</w:t>
      </w:r>
      <w:r>
        <w:rPr>
          <w:spacing w:val="-1"/>
          <w:vertAlign w:val="baseline"/>
        </w:rPr>
        <w:t> </w:t>
      </w:r>
      <w:r>
        <w:rPr>
          <w:vertAlign w:val="baseline"/>
        </w:rPr>
        <w:t>to</w:t>
      </w:r>
      <w:r>
        <w:rPr>
          <w:spacing w:val="-1"/>
          <w:vertAlign w:val="baseline"/>
        </w:rPr>
        <w:t> </w:t>
      </w:r>
      <w:r>
        <w:rPr>
          <w:vertAlign w:val="baseline"/>
        </w:rPr>
        <w:t>that</w:t>
      </w:r>
      <w:r>
        <w:rPr>
          <w:spacing w:val="-1"/>
          <w:vertAlign w:val="baseline"/>
        </w:rPr>
        <w:t> </w:t>
      </w:r>
      <w:r>
        <w:rPr>
          <w:vertAlign w:val="baseline"/>
        </w:rPr>
        <w:t>contract,</w:t>
      </w:r>
      <w:r>
        <w:rPr>
          <w:spacing w:val="-1"/>
          <w:vertAlign w:val="baseline"/>
        </w:rPr>
        <w:t> </w:t>
      </w:r>
      <w:r>
        <w:rPr>
          <w:vertAlign w:val="baseline"/>
        </w:rPr>
        <w:t>be</w:t>
      </w:r>
      <w:r>
        <w:rPr>
          <w:spacing w:val="-1"/>
          <w:vertAlign w:val="baseline"/>
        </w:rPr>
        <w:t> </w:t>
      </w:r>
      <w:r>
        <w:rPr>
          <w:vertAlign w:val="baseline"/>
        </w:rPr>
        <w:t>affected</w:t>
      </w:r>
      <w:r>
        <w:rPr>
          <w:spacing w:val="-1"/>
          <w:vertAlign w:val="baseline"/>
        </w:rPr>
        <w:t> </w:t>
      </w:r>
      <w:r>
        <w:rPr>
          <w:vertAlign w:val="baseline"/>
        </w:rPr>
        <w:t>by</w:t>
      </w:r>
      <w:r>
        <w:rPr>
          <w:spacing w:val="-1"/>
          <w:vertAlign w:val="baseline"/>
        </w:rPr>
        <w:t> </w:t>
      </w:r>
      <w:r>
        <w:rPr>
          <w:vertAlign w:val="baseline"/>
        </w:rPr>
        <w:t>it in his use of or dealing with the chattel. Such contracts may take a variety of forms. One possibility is that they may impose restrictions on the use or disposition of goods, e.g. by providing that the goods shall be used only along with others made by the same manufacturer, or that they shall be sold only</w:t>
      </w:r>
      <w:r>
        <w:rPr>
          <w:spacing w:val="80"/>
          <w:vertAlign w:val="baseline"/>
        </w:rPr>
        <w:t> </w:t>
      </w:r>
      <w:r>
        <w:rPr>
          <w:vertAlign w:val="baseline"/>
        </w:rPr>
        <w:t>in packets sealed by the manufacturer, or at fixed prices, or within specified limits of time or territory. Or they may require the use of some </w:t>
      </w:r>
      <w:r>
        <w:rPr>
          <w:rFonts w:ascii="Arial"/>
          <w:i/>
          <w:vertAlign w:val="baseline"/>
        </w:rPr>
        <w:t>particular </w:t>
      </w:r>
      <w:r>
        <w:rPr>
          <w:vertAlign w:val="baseline"/>
        </w:rPr>
        <w:t>chattel for their performance, without creating any proprietary or possessory interest in the chattel: for example, in the case of a contract to carry cargo</w:t>
      </w:r>
      <w:r>
        <w:rPr>
          <w:spacing w:val="40"/>
          <w:vertAlign w:val="baseline"/>
        </w:rPr>
        <w:t> </w:t>
      </w:r>
      <w:r>
        <w:rPr>
          <w:vertAlign w:val="baseline"/>
        </w:rPr>
        <w:t>in a particular ship. Or they may provide for the hire of a chattel, or confer an option to purchase it, or do both these things, as in the case of hire-purchase agreements.</w:t>
      </w:r>
    </w:p>
    <w:p>
      <w:pPr>
        <w:pStyle w:val="BodyText"/>
      </w:pPr>
    </w:p>
    <w:p>
      <w:pPr>
        <w:pStyle w:val="BodyText"/>
        <w:spacing w:before="34"/>
      </w:pPr>
    </w:p>
    <w:p>
      <w:pPr>
        <w:spacing w:before="0"/>
        <w:ind w:left="165" w:right="0" w:firstLine="0"/>
        <w:jc w:val="left"/>
        <w:rPr>
          <w:rFonts w:ascii="Arial"/>
          <w:b/>
          <w:sz w:val="18"/>
        </w:rPr>
      </w:pPr>
      <w:r>
        <w:rPr>
          <w:rFonts w:ascii="Arial"/>
          <w:b/>
          <w:sz w:val="18"/>
        </w:rPr>
        <w:t>Protection in special </w:t>
      </w:r>
      <w:r>
        <w:rPr>
          <w:rFonts w:ascii="Arial"/>
          <w:b/>
          <w:spacing w:val="-2"/>
          <w:sz w:val="18"/>
        </w:rPr>
        <w:t>cases</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18-</w:t>
      </w:r>
      <w:r>
        <w:rPr>
          <w:spacing w:val="-5"/>
        </w:rPr>
        <w:t>144</w:t>
      </w:r>
    </w:p>
    <w:p>
      <w:pPr>
        <w:pStyle w:val="BodyText"/>
        <w:spacing w:line="235" w:lineRule="auto" w:before="203"/>
        <w:ind w:left="165" w:right="167"/>
        <w:jc w:val="both"/>
      </w:pPr>
      <w:r>
        <w:rPr/>
        <w:t>In a number of special cases the law protects such contractual rights against strangers who acquire the chattel in question with notice of the contractual rights. Thus where an option to purchase a</w:t>
      </w:r>
      <w:r>
        <w:rPr>
          <w:spacing w:val="40"/>
        </w:rPr>
        <w:t> </w:t>
      </w:r>
      <w:bookmarkStart w:name="_bookmark1558" w:id="1560"/>
      <w:bookmarkEnd w:id="1560"/>
      <w:r>
        <w:rPr/>
        <w:t>chattel</w:t>
      </w:r>
      <w:r>
        <w:rPr>
          <w:spacing w:val="-2"/>
        </w:rPr>
        <w:t> </w:t>
      </w:r>
      <w:r>
        <w:rPr/>
        <w:t>is</w:t>
      </w:r>
      <w:r>
        <w:rPr>
          <w:spacing w:val="-2"/>
        </w:rPr>
        <w:t> </w:t>
      </w:r>
      <w:r>
        <w:rPr>
          <w:rFonts w:ascii="Arial"/>
          <w:i/>
        </w:rPr>
        <w:t>specifically</w:t>
      </w:r>
      <w:r>
        <w:rPr>
          <w:rFonts w:ascii="Arial"/>
          <w:i/>
          <w:spacing w:val="-2"/>
        </w:rPr>
        <w:t> </w:t>
      </w:r>
      <w:r>
        <w:rPr/>
        <w:t>enforceable,</w:t>
      </w:r>
      <w:r>
        <w:rPr>
          <w:spacing w:val="-2"/>
        </w:rPr>
        <w:t> </w:t>
      </w:r>
      <w:r>
        <w:rPr/>
        <w:t>it</w:t>
      </w:r>
      <w:r>
        <w:rPr>
          <w:spacing w:val="-2"/>
        </w:rPr>
        <w:t> </w:t>
      </w:r>
      <w:r>
        <w:rPr/>
        <w:t>may</w:t>
      </w:r>
      <w:r>
        <w:rPr>
          <w:spacing w:val="-2"/>
        </w:rPr>
        <w:t> </w:t>
      </w:r>
      <w:r>
        <w:rPr/>
        <w:t>be</w:t>
      </w:r>
      <w:r>
        <w:rPr>
          <w:spacing w:val="-2"/>
        </w:rPr>
        <w:t> </w:t>
      </w:r>
      <w:r>
        <w:rPr/>
        <w:t>enforced</w:t>
      </w:r>
      <w:r>
        <w:rPr>
          <w:spacing w:val="-2"/>
        </w:rPr>
        <w:t> </w:t>
      </w:r>
      <w:r>
        <w:rPr/>
        <w:t>against</w:t>
      </w:r>
      <w:r>
        <w:rPr>
          <w:spacing w:val="-2"/>
        </w:rPr>
        <w:t> </w:t>
      </w:r>
      <w:r>
        <w:rPr/>
        <w:t>third</w:t>
      </w:r>
      <w:r>
        <w:rPr>
          <w:spacing w:val="-2"/>
        </w:rPr>
        <w:t> </w:t>
      </w:r>
      <w:r>
        <w:rPr/>
        <w:t>parties</w:t>
      </w:r>
      <w:r>
        <w:rPr>
          <w:spacing w:val="-2"/>
        </w:rPr>
        <w:t> </w:t>
      </w:r>
      <w:r>
        <w:rPr/>
        <w:t>who</w:t>
      </w:r>
      <w:r>
        <w:rPr>
          <w:spacing w:val="-2"/>
        </w:rPr>
        <w:t> </w:t>
      </w:r>
      <w:r>
        <w:rPr/>
        <w:t>acquire</w:t>
      </w:r>
      <w:r>
        <w:rPr>
          <w:spacing w:val="-2"/>
        </w:rPr>
        <w:t> </w:t>
      </w:r>
      <w:r>
        <w:rPr/>
        <w:t>the</w:t>
      </w:r>
      <w:r>
        <w:rPr>
          <w:spacing w:val="-2"/>
        </w:rPr>
        <w:t> </w:t>
      </w:r>
      <w:r>
        <w:rPr/>
        <w:t>chattel</w:t>
      </w:r>
      <w:r>
        <w:rPr>
          <w:spacing w:val="-2"/>
        </w:rPr>
        <w:t> </w:t>
      </w:r>
      <w:r>
        <w:rPr/>
        <w:t>with notice of the option. </w:t>
      </w:r>
      <w:r>
        <w:rPr>
          <w:color w:val="005DA1"/>
          <w:u w:val="single" w:color="005DA1"/>
          <w:vertAlign w:val="superscript"/>
        </w:rPr>
        <w:t>835</w:t>
      </w:r>
      <w:r>
        <w:rPr>
          <w:color w:val="005DA1"/>
          <w:vertAlign w:val="baseline"/>
        </w:rPr>
        <w:t> </w:t>
      </w:r>
      <w:r>
        <w:rPr>
          <w:vertAlign w:val="baseline"/>
        </w:rPr>
        <w:t>The same would be true where a debtor gave an undertaking to his creditor that he would repay a loan of money out of specific property, and later created a charge over the property in favour of a third party. Since such an undertaking to repay is specifically enforceable, it </w:t>
      </w:r>
      <w:bookmarkStart w:name="_bookmark1559" w:id="1561"/>
      <w:bookmarkEnd w:id="1561"/>
      <w:r>
        <w:rPr>
          <w:vertAlign w:val="baseline"/>
        </w:rPr>
        <w:t>would</w:t>
      </w:r>
      <w:r>
        <w:rPr>
          <w:vertAlign w:val="baseline"/>
        </w:rPr>
        <w:t> create a charge in equity over the property in favour of the creditor, and this would prevail against the third party unless he was a bona fide purchaser for value without notice. </w:t>
      </w:r>
      <w:r>
        <w:rPr>
          <w:color w:val="005DA1"/>
          <w:u w:val="single" w:color="005DA1"/>
          <w:vertAlign w:val="superscript"/>
        </w:rPr>
        <w:t>836</w:t>
      </w:r>
      <w:r>
        <w:rPr>
          <w:color w:val="005DA1"/>
          <w:vertAlign w:val="baseline"/>
        </w:rPr>
        <w:t> </w:t>
      </w:r>
      <w:r>
        <w:rPr>
          <w:vertAlign w:val="baseline"/>
        </w:rPr>
        <w:t>This principle can, however, apply only where the contract is one which relates to specific property. It therefore did not</w:t>
      </w:r>
      <w:r>
        <w:rPr>
          <w:spacing w:val="-1"/>
          <w:vertAlign w:val="baseline"/>
        </w:rPr>
        <w:t> </w:t>
      </w:r>
      <w:r>
        <w:rPr>
          <w:vertAlign w:val="baseline"/>
        </w:rPr>
        <w:t>apply</w:t>
      </w:r>
      <w:r>
        <w:rPr>
          <w:spacing w:val="-1"/>
          <w:vertAlign w:val="baseline"/>
        </w:rPr>
        <w:t> </w:t>
      </w:r>
      <w:r>
        <w:rPr>
          <w:vertAlign w:val="baseline"/>
        </w:rPr>
        <w:t>where</w:t>
      </w:r>
      <w:r>
        <w:rPr>
          <w:spacing w:val="-1"/>
          <w:vertAlign w:val="baseline"/>
        </w:rPr>
        <w:t> </w:t>
      </w:r>
      <w:r>
        <w:rPr>
          <w:vertAlign w:val="baseline"/>
        </w:rPr>
        <w:t>a</w:t>
      </w:r>
      <w:r>
        <w:rPr>
          <w:spacing w:val="-1"/>
          <w:vertAlign w:val="baseline"/>
        </w:rPr>
        <w:t> </w:t>
      </w:r>
      <w:r>
        <w:rPr>
          <w:vertAlign w:val="baseline"/>
        </w:rPr>
        <w:t>property</w:t>
      </w:r>
      <w:r>
        <w:rPr>
          <w:spacing w:val="-1"/>
          <w:vertAlign w:val="baseline"/>
        </w:rPr>
        <w:t> </w:t>
      </w:r>
      <w:r>
        <w:rPr>
          <w:vertAlign w:val="baseline"/>
        </w:rPr>
        <w:t>developer</w:t>
      </w:r>
      <w:r>
        <w:rPr>
          <w:spacing w:val="-1"/>
          <w:vertAlign w:val="baseline"/>
        </w:rPr>
        <w:t> </w:t>
      </w:r>
      <w:r>
        <w:rPr>
          <w:vertAlign w:val="baseline"/>
        </w:rPr>
        <w:t>undertook</w:t>
      </w:r>
      <w:r>
        <w:rPr>
          <w:spacing w:val="-1"/>
          <w:vertAlign w:val="baseline"/>
        </w:rPr>
        <w:t> </w:t>
      </w:r>
      <w:r>
        <w:rPr>
          <w:vertAlign w:val="baseline"/>
        </w:rPr>
        <w:t>in</w:t>
      </w:r>
      <w:r>
        <w:rPr>
          <w:spacing w:val="-1"/>
          <w:vertAlign w:val="baseline"/>
        </w:rPr>
        <w:t> </w:t>
      </w:r>
      <w:r>
        <w:rPr>
          <w:vertAlign w:val="baseline"/>
        </w:rPr>
        <w:t>its</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builder</w:t>
      </w:r>
      <w:r>
        <w:rPr>
          <w:spacing w:val="-1"/>
          <w:vertAlign w:val="baseline"/>
        </w:rPr>
        <w:t> </w:t>
      </w:r>
      <w:r>
        <w:rPr>
          <w:vertAlign w:val="baseline"/>
        </w:rPr>
        <w:t>to</w:t>
      </w:r>
      <w:r>
        <w:rPr>
          <w:spacing w:val="-1"/>
          <w:vertAlign w:val="baseline"/>
        </w:rPr>
        <w:t> </w:t>
      </w:r>
      <w:r>
        <w:rPr>
          <w:vertAlign w:val="baseline"/>
        </w:rPr>
        <w:t>set</w:t>
      </w:r>
      <w:r>
        <w:rPr>
          <w:spacing w:val="-1"/>
          <w:vertAlign w:val="baseline"/>
        </w:rPr>
        <w:t> </w:t>
      </w:r>
      <w:r>
        <w:rPr>
          <w:vertAlign w:val="baseline"/>
        </w:rPr>
        <w:t>up</w:t>
      </w:r>
      <w:r>
        <w:rPr>
          <w:spacing w:val="-1"/>
          <w:vertAlign w:val="baseline"/>
        </w:rPr>
        <w:t> </w:t>
      </w:r>
      <w:r>
        <w:rPr>
          <w:vertAlign w:val="baseline"/>
        </w:rPr>
        <w:t>a</w:t>
      </w:r>
      <w:r>
        <w:rPr>
          <w:spacing w:val="-1"/>
          <w:vertAlign w:val="baseline"/>
        </w:rPr>
        <w:t> </w:t>
      </w:r>
      <w:r>
        <w:rPr>
          <w:vertAlign w:val="baseline"/>
        </w:rPr>
        <w:t>retention</w:t>
      </w:r>
      <w:r>
        <w:rPr>
          <w:spacing w:val="-1"/>
          <w:vertAlign w:val="baseline"/>
        </w:rPr>
        <w:t> </w:t>
      </w:r>
      <w:r>
        <w:rPr>
          <w:vertAlign w:val="baseline"/>
        </w:rPr>
        <w:t>fund and then charged its assets to a bank. Although the bank had express notice of the terms of the </w:t>
      </w:r>
      <w:bookmarkStart w:name="_bookmark1560" w:id="1562"/>
      <w:bookmarkEnd w:id="1562"/>
      <w:r>
        <w:rPr>
          <w:vertAlign w:val="baseline"/>
        </w:rPr>
        <w:t>building</w:t>
      </w:r>
      <w:r>
        <w:rPr>
          <w:vertAlign w:val="baseline"/>
        </w:rPr>
        <w:t> contract, its charge was held not to be subject to the promise to create the retention fund since there was no specific property to which that promise could be said to relate. </w:t>
      </w:r>
      <w:r>
        <w:rPr>
          <w:color w:val="005DA1"/>
          <w:u w:val="single" w:color="005DA1"/>
          <w:vertAlign w:val="superscript"/>
        </w:rPr>
        <w:t>837</w:t>
      </w:r>
    </w:p>
    <w:p>
      <w:pPr>
        <w:pStyle w:val="BodyText"/>
      </w:pPr>
    </w:p>
    <w:p>
      <w:pPr>
        <w:pStyle w:val="BodyText"/>
        <w:spacing w:before="33"/>
      </w:pPr>
    </w:p>
    <w:p>
      <w:pPr>
        <w:spacing w:before="0"/>
        <w:ind w:left="165" w:right="0" w:firstLine="0"/>
        <w:jc w:val="both"/>
        <w:rPr>
          <w:rFonts w:ascii="Arial"/>
          <w:b/>
          <w:sz w:val="18"/>
        </w:rPr>
      </w:pPr>
      <w:r>
        <w:rPr>
          <w:rFonts w:ascii="Arial"/>
          <w:b/>
          <w:sz w:val="18"/>
        </w:rPr>
        <w:t>More general principle </w:t>
      </w:r>
      <w:r>
        <w:rPr>
          <w:rFonts w:ascii="Arial"/>
          <w:b/>
          <w:spacing w:val="-2"/>
          <w:sz w:val="18"/>
        </w:rPr>
        <w:t>rejected</w:t>
      </w:r>
    </w:p>
    <w:p>
      <w:pPr>
        <w:pStyle w:val="BodyText"/>
        <w:spacing w:before="42"/>
        <w:rPr>
          <w:rFonts w:ascii="Arial"/>
          <w:b/>
          <w:sz w:val="18"/>
        </w:rPr>
      </w:pPr>
    </w:p>
    <w:p>
      <w:pPr>
        <w:pStyle w:val="Heading2"/>
      </w:pPr>
      <w:r>
        <w:rPr/>
        <w:t>18-</w:t>
      </w:r>
      <w:r>
        <w:rPr>
          <w:spacing w:val="-5"/>
        </w:rPr>
        <w:t>145</w:t>
      </w:r>
    </w:p>
    <w:p>
      <w:pPr>
        <w:pStyle w:val="BodyText"/>
        <w:spacing w:line="235" w:lineRule="auto" w:before="202"/>
        <w:ind w:left="165" w:right="167"/>
        <w:jc w:val="both"/>
      </w:pPr>
      <w:r>
        <w:rPr/>
        <w:t>An attempt to establish a more general principle of protection of contractual rights affecting </w:t>
      </w:r>
      <w:r>
        <w:rPr/>
        <w:t>chattels against strangers acquiring them with notice of those rights was made in the charterparty case of </w:t>
      </w:r>
      <w:r>
        <w:rPr>
          <w:rFonts w:ascii="Arial"/>
          <w:i/>
        </w:rPr>
        <w:t>De Mattos v Gibson</w:t>
      </w:r>
      <w:r>
        <w:rPr/>
        <w:t>, where Knight Bruce L.J. said:</w:t>
      </w:r>
    </w:p>
    <w:p>
      <w:pPr>
        <w:pStyle w:val="BodyText"/>
      </w:pPr>
    </w:p>
    <w:p>
      <w:pPr>
        <w:pStyle w:val="BodyText"/>
        <w:spacing w:before="126"/>
      </w:pPr>
    </w:p>
    <w:p>
      <w:pPr>
        <w:pStyle w:val="BodyText"/>
        <w:spacing w:line="235" w:lineRule="auto"/>
        <w:ind w:left="1245" w:right="167"/>
        <w:jc w:val="both"/>
      </w:pPr>
      <w:r>
        <w:rPr/>
        <w:t>“Reason and justice seem to prescribe that, at least as a general rule, where a man, </w:t>
      </w:r>
      <w:r>
        <w:rPr/>
        <w:t>by gift or purchase, acquires property from another, with knowledge of a previous contract, lawfully and for valuable consideration made by him with a third person, to use and employ the property for a particular purpose in a specified manner, the acquirer shall not, </w:t>
      </w:r>
      <w:bookmarkStart w:name="_bookmark1561" w:id="1563"/>
      <w:bookmarkEnd w:id="1563"/>
      <w:r>
        <w:rPr/>
        <w:t>to</w:t>
      </w:r>
      <w:r>
        <w:rPr>
          <w:spacing w:val="-2"/>
        </w:rPr>
        <w:t> </w:t>
      </w:r>
      <w:r>
        <w:rPr/>
        <w:t>the</w:t>
      </w:r>
      <w:r>
        <w:rPr>
          <w:spacing w:val="-2"/>
        </w:rPr>
        <w:t> </w:t>
      </w:r>
      <w:r>
        <w:rPr/>
        <w:t>material</w:t>
      </w:r>
      <w:r>
        <w:rPr>
          <w:spacing w:val="-2"/>
        </w:rPr>
        <w:t> </w:t>
      </w:r>
      <w:r>
        <w:rPr/>
        <w:t>damage</w:t>
      </w:r>
      <w:r>
        <w:rPr>
          <w:spacing w:val="-2"/>
        </w:rPr>
        <w:t> </w:t>
      </w:r>
      <w:r>
        <w:rPr/>
        <w:t>of</w:t>
      </w:r>
      <w:r>
        <w:rPr>
          <w:spacing w:val="-2"/>
        </w:rPr>
        <w:t> </w:t>
      </w:r>
      <w:r>
        <w:rPr/>
        <w:t>the</w:t>
      </w:r>
      <w:r>
        <w:rPr>
          <w:spacing w:val="-2"/>
        </w:rPr>
        <w:t> </w:t>
      </w:r>
      <w:r>
        <w:rPr/>
        <w:t>third</w:t>
      </w:r>
      <w:r>
        <w:rPr>
          <w:spacing w:val="-2"/>
        </w:rPr>
        <w:t> </w:t>
      </w:r>
      <w:r>
        <w:rPr/>
        <w:t>person,</w:t>
      </w:r>
      <w:r>
        <w:rPr>
          <w:spacing w:val="-2"/>
        </w:rPr>
        <w:t> </w:t>
      </w:r>
      <w:r>
        <w:rPr/>
        <w:t>in</w:t>
      </w:r>
      <w:r>
        <w:rPr>
          <w:spacing w:val="-2"/>
        </w:rPr>
        <w:t> </w:t>
      </w:r>
      <w:r>
        <w:rPr/>
        <w:t>opposition</w:t>
      </w:r>
      <w:r>
        <w:rPr>
          <w:spacing w:val="-2"/>
        </w:rPr>
        <w:t> </w:t>
      </w:r>
      <w:r>
        <w:rPr/>
        <w:t>to</w:t>
      </w:r>
      <w:r>
        <w:rPr>
          <w:spacing w:val="-2"/>
        </w:rPr>
        <w:t> </w:t>
      </w:r>
      <w:r>
        <w:rPr/>
        <w:t>the</w:t>
      </w:r>
      <w:r>
        <w:rPr>
          <w:spacing w:val="-2"/>
        </w:rPr>
        <w:t> </w:t>
      </w:r>
      <w:r>
        <w:rPr/>
        <w:t>contract</w:t>
      </w:r>
      <w:r>
        <w:rPr>
          <w:spacing w:val="-2"/>
        </w:rPr>
        <w:t> </w:t>
      </w:r>
      <w:r>
        <w:rPr/>
        <w:t>and</w:t>
      </w:r>
      <w:r>
        <w:rPr>
          <w:spacing w:val="-2"/>
        </w:rPr>
        <w:t> </w:t>
      </w:r>
      <w:r>
        <w:rPr/>
        <w:t>inconsistently with it, use and employ the property in a manner not allowable to the giver or seller.” </w:t>
      </w:r>
      <w:r>
        <w:rPr>
          <w:color w:val="005DA1"/>
          <w:u w:val="single" w:color="005DA1"/>
          <w:vertAlign w:val="superscript"/>
        </w:rPr>
        <w:t>838</w:t>
      </w:r>
    </w:p>
    <w:p>
      <w:pPr>
        <w:pStyle w:val="BodyText"/>
        <w:spacing w:before="114"/>
      </w:pPr>
    </w:p>
    <w:p>
      <w:pPr>
        <w:pStyle w:val="BodyText"/>
        <w:spacing w:line="235" w:lineRule="auto" w:before="1"/>
        <w:ind w:left="164" w:right="167"/>
        <w:jc w:val="both"/>
      </w:pPr>
      <w:bookmarkStart w:name="_bookmark1562" w:id="1564"/>
      <w:bookmarkEnd w:id="1564"/>
      <w:r>
        <w:rPr/>
      </w:r>
      <w:r>
        <w:rPr/>
        <w:t>This principle came to be associated with the rule in </w:t>
      </w:r>
      <w:r>
        <w:rPr>
          <w:rFonts w:ascii="Arial" w:hAnsi="Arial"/>
          <w:i/>
        </w:rPr>
        <w:t>Tulk v Moxhay</w:t>
      </w:r>
      <w:r>
        <w:rPr/>
        <w:t>, </w:t>
      </w:r>
      <w:r>
        <w:rPr>
          <w:color w:val="005DA1"/>
          <w:u w:val="single" w:color="005DA1"/>
          <w:vertAlign w:val="superscript"/>
        </w:rPr>
        <w:t>839</w:t>
      </w:r>
      <w:r>
        <w:rPr>
          <w:color w:val="005DA1"/>
          <w:vertAlign w:val="baseline"/>
        </w:rPr>
        <w:t> </w:t>
      </w:r>
      <w:r>
        <w:rPr>
          <w:vertAlign w:val="baseline"/>
        </w:rPr>
        <w:t>relating to restrictive </w:t>
      </w:r>
      <w:bookmarkStart w:name="_bookmark1563" w:id="1565"/>
      <w:bookmarkEnd w:id="1565"/>
      <w:r>
        <w:rPr>
          <w:vertAlign w:val="baseline"/>
        </w:rPr>
        <w:t>covenants</w:t>
      </w:r>
      <w:r>
        <w:rPr>
          <w:vertAlign w:val="baseline"/>
        </w:rPr>
        <w:t> affecting land. That rule was later confined to cases in which the claimant’s interest in enforcing the covenant consisted in the ownership of land capable of being benefited. </w:t>
      </w:r>
      <w:r>
        <w:rPr>
          <w:color w:val="005DA1"/>
          <w:u w:val="single" w:color="005DA1"/>
          <w:vertAlign w:val="superscript"/>
        </w:rPr>
        <w:t>840</w:t>
      </w:r>
      <w:r>
        <w:rPr>
          <w:color w:val="005DA1"/>
          <w:vertAlign w:val="baseline"/>
        </w:rPr>
        <w:t> </w:t>
      </w:r>
      <w:r>
        <w:rPr>
          <w:vertAlign w:val="baseline"/>
        </w:rPr>
        <w:t>This usually meant adjacent land, and since adjacency cannot be a satisfactory criterion of interest in the case </w:t>
      </w:r>
      <w:r>
        <w:rPr>
          <w:vertAlign w:val="baseline"/>
        </w:rPr>
        <w:t>of things that can be moved, the tendency of this development of the rule in </w:t>
      </w:r>
      <w:r>
        <w:rPr>
          <w:rFonts w:ascii="Arial" w:hAnsi="Arial"/>
          <w:i/>
          <w:vertAlign w:val="baseline"/>
        </w:rPr>
        <w:t>Tulk v Moxhay</w:t>
      </w:r>
      <w:r>
        <w:rPr>
          <w:vertAlign w:val="baseline"/>
        </w:rPr>
        <w:t>, was to </w:t>
      </w:r>
      <w:bookmarkStart w:name="_bookmark1564" w:id="1566"/>
      <w:bookmarkEnd w:id="1566"/>
      <w:r>
        <w:rPr>
          <w:vertAlign w:val="baseline"/>
        </w:rPr>
        <w:t>undermine</w:t>
      </w:r>
      <w:r>
        <w:rPr>
          <w:spacing w:val="-1"/>
          <w:vertAlign w:val="baseline"/>
        </w:rPr>
        <w:t> </w:t>
      </w:r>
      <w:r>
        <w:rPr>
          <w:vertAlign w:val="baseline"/>
        </w:rPr>
        <w:t>the</w:t>
      </w:r>
      <w:r>
        <w:rPr>
          <w:spacing w:val="-1"/>
          <w:vertAlign w:val="baseline"/>
        </w:rPr>
        <w:t> </w:t>
      </w:r>
      <w:r>
        <w:rPr>
          <w:vertAlign w:val="baseline"/>
        </w:rPr>
        <w:t>view</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general</w:t>
      </w:r>
      <w:r>
        <w:rPr>
          <w:spacing w:val="-1"/>
          <w:vertAlign w:val="baseline"/>
        </w:rPr>
        <w:t> </w:t>
      </w:r>
      <w:r>
        <w:rPr>
          <w:vertAlign w:val="baseline"/>
        </w:rPr>
        <w:t>principle</w:t>
      </w:r>
      <w:r>
        <w:rPr>
          <w:spacing w:val="-1"/>
          <w:vertAlign w:val="baseline"/>
        </w:rPr>
        <w:t> </w:t>
      </w:r>
      <w:r>
        <w:rPr>
          <w:vertAlign w:val="baseline"/>
        </w:rPr>
        <w:t>stated</w:t>
      </w:r>
      <w:r>
        <w:rPr>
          <w:spacing w:val="-1"/>
          <w:vertAlign w:val="baseline"/>
        </w:rPr>
        <w:t> </w:t>
      </w:r>
      <w:r>
        <w:rPr>
          <w:vertAlign w:val="baseline"/>
        </w:rPr>
        <w:t>by</w:t>
      </w:r>
      <w:r>
        <w:rPr>
          <w:spacing w:val="-1"/>
          <w:vertAlign w:val="baseline"/>
        </w:rPr>
        <w:t> </w:t>
      </w:r>
      <w:r>
        <w:rPr>
          <w:vertAlign w:val="baseline"/>
        </w:rPr>
        <w:t>Knight</w:t>
      </w:r>
      <w:r>
        <w:rPr>
          <w:spacing w:val="-1"/>
          <w:vertAlign w:val="baseline"/>
        </w:rPr>
        <w:t> </w:t>
      </w:r>
      <w:r>
        <w:rPr>
          <w:vertAlign w:val="baseline"/>
        </w:rPr>
        <w:t>Bruce</w:t>
      </w:r>
      <w:r>
        <w:rPr>
          <w:spacing w:val="-1"/>
          <w:vertAlign w:val="baseline"/>
        </w:rPr>
        <w:t> </w:t>
      </w:r>
      <w:r>
        <w:rPr>
          <w:vertAlign w:val="baseline"/>
        </w:rPr>
        <w:t>L.J.</w:t>
      </w:r>
      <w:r>
        <w:rPr>
          <w:spacing w:val="-1"/>
          <w:vertAlign w:val="baseline"/>
        </w:rPr>
        <w:t> </w:t>
      </w:r>
      <w:r>
        <w:rPr>
          <w:vertAlign w:val="baseline"/>
        </w:rPr>
        <w:t>in</w:t>
      </w:r>
      <w:r>
        <w:rPr>
          <w:spacing w:val="-2"/>
          <w:vertAlign w:val="baseline"/>
        </w:rPr>
        <w:t> </w:t>
      </w:r>
      <w:r>
        <w:rPr>
          <w:rFonts w:ascii="Arial" w:hAnsi="Arial"/>
          <w:i/>
          <w:vertAlign w:val="baseline"/>
        </w:rPr>
        <w:t>De</w:t>
      </w:r>
      <w:r>
        <w:rPr>
          <w:rFonts w:ascii="Arial" w:hAnsi="Arial"/>
          <w:i/>
          <w:spacing w:val="-1"/>
          <w:vertAlign w:val="baseline"/>
        </w:rPr>
        <w:t> </w:t>
      </w:r>
      <w:r>
        <w:rPr>
          <w:rFonts w:ascii="Arial" w:hAnsi="Arial"/>
          <w:i/>
          <w:vertAlign w:val="baseline"/>
        </w:rPr>
        <w:t>Mattos</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Gibson</w:t>
      </w:r>
      <w:r>
        <w:rPr>
          <w:rFonts w:ascii="Arial" w:hAnsi="Arial"/>
          <w:i/>
          <w:spacing w:val="-1"/>
          <w:vertAlign w:val="baseline"/>
        </w:rPr>
        <w:t> </w:t>
      </w:r>
      <w:r>
        <w:rPr>
          <w:vertAlign w:val="baseline"/>
        </w:rPr>
        <w:t>could </w:t>
      </w:r>
      <w:bookmarkStart w:name="_bookmark1565" w:id="1567"/>
      <w:bookmarkEnd w:id="1567"/>
      <w:r>
        <w:rPr>
          <w:vertAlign w:val="baseline"/>
        </w:rPr>
        <w:t>be</w:t>
      </w:r>
      <w:r>
        <w:rPr>
          <w:vertAlign w:val="baseline"/>
        </w:rPr>
        <w:t> applied to contracts affecting all kinds of property. </w:t>
      </w:r>
      <w:r>
        <w:rPr>
          <w:color w:val="005DA1"/>
          <w:u w:val="single" w:color="005DA1"/>
          <w:vertAlign w:val="superscript"/>
        </w:rPr>
        <w:t>841</w:t>
      </w:r>
      <w:r>
        <w:rPr>
          <w:color w:val="005DA1"/>
          <w:vertAlign w:val="baseline"/>
        </w:rPr>
        <w:t> </w:t>
      </w:r>
      <w:r>
        <w:rPr>
          <w:vertAlign w:val="baseline"/>
        </w:rPr>
        <w:t>Nevertheless, in </w:t>
      </w:r>
      <w:r>
        <w:rPr>
          <w:rFonts w:ascii="Arial" w:hAnsi="Arial"/>
          <w:i/>
          <w:vertAlign w:val="baseline"/>
        </w:rPr>
        <w:t>Lord Strathcona SS. Co v </w:t>
      </w:r>
      <w:bookmarkStart w:name="_bookmark1566" w:id="1568"/>
      <w:bookmarkEnd w:id="1568"/>
      <w:r>
        <w:rPr>
          <w:rFonts w:ascii="Arial" w:hAnsi="Arial"/>
          <w:i/>
          <w:vertAlign w:val="baseline"/>
        </w:rPr>
        <w:t>Dominion</w:t>
      </w:r>
      <w:r>
        <w:rPr>
          <w:rFonts w:ascii="Arial" w:hAnsi="Arial"/>
          <w:i/>
          <w:vertAlign w:val="baseline"/>
        </w:rPr>
        <w:t> Coal Co </w:t>
      </w:r>
      <w:r>
        <w:rPr>
          <w:color w:val="005DA1"/>
          <w:u w:val="single" w:color="005DA1"/>
          <w:vertAlign w:val="superscript"/>
        </w:rPr>
        <w:t>842</w:t>
      </w:r>
      <w:r>
        <w:rPr>
          <w:color w:val="005DA1"/>
          <w:vertAlign w:val="baseline"/>
        </w:rPr>
        <w:t> </w:t>
      </w:r>
      <w:r>
        <w:rPr>
          <w:vertAlign w:val="baseline"/>
        </w:rPr>
        <w:t>the Privy Council relied on that principle to hold that a time charterer of a ship had</w:t>
      </w:r>
      <w:r>
        <w:rPr>
          <w:spacing w:val="-2"/>
          <w:vertAlign w:val="baseline"/>
        </w:rPr>
        <w:t> </w:t>
      </w:r>
      <w:r>
        <w:rPr>
          <w:vertAlign w:val="baseline"/>
        </w:rPr>
        <w:t>an</w:t>
      </w:r>
      <w:r>
        <w:rPr>
          <w:spacing w:val="-2"/>
          <w:vertAlign w:val="baseline"/>
        </w:rPr>
        <w:t> </w:t>
      </w:r>
      <w:r>
        <w:rPr>
          <w:vertAlign w:val="baseline"/>
        </w:rPr>
        <w:t>interest</w:t>
      </w:r>
      <w:r>
        <w:rPr>
          <w:spacing w:val="-3"/>
          <w:vertAlign w:val="baseline"/>
        </w:rPr>
        <w:t> </w:t>
      </w:r>
      <w:r>
        <w:rPr>
          <w:color w:val="005DA1"/>
          <w:u w:val="single" w:color="005DA1"/>
          <w:vertAlign w:val="superscript"/>
        </w:rPr>
        <w:t>843</w:t>
      </w:r>
      <w:r>
        <w:rPr>
          <w:color w:val="005DA1"/>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ship</w:t>
      </w:r>
      <w:r>
        <w:rPr>
          <w:spacing w:val="-2"/>
          <w:vertAlign w:val="baseline"/>
        </w:rPr>
        <w:t> </w:t>
      </w:r>
      <w:r>
        <w:rPr>
          <w:vertAlign w:val="baseline"/>
        </w:rPr>
        <w:t>which</w:t>
      </w:r>
      <w:r>
        <w:rPr>
          <w:spacing w:val="-2"/>
          <w:vertAlign w:val="baseline"/>
        </w:rPr>
        <w:t> </w:t>
      </w:r>
      <w:r>
        <w:rPr>
          <w:vertAlign w:val="baseline"/>
        </w:rPr>
        <w:t>he</w:t>
      </w:r>
      <w:r>
        <w:rPr>
          <w:spacing w:val="-2"/>
          <w:vertAlign w:val="baseline"/>
        </w:rPr>
        <w:t> </w:t>
      </w:r>
      <w:r>
        <w:rPr>
          <w:vertAlign w:val="baseline"/>
        </w:rPr>
        <w:t>could</w:t>
      </w:r>
      <w:r>
        <w:rPr>
          <w:spacing w:val="-2"/>
          <w:vertAlign w:val="baseline"/>
        </w:rPr>
        <w:t> </w:t>
      </w:r>
      <w:r>
        <w:rPr>
          <w:vertAlign w:val="baseline"/>
        </w:rPr>
        <w:t>enforce</w:t>
      </w:r>
      <w:r>
        <w:rPr>
          <w:spacing w:val="-2"/>
          <w:vertAlign w:val="baseline"/>
        </w:rPr>
        <w:t> </w:t>
      </w:r>
      <w:r>
        <w:rPr>
          <w:vertAlign w:val="baseline"/>
        </w:rPr>
        <w:t>against</w:t>
      </w:r>
      <w:r>
        <w:rPr>
          <w:spacing w:val="-2"/>
          <w:vertAlign w:val="baseline"/>
        </w:rPr>
        <w:t> </w:t>
      </w:r>
      <w:r>
        <w:rPr>
          <w:vertAlign w:val="baseline"/>
        </w:rPr>
        <w:t>a</w:t>
      </w:r>
      <w:r>
        <w:rPr>
          <w:spacing w:val="-2"/>
          <w:vertAlign w:val="baseline"/>
        </w:rPr>
        <w:t> </w:t>
      </w:r>
      <w:r>
        <w:rPr>
          <w:vertAlign w:val="baseline"/>
        </w:rPr>
        <w:t>purchaser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ship</w:t>
      </w:r>
      <w:r>
        <w:rPr>
          <w:spacing w:val="-2"/>
          <w:vertAlign w:val="baseline"/>
        </w:rPr>
        <w:t> </w:t>
      </w:r>
      <w:r>
        <w:rPr>
          <w:vertAlign w:val="baseline"/>
        </w:rPr>
        <w:t>with</w:t>
      </w:r>
      <w:r>
        <w:rPr>
          <w:spacing w:val="-2"/>
          <w:vertAlign w:val="baseline"/>
        </w:rPr>
        <w:t> </w:t>
      </w:r>
      <w:r>
        <w:rPr>
          <w:vertAlign w:val="baseline"/>
        </w:rPr>
        <w:t>notice</w:t>
      </w:r>
      <w:r>
        <w:rPr>
          <w:spacing w:val="-2"/>
          <w:vertAlign w:val="baseline"/>
        </w:rPr>
        <w:t> </w:t>
      </w:r>
      <w:r>
        <w:rPr>
          <w:vertAlign w:val="baseline"/>
        </w:rPr>
        <w:t>of</w:t>
      </w:r>
      <w:r>
        <w:rPr>
          <w:spacing w:val="-2"/>
          <w:vertAlign w:val="baseline"/>
        </w:rPr>
        <w:t> </w:t>
      </w:r>
      <w:r>
        <w:rPr>
          <w:vertAlign w:val="baseline"/>
        </w:rPr>
        <w:t>the </w:t>
      </w:r>
      <w:bookmarkStart w:name="_bookmark1567" w:id="1569"/>
      <w:bookmarkEnd w:id="1569"/>
      <w:r>
        <w:rPr>
          <w:vertAlign w:val="baseline"/>
        </w:rPr>
        <w:t>charterparty:</w:t>
      </w:r>
      <w:r>
        <w:rPr>
          <w:vertAlign w:val="baseline"/>
        </w:rPr>
        <w:t> that purchaser was said to be “plainly in the position of a constructive trustee, with </w:t>
      </w:r>
      <w:bookmarkStart w:name="_bookmark1568" w:id="1570"/>
      <w:bookmarkEnd w:id="1570"/>
      <w:r>
        <w:rPr>
          <w:vertAlign w:val="baseline"/>
        </w:rPr>
        <w:t>obligations</w:t>
      </w:r>
      <w:r>
        <w:rPr>
          <w:vertAlign w:val="baseline"/>
        </w:rPr>
        <w:t> which a court of equity will not allow him to violate.” </w:t>
      </w:r>
      <w:r>
        <w:rPr>
          <w:color w:val="005DA1"/>
          <w:u w:val="single" w:color="005DA1"/>
          <w:vertAlign w:val="superscript"/>
        </w:rPr>
        <w:t>844</w:t>
      </w:r>
      <w:r>
        <w:rPr>
          <w:color w:val="005DA1"/>
          <w:vertAlign w:val="baseline"/>
        </w:rPr>
        <w:t> </w:t>
      </w:r>
      <w:r>
        <w:rPr>
          <w:vertAlign w:val="baseline"/>
        </w:rPr>
        <w:t>The decision provoked adverse judicial criticism, </w:t>
      </w:r>
      <w:r>
        <w:rPr>
          <w:color w:val="005DA1"/>
          <w:u w:val="single" w:color="005DA1"/>
          <w:vertAlign w:val="superscript"/>
        </w:rPr>
        <w:t>845</w:t>
      </w:r>
      <w:r>
        <w:rPr>
          <w:color w:val="005DA1"/>
          <w:vertAlign w:val="baseline"/>
        </w:rPr>
        <w:t> </w:t>
      </w:r>
      <w:r>
        <w:rPr>
          <w:vertAlign w:val="baseline"/>
        </w:rPr>
        <w:t>particularly because the land law analogies and the constructive trust reasoning on which the decision was based might lead to the third party’s being made liable where he had only </w:t>
      </w:r>
      <w:bookmarkStart w:name="_bookmark1569" w:id="1571"/>
      <w:bookmarkEnd w:id="1571"/>
      <w:r>
        <w:rPr>
          <w:vertAlign w:val="baseline"/>
        </w:rPr>
        <w:t>constructive</w:t>
      </w:r>
      <w:r>
        <w:rPr>
          <w:vertAlign w:val="baseline"/>
        </w:rPr>
        <w:t> notice of the earlier contract. Where that contract concerned the use or disposition of a chattel, such a conclusion was open to the objection that it might have the undesirable effect </w:t>
      </w:r>
      <w:r>
        <w:rPr>
          <w:color w:val="005DA1"/>
          <w:u w:val="single" w:color="005DA1"/>
          <w:vertAlign w:val="superscript"/>
        </w:rPr>
        <w:t>846</w:t>
      </w:r>
      <w:r>
        <w:rPr>
          <w:color w:val="005DA1"/>
          <w:vertAlign w:val="baseline"/>
        </w:rPr>
        <w:t> </w:t>
      </w:r>
      <w:r>
        <w:rPr>
          <w:vertAlign w:val="baseline"/>
        </w:rPr>
        <w:t>of </w:t>
      </w:r>
      <w:bookmarkStart w:name="_bookmark1570" w:id="1572"/>
      <w:bookmarkEnd w:id="1572"/>
      <w:r>
        <w:rPr>
          <w:vertAlign w:val="baseline"/>
        </w:rPr>
        <w:t>introducing</w:t>
      </w:r>
      <w:r>
        <w:rPr>
          <w:vertAlign w:val="baseline"/>
        </w:rPr>
        <w:t> the doctrine of constructive notice into commercial affairs. When a similar problem arose</w:t>
      </w:r>
      <w:r>
        <w:rPr>
          <w:spacing w:val="40"/>
          <w:vertAlign w:val="baseline"/>
        </w:rPr>
        <w:t> </w:t>
      </w:r>
      <w:r>
        <w:rPr>
          <w:vertAlign w:val="baseline"/>
        </w:rPr>
        <w:t>in </w:t>
      </w:r>
      <w:r>
        <w:rPr>
          <w:rFonts w:ascii="Arial" w:hAnsi="Arial"/>
          <w:i/>
          <w:vertAlign w:val="baseline"/>
        </w:rPr>
        <w:t>Port Line Ltd v Ben Line Steamers Ltd</w:t>
      </w:r>
      <w:r>
        <w:rPr>
          <w:vertAlign w:val="baseline"/>
        </w:rPr>
        <w:t>, </w:t>
      </w:r>
      <w:r>
        <w:rPr>
          <w:color w:val="005DA1"/>
          <w:u w:val="single" w:color="005DA1"/>
          <w:vertAlign w:val="superscript"/>
        </w:rPr>
        <w:t>847</w:t>
      </w:r>
      <w:r>
        <w:rPr>
          <w:color w:val="005DA1"/>
          <w:vertAlign w:val="baseline"/>
        </w:rPr>
        <w:t> </w:t>
      </w:r>
      <w:r>
        <w:rPr>
          <w:vertAlign w:val="baseline"/>
        </w:rPr>
        <w:t>Diplock J. therefore refused to follow the Privy Council’s decision. Alternatively, he was prepared to distinguish that decision on the ground that the purchaser of the ship in the </w:t>
      </w:r>
      <w:r>
        <w:rPr>
          <w:rFonts w:ascii="Arial" w:hAnsi="Arial"/>
          <w:i/>
          <w:vertAlign w:val="baseline"/>
        </w:rPr>
        <w:t>Port Line </w:t>
      </w:r>
      <w:r>
        <w:rPr>
          <w:vertAlign w:val="baseline"/>
        </w:rPr>
        <w:t>case merely knew the ship was subject to a time charter to the claimant, </w:t>
      </w:r>
      <w:bookmarkStart w:name="_bookmark1571" w:id="1573"/>
      <w:bookmarkEnd w:id="1573"/>
      <w:r>
        <w:rPr>
          <w:vertAlign w:val="baseline"/>
        </w:rPr>
        <w:t>but</w:t>
      </w:r>
      <w:r>
        <w:rPr>
          <w:vertAlign w:val="baseline"/>
        </w:rPr>
        <w:t> did not have actual notice of the relevant terms of the charterparty specifying the precise extent of the claimants’ rights under it. </w:t>
      </w:r>
      <w:r>
        <w:rPr>
          <w:color w:val="005DA1"/>
          <w:u w:val="single" w:color="005DA1"/>
          <w:vertAlign w:val="superscript"/>
        </w:rPr>
        <w:t>848</w:t>
      </w:r>
      <w:r>
        <w:rPr>
          <w:color w:val="005DA1"/>
          <w:vertAlign w:val="baseline"/>
        </w:rPr>
        <w:t> </w:t>
      </w:r>
      <w:r>
        <w:rPr>
          <w:vertAlign w:val="baseline"/>
        </w:rPr>
        <w:t>Thus while the </w:t>
      </w:r>
      <w:r>
        <w:rPr>
          <w:rFonts w:ascii="Arial" w:hAnsi="Arial"/>
          <w:i/>
          <w:vertAlign w:val="baseline"/>
        </w:rPr>
        <w:t>Port Line </w:t>
      </w:r>
      <w:r>
        <w:rPr>
          <w:vertAlign w:val="baseline"/>
        </w:rPr>
        <w:t>case rejects the general principle stated by Knight Bruce L.J. so far as it relates to contracts concerning chattels, it does not decide that a third party can always disregard such a contract when he acquires the chattel in question. Possible limitations on his freedom to do so are considered in the next eight paragraphs.</w:t>
      </w:r>
    </w:p>
    <w:p>
      <w:pPr>
        <w:pStyle w:val="BodyText"/>
        <w:spacing w:after="0" w:line="235" w:lineRule="auto"/>
        <w:jc w:val="both"/>
        <w:sectPr>
          <w:pgSz w:w="11900" w:h="16840"/>
          <w:pgMar w:header="971" w:footer="0" w:top="1160" w:bottom="280" w:left="1275" w:right="1275"/>
        </w:sectPr>
      </w:pPr>
    </w:p>
    <w:p>
      <w:pPr>
        <w:pStyle w:val="BodyText"/>
        <w:spacing w:before="146"/>
        <w:rPr>
          <w:sz w:val="18"/>
        </w:rPr>
      </w:pPr>
    </w:p>
    <w:p>
      <w:pPr>
        <w:spacing w:before="0"/>
        <w:ind w:left="165" w:right="0" w:firstLine="0"/>
        <w:jc w:val="left"/>
        <w:rPr>
          <w:rFonts w:ascii="Arial"/>
          <w:b/>
          <w:sz w:val="18"/>
        </w:rPr>
      </w:pPr>
      <w:r>
        <w:rPr>
          <w:rFonts w:ascii="Arial"/>
          <w:b/>
          <w:spacing w:val="-2"/>
          <w:sz w:val="18"/>
        </w:rPr>
        <w:t>Remedy</w:t>
      </w:r>
    </w:p>
    <w:p>
      <w:pPr>
        <w:pStyle w:val="BodyText"/>
        <w:spacing w:before="41"/>
        <w:rPr>
          <w:rFonts w:ascii="Arial"/>
          <w:b/>
          <w:sz w:val="18"/>
        </w:rPr>
      </w:pPr>
    </w:p>
    <w:p>
      <w:pPr>
        <w:pStyle w:val="Heading2"/>
        <w:spacing w:before="1"/>
      </w:pPr>
      <w:r>
        <w:rPr/>
        <w:t>18-</w:t>
      </w:r>
      <w:r>
        <w:rPr>
          <w:spacing w:val="-5"/>
        </w:rPr>
        <w:t>146</w:t>
      </w:r>
    </w:p>
    <w:p>
      <w:pPr>
        <w:pStyle w:val="BodyText"/>
        <w:spacing w:line="235" w:lineRule="auto" w:before="202"/>
        <w:ind w:left="165" w:right="167"/>
        <w:jc w:val="both"/>
      </w:pPr>
      <w:bookmarkStart w:name="_bookmark1572" w:id="1574"/>
      <w:bookmarkEnd w:id="1574"/>
      <w:r>
        <w:rPr/>
      </w:r>
      <w:r>
        <w:rPr/>
        <w:t>Later</w:t>
      </w:r>
      <w:r>
        <w:rPr>
          <w:spacing w:val="-2"/>
        </w:rPr>
        <w:t> </w:t>
      </w:r>
      <w:r>
        <w:rPr/>
        <w:t>authorities</w:t>
      </w:r>
      <w:r>
        <w:rPr>
          <w:spacing w:val="-2"/>
        </w:rPr>
        <w:t> </w:t>
      </w:r>
      <w:r>
        <w:rPr/>
        <w:t>have</w:t>
      </w:r>
      <w:r>
        <w:rPr>
          <w:spacing w:val="-2"/>
        </w:rPr>
        <w:t> </w:t>
      </w:r>
      <w:r>
        <w:rPr/>
        <w:t>restricted</w:t>
      </w:r>
      <w:r>
        <w:rPr>
          <w:spacing w:val="-2"/>
        </w:rPr>
        <w:t> </w:t>
      </w:r>
      <w:r>
        <w:rPr/>
        <w:t>the</w:t>
      </w:r>
      <w:r>
        <w:rPr>
          <w:spacing w:val="-2"/>
        </w:rPr>
        <w:t> </w:t>
      </w:r>
      <w:r>
        <w:rPr/>
        <w:t>principle</w:t>
      </w:r>
      <w:r>
        <w:rPr>
          <w:spacing w:val="-2"/>
        </w:rPr>
        <w:t> </w:t>
      </w:r>
      <w:r>
        <w:rPr/>
        <w:t>stated</w:t>
      </w:r>
      <w:r>
        <w:rPr>
          <w:spacing w:val="-2"/>
        </w:rPr>
        <w:t> </w:t>
      </w:r>
      <w:r>
        <w:rPr/>
        <w:t>in</w:t>
      </w:r>
      <w:r>
        <w:rPr>
          <w:spacing w:val="-3"/>
        </w:rPr>
        <w:t> </w:t>
      </w:r>
      <w:r>
        <w:rPr>
          <w:rFonts w:ascii="Arial" w:hAnsi="Arial"/>
          <w:i/>
        </w:rPr>
        <w:t>De</w:t>
      </w:r>
      <w:r>
        <w:rPr>
          <w:rFonts w:ascii="Arial" w:hAnsi="Arial"/>
          <w:i/>
          <w:spacing w:val="-2"/>
        </w:rPr>
        <w:t> </w:t>
      </w:r>
      <w:r>
        <w:rPr>
          <w:rFonts w:ascii="Arial" w:hAnsi="Arial"/>
          <w:i/>
        </w:rPr>
        <w:t>Mattos</w:t>
      </w:r>
      <w:r>
        <w:rPr>
          <w:rFonts w:ascii="Arial" w:hAnsi="Arial"/>
          <w:i/>
          <w:spacing w:val="-2"/>
        </w:rPr>
        <w:t> </w:t>
      </w:r>
      <w:r>
        <w:rPr>
          <w:rFonts w:ascii="Arial" w:hAnsi="Arial"/>
          <w:i/>
        </w:rPr>
        <w:t>v</w:t>
      </w:r>
      <w:r>
        <w:rPr>
          <w:rFonts w:ascii="Arial" w:hAnsi="Arial"/>
          <w:i/>
          <w:spacing w:val="-2"/>
        </w:rPr>
        <w:t> </w:t>
      </w:r>
      <w:r>
        <w:rPr>
          <w:rFonts w:ascii="Arial" w:hAnsi="Arial"/>
          <w:i/>
        </w:rPr>
        <w:t>Gibson</w:t>
      </w:r>
      <w:r>
        <w:rPr>
          <w:rFonts w:ascii="Arial" w:hAnsi="Arial"/>
          <w:i/>
          <w:spacing w:val="-3"/>
        </w:rPr>
        <w:t> </w:t>
      </w:r>
      <w:r>
        <w:rPr>
          <w:color w:val="005DA1"/>
          <w:u w:val="single" w:color="005DA1"/>
          <w:vertAlign w:val="superscript"/>
        </w:rPr>
        <w:t>849</w:t>
      </w:r>
      <w:r>
        <w:rPr>
          <w:color w:val="005DA1"/>
          <w:spacing w:val="-2"/>
          <w:vertAlign w:val="baseline"/>
        </w:rPr>
        <w:t> </w:t>
      </w:r>
      <w:r>
        <w:rPr>
          <w:vertAlign w:val="baseline"/>
        </w:rPr>
        <w:t>by</w:t>
      </w:r>
      <w:r>
        <w:rPr>
          <w:spacing w:val="-2"/>
          <w:vertAlign w:val="baseline"/>
        </w:rPr>
        <w:t> </w:t>
      </w:r>
      <w:r>
        <w:rPr>
          <w:vertAlign w:val="baseline"/>
        </w:rPr>
        <w:t>emphasising</w:t>
      </w:r>
      <w:r>
        <w:rPr>
          <w:spacing w:val="-2"/>
          <w:vertAlign w:val="baseline"/>
        </w:rPr>
        <w:t> </w:t>
      </w:r>
      <w:r>
        <w:rPr>
          <w:vertAlign w:val="baseline"/>
        </w:rPr>
        <w:t>that</w:t>
      </w:r>
      <w:r>
        <w:rPr>
          <w:spacing w:val="-2"/>
          <w:vertAlign w:val="baseline"/>
        </w:rPr>
        <w:t> </w:t>
      </w:r>
      <w:r>
        <w:rPr>
          <w:vertAlign w:val="baseline"/>
        </w:rPr>
        <w:t>the </w:t>
      </w:r>
      <w:bookmarkStart w:name="_bookmark1573" w:id="1575"/>
      <w:bookmarkEnd w:id="1575"/>
      <w:r>
        <w:rPr>
          <w:vertAlign w:val="baseline"/>
        </w:rPr>
        <w:t>remedy</w:t>
      </w:r>
      <w:r>
        <w:rPr>
          <w:vertAlign w:val="baseline"/>
        </w:rPr>
        <w:t> there sought was simply an injunction to restrain the acquirer, C, from using the property inconsistently with the terms of the contract between A and B, known to C. </w:t>
      </w:r>
      <w:r>
        <w:rPr>
          <w:color w:val="005DA1"/>
          <w:u w:val="single" w:color="005DA1"/>
          <w:vertAlign w:val="superscript"/>
        </w:rPr>
        <w:t>850</w:t>
      </w:r>
      <w:r>
        <w:rPr>
          <w:color w:val="005DA1"/>
          <w:vertAlign w:val="baseline"/>
        </w:rPr>
        <w:t> </w:t>
      </w:r>
      <w:r>
        <w:rPr>
          <w:vertAlign w:val="baseline"/>
        </w:rPr>
        <w:t>The principle therefore cannot impose any positive obligation on C to perform the terms of the contract between A and B. Thus where B acquired shares from A, promising to make payments to A on the occurrence of specified events, which later happened, it was held that that promise could not be enforced against C </w:t>
      </w:r>
      <w:bookmarkStart w:name="_bookmark1574" w:id="1576"/>
      <w:bookmarkEnd w:id="1576"/>
      <w:r>
        <w:rPr>
          <w:vertAlign w:val="baseline"/>
        </w:rPr>
        <w:t>who</w:t>
      </w:r>
      <w:r>
        <w:rPr>
          <w:vertAlign w:val="baseline"/>
        </w:rPr>
        <w:t> later acquired the shares from B with knowledge of the contract between A and B, nor against D who acquired them from C with such knowledge. </w:t>
      </w:r>
      <w:r>
        <w:rPr>
          <w:color w:val="005DA1"/>
          <w:u w:val="single" w:color="005DA1"/>
          <w:vertAlign w:val="superscript"/>
        </w:rPr>
        <w:t>851</w:t>
      </w:r>
      <w:r>
        <w:rPr>
          <w:color w:val="005DA1"/>
          <w:vertAlign w:val="baseline"/>
        </w:rPr>
        <w:t> </w:t>
      </w:r>
      <w:r>
        <w:rPr>
          <w:vertAlign w:val="baseline"/>
        </w:rPr>
        <w:t>An injunction on the principle of </w:t>
      </w:r>
      <w:r>
        <w:rPr>
          <w:rFonts w:ascii="Arial" w:hAnsi="Arial"/>
          <w:i/>
          <w:vertAlign w:val="baseline"/>
        </w:rPr>
        <w:t>De Mattos v </w:t>
      </w:r>
      <w:bookmarkStart w:name="_bookmark1575" w:id="1577"/>
      <w:bookmarkEnd w:id="1577"/>
      <w:r>
        <w:rPr>
          <w:rFonts w:ascii="Arial" w:hAnsi="Arial"/>
          <w:i/>
          <w:vertAlign w:val="baseline"/>
        </w:rPr>
        <w:t>Gibson</w:t>
      </w:r>
      <w:r>
        <w:rPr>
          <w:rFonts w:ascii="Arial" w:hAnsi="Arial"/>
          <w:i/>
          <w:vertAlign w:val="baseline"/>
        </w:rPr>
        <w:t> </w:t>
      </w:r>
      <w:r>
        <w:rPr>
          <w:vertAlign w:val="baseline"/>
        </w:rPr>
        <w:t>was not available against C or D as they were not proposing to act inconsistently with the contract between A and B: “they are merely proposing … to do nothing whatever.” </w:t>
      </w:r>
      <w:r>
        <w:rPr>
          <w:color w:val="005DA1"/>
          <w:u w:val="single" w:color="005DA1"/>
          <w:vertAlign w:val="superscript"/>
        </w:rPr>
        <w:t>852</w:t>
      </w:r>
    </w:p>
    <w:p>
      <w:pPr>
        <w:pStyle w:val="BodyText"/>
      </w:pPr>
    </w:p>
    <w:p>
      <w:pPr>
        <w:pStyle w:val="BodyText"/>
        <w:spacing w:before="35"/>
      </w:pPr>
    </w:p>
    <w:p>
      <w:pPr>
        <w:spacing w:before="0"/>
        <w:ind w:left="165" w:right="0" w:firstLine="0"/>
        <w:jc w:val="left"/>
        <w:rPr>
          <w:rFonts w:ascii="Arial" w:hAnsi="Arial"/>
          <w:b/>
          <w:sz w:val="18"/>
        </w:rPr>
      </w:pPr>
      <w:bookmarkStart w:name="_bookmark1576" w:id="1578"/>
      <w:bookmarkEnd w:id="1578"/>
      <w:r>
        <w:rPr/>
      </w:r>
      <w:r>
        <w:rPr>
          <w:rFonts w:ascii="Arial" w:hAnsi="Arial"/>
          <w:b/>
          <w:sz w:val="18"/>
        </w:rPr>
        <w:t>Third party’s liability in tort </w:t>
      </w:r>
      <w:r>
        <w:rPr>
          <w:rFonts w:ascii="Arial" w:hAnsi="Arial"/>
          <w:b/>
          <w:color w:val="005DA1"/>
          <w:spacing w:val="-5"/>
          <w:sz w:val="18"/>
          <w:u w:val="single" w:color="005DA1"/>
          <w:vertAlign w:val="superscript"/>
        </w:rPr>
        <w:t>853</w:t>
      </w:r>
    </w:p>
    <w:p>
      <w:pPr>
        <w:pStyle w:val="BodyText"/>
        <w:spacing w:before="41"/>
        <w:rPr>
          <w:rFonts w:ascii="Arial"/>
          <w:b/>
          <w:sz w:val="18"/>
        </w:rPr>
      </w:pPr>
    </w:p>
    <w:p>
      <w:pPr>
        <w:pStyle w:val="Heading2"/>
      </w:pPr>
      <w:r>
        <w:rPr/>
        <w:t>18-</w:t>
      </w:r>
      <w:r>
        <w:rPr>
          <w:spacing w:val="-5"/>
        </w:rPr>
        <w:t>147</w:t>
      </w:r>
    </w:p>
    <w:p>
      <w:pPr>
        <w:pStyle w:val="BodyText"/>
        <w:spacing w:line="235" w:lineRule="auto" w:before="203"/>
        <w:ind w:left="164" w:right="167"/>
        <w:jc w:val="both"/>
      </w:pPr>
      <w:bookmarkStart w:name="_bookmark1577" w:id="1579"/>
      <w:bookmarkEnd w:id="1579"/>
      <w:r>
        <w:rPr/>
      </w:r>
      <w:r>
        <w:rPr/>
        <w:t>Where a person acquires a chattel with actual knowledge </w:t>
      </w:r>
      <w:r>
        <w:rPr>
          <w:color w:val="005DA1"/>
          <w:u w:val="single" w:color="005DA1"/>
          <w:vertAlign w:val="superscript"/>
        </w:rPr>
        <w:t>854</w:t>
      </w:r>
      <w:r>
        <w:rPr>
          <w:color w:val="005DA1"/>
          <w:vertAlign w:val="baseline"/>
        </w:rPr>
        <w:t> </w:t>
      </w:r>
      <w:r>
        <w:rPr>
          <w:vertAlign w:val="baseline"/>
        </w:rPr>
        <w:t>of the terms of a contract affecting it, he </w:t>
      </w:r>
      <w:bookmarkStart w:name="_bookmark1578" w:id="1580"/>
      <w:bookmarkEnd w:id="1580"/>
      <w:r>
        <w:rPr>
          <w:vertAlign w:val="baseline"/>
        </w:rPr>
        <w:t>may,</w:t>
      </w:r>
      <w:r>
        <w:rPr>
          <w:vertAlign w:val="baseline"/>
        </w:rPr>
        <w:t> if his acquisition or use of the chattel is inconsistent with that contract, be liable in tort for inducing a breach of contract. </w:t>
      </w:r>
      <w:r>
        <w:rPr>
          <w:color w:val="005DA1"/>
          <w:u w:val="single" w:color="005DA1"/>
          <w:vertAlign w:val="superscript"/>
        </w:rPr>
        <w:t>855</w:t>
      </w:r>
      <w:r>
        <w:rPr>
          <w:color w:val="005DA1"/>
          <w:vertAlign w:val="baseline"/>
        </w:rPr>
        <w:t> </w:t>
      </w:r>
      <w:r>
        <w:rPr>
          <w:vertAlign w:val="baseline"/>
        </w:rPr>
        <w:t>Thus in </w:t>
      </w:r>
      <w:r>
        <w:rPr>
          <w:rFonts w:ascii="Arial" w:hAnsi="Arial"/>
          <w:i/>
          <w:vertAlign w:val="baseline"/>
        </w:rPr>
        <w:t>British Motor Trade Association v Salvadori </w:t>
      </w:r>
      <w:r>
        <w:rPr>
          <w:color w:val="005DA1"/>
          <w:u w:val="single" w:color="005DA1"/>
          <w:vertAlign w:val="superscript"/>
        </w:rPr>
        <w:t>856</w:t>
      </w:r>
      <w:r>
        <w:rPr>
          <w:color w:val="005DA1"/>
          <w:vertAlign w:val="baseline"/>
        </w:rPr>
        <w:t> </w:t>
      </w:r>
      <w:r>
        <w:rPr>
          <w:vertAlign w:val="baseline"/>
        </w:rPr>
        <w:t>B bought a car and covenanted with A that he would not resell it for one year without first offering it to A. </w:t>
      </w:r>
      <w:r>
        <w:rPr>
          <w:vertAlign w:val="baseline"/>
        </w:rPr>
        <w:t>C</w:t>
      </w:r>
      <w:r>
        <w:rPr>
          <w:spacing w:val="40"/>
          <w:vertAlign w:val="baseline"/>
        </w:rPr>
        <w:t> </w:t>
      </w:r>
      <w:r>
        <w:rPr>
          <w:vertAlign w:val="baseline"/>
        </w:rPr>
        <w:t>bought the car from B within the year with notice of the covenant and was held liable to A for </w:t>
      </w:r>
      <w:bookmarkStart w:name="_bookmark1579" w:id="1581"/>
      <w:bookmarkEnd w:id="1581"/>
      <w:r>
        <w:rPr>
          <w:vertAlign w:val="baseline"/>
        </w:rPr>
        <w:t>wrongfully</w:t>
      </w:r>
      <w:r>
        <w:rPr>
          <w:spacing w:val="-1"/>
          <w:vertAlign w:val="baseline"/>
        </w:rPr>
        <w:t> </w:t>
      </w:r>
      <w:r>
        <w:rPr>
          <w:vertAlign w:val="baseline"/>
        </w:rPr>
        <w:t>inducing</w:t>
      </w:r>
      <w:r>
        <w:rPr>
          <w:spacing w:val="-1"/>
          <w:vertAlign w:val="baseline"/>
        </w:rPr>
        <w:t> </w:t>
      </w:r>
      <w:r>
        <w:rPr>
          <w:vertAlign w:val="baseline"/>
        </w:rPr>
        <w:t>B</w:t>
      </w:r>
      <w:r>
        <w:rPr>
          <w:spacing w:val="-1"/>
          <w:vertAlign w:val="baseline"/>
        </w:rPr>
        <w:t> </w:t>
      </w:r>
      <w:r>
        <w:rPr>
          <w:vertAlign w:val="baseline"/>
        </w:rPr>
        <w:t>to</w:t>
      </w:r>
      <w:r>
        <w:rPr>
          <w:spacing w:val="-1"/>
          <w:vertAlign w:val="baseline"/>
        </w:rPr>
        <w:t> </w:t>
      </w:r>
      <w:r>
        <w:rPr>
          <w:vertAlign w:val="baseline"/>
        </w:rPr>
        <w:t>break</w:t>
      </w:r>
      <w:r>
        <w:rPr>
          <w:spacing w:val="-1"/>
          <w:vertAlign w:val="baseline"/>
        </w:rPr>
        <w:t> </w:t>
      </w:r>
      <w:r>
        <w:rPr>
          <w:vertAlign w:val="baseline"/>
        </w:rPr>
        <w:t>his</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suggested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decision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Privy </w:t>
      </w:r>
      <w:bookmarkStart w:name="_bookmark1580" w:id="1582"/>
      <w:bookmarkEnd w:id="1582"/>
      <w:r>
        <w:rPr>
          <w:vertAlign w:val="baseline"/>
        </w:rPr>
        <w:t>Council</w:t>
      </w:r>
      <w:r>
        <w:rPr>
          <w:vertAlign w:val="baseline"/>
        </w:rPr>
        <w:t> in the </w:t>
      </w:r>
      <w:r>
        <w:rPr>
          <w:rFonts w:ascii="Arial" w:hAnsi="Arial"/>
          <w:i/>
          <w:vertAlign w:val="baseline"/>
        </w:rPr>
        <w:t>Lord Strathcona </w:t>
      </w:r>
      <w:r>
        <w:rPr>
          <w:vertAlign w:val="baseline"/>
        </w:rPr>
        <w:t>case </w:t>
      </w:r>
      <w:r>
        <w:rPr>
          <w:color w:val="005DA1"/>
          <w:u w:val="single" w:color="005DA1"/>
          <w:vertAlign w:val="superscript"/>
        </w:rPr>
        <w:t>857</w:t>
      </w:r>
      <w:r>
        <w:rPr>
          <w:color w:val="005DA1"/>
          <w:vertAlign w:val="baseline"/>
        </w:rPr>
        <w:t> </w:t>
      </w:r>
      <w:r>
        <w:rPr>
          <w:vertAlign w:val="baseline"/>
        </w:rPr>
        <w:t>can be explained on the ground that the purchaser of the ship had committed this tort against the charterer. </w:t>
      </w:r>
      <w:r>
        <w:rPr>
          <w:color w:val="005DA1"/>
          <w:u w:val="single" w:color="005DA1"/>
          <w:vertAlign w:val="superscript"/>
        </w:rPr>
        <w:t>858</w:t>
      </w:r>
      <w:r>
        <w:rPr>
          <w:color w:val="005DA1"/>
          <w:vertAlign w:val="baseline"/>
        </w:rPr>
        <w:t> </w:t>
      </w:r>
      <w:r>
        <w:rPr>
          <w:vertAlign w:val="baseline"/>
        </w:rPr>
        <w:t>The tort may be committed even though B was quite </w:t>
      </w:r>
      <w:bookmarkStart w:name="_bookmark1581" w:id="1583"/>
      <w:bookmarkEnd w:id="1583"/>
      <w:r>
        <w:rPr>
          <w:vertAlign w:val="baseline"/>
        </w:rPr>
        <w:t>willing</w:t>
      </w:r>
      <w:r>
        <w:rPr>
          <w:spacing w:val="-1"/>
          <w:vertAlign w:val="baseline"/>
        </w:rPr>
        <w:t> </w:t>
      </w:r>
      <w:r>
        <w:rPr>
          <w:vertAlign w:val="baseline"/>
        </w:rPr>
        <w:t>to</w:t>
      </w:r>
      <w:r>
        <w:rPr>
          <w:spacing w:val="-1"/>
          <w:vertAlign w:val="baseline"/>
        </w:rPr>
        <w:t> </w:t>
      </w:r>
      <w:r>
        <w:rPr>
          <w:vertAlign w:val="baseline"/>
        </w:rPr>
        <w:t>break</w:t>
      </w:r>
      <w:r>
        <w:rPr>
          <w:spacing w:val="-1"/>
          <w:vertAlign w:val="baseline"/>
        </w:rPr>
        <w:t> </w:t>
      </w:r>
      <w:r>
        <w:rPr>
          <w:vertAlign w:val="baseline"/>
        </w:rPr>
        <w:t>his</w:t>
      </w:r>
      <w:r>
        <w:rPr>
          <w:spacing w:val="-1"/>
          <w:vertAlign w:val="baseline"/>
        </w:rPr>
        <w:t> </w:t>
      </w:r>
      <w:r>
        <w:rPr>
          <w:vertAlign w:val="baseline"/>
        </w:rPr>
        <w:t>contract</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Thus</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case</w:t>
      </w:r>
      <w:r>
        <w:rPr>
          <w:spacing w:val="-1"/>
          <w:vertAlign w:val="baseline"/>
        </w:rPr>
        <w:t> </w:t>
      </w:r>
      <w:r>
        <w:rPr>
          <w:vertAlign w:val="baseline"/>
        </w:rPr>
        <w:t>like</w:t>
      </w:r>
      <w:r>
        <w:rPr>
          <w:spacing w:val="-1"/>
          <w:vertAlign w:val="baseline"/>
        </w:rPr>
        <w:t> </w:t>
      </w:r>
      <w:r>
        <w:rPr>
          <w:rFonts w:ascii="Arial" w:hAnsi="Arial"/>
          <w:i/>
          <w:vertAlign w:val="baseline"/>
        </w:rPr>
        <w:t>Salvadori’s</w:t>
      </w:r>
      <w:r>
        <w:rPr>
          <w:rFonts w:ascii="Arial" w:hAnsi="Arial"/>
          <w:i/>
          <w:spacing w:val="-1"/>
          <w:vertAlign w:val="baseline"/>
        </w:rPr>
        <w:t> </w:t>
      </w:r>
      <w:r>
        <w:rPr>
          <w:vertAlign w:val="baseline"/>
        </w:rPr>
        <w:t>it</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immaterial</w:t>
      </w:r>
      <w:r>
        <w:rPr>
          <w:spacing w:val="-1"/>
          <w:vertAlign w:val="baseline"/>
        </w:rPr>
        <w:t> </w:t>
      </w:r>
      <w:r>
        <w:rPr>
          <w:vertAlign w:val="baseline"/>
        </w:rPr>
        <w:t>whether</w:t>
      </w:r>
      <w:r>
        <w:rPr>
          <w:spacing w:val="-1"/>
          <w:vertAlign w:val="baseline"/>
        </w:rPr>
        <w:t> </w:t>
      </w:r>
      <w:r>
        <w:rPr>
          <w:vertAlign w:val="baseline"/>
        </w:rPr>
        <w:t>B</w:t>
      </w:r>
      <w:r>
        <w:rPr>
          <w:spacing w:val="-1"/>
          <w:vertAlign w:val="baseline"/>
        </w:rPr>
        <w:t> </w:t>
      </w:r>
      <w:r>
        <w:rPr>
          <w:vertAlign w:val="baseline"/>
        </w:rPr>
        <w:t>or C began the negotiations for the sale of the car. </w:t>
      </w:r>
      <w:r>
        <w:rPr>
          <w:color w:val="005DA1"/>
          <w:u w:val="single" w:color="005DA1"/>
          <w:vertAlign w:val="superscript"/>
        </w:rPr>
        <w:t>859</w:t>
      </w:r>
      <w:r>
        <w:rPr>
          <w:color w:val="005DA1"/>
          <w:vertAlign w:val="baseline"/>
        </w:rPr>
        <w:t> </w:t>
      </w:r>
      <w:r>
        <w:rPr>
          <w:vertAlign w:val="baseline"/>
        </w:rPr>
        <w:t>Indeed, C’s tort liability may arise precisely where </w:t>
      </w:r>
      <w:bookmarkStart w:name="_bookmark1582" w:id="1584"/>
      <w:bookmarkEnd w:id="1584"/>
      <w:r>
        <w:rPr>
          <w:vertAlign w:val="baseline"/>
        </w:rPr>
        <w:t>he</w:t>
      </w:r>
      <w:r>
        <w:rPr>
          <w:vertAlign w:val="baseline"/>
        </w:rPr>
        <w:t> and B collude in order to get rid (if they can) of a restriction imposed by the contract between B</w:t>
      </w:r>
      <w:r>
        <w:rPr>
          <w:spacing w:val="40"/>
          <w:vertAlign w:val="baseline"/>
        </w:rPr>
        <w:t> </w:t>
      </w:r>
      <w:r>
        <w:rPr>
          <w:vertAlign w:val="baseline"/>
        </w:rPr>
        <w:t>and A. </w:t>
      </w:r>
      <w:r>
        <w:rPr>
          <w:color w:val="005DA1"/>
          <w:u w:val="single" w:color="005DA1"/>
          <w:vertAlign w:val="superscript"/>
        </w:rPr>
        <w:t>860</w:t>
      </w:r>
    </w:p>
    <w:p>
      <w:pPr>
        <w:pStyle w:val="BodyText"/>
      </w:pPr>
    </w:p>
    <w:p>
      <w:pPr>
        <w:pStyle w:val="BodyText"/>
        <w:spacing w:before="34"/>
      </w:pPr>
    </w:p>
    <w:p>
      <w:pPr>
        <w:spacing w:before="0"/>
        <w:ind w:left="165" w:right="0" w:firstLine="0"/>
        <w:jc w:val="left"/>
        <w:rPr>
          <w:rFonts w:ascii="Arial"/>
          <w:b/>
          <w:sz w:val="18"/>
        </w:rPr>
      </w:pPr>
      <w:r>
        <w:rPr>
          <w:rFonts w:ascii="Arial"/>
          <w:b/>
          <w:sz w:val="18"/>
        </w:rPr>
        <w:t>Factors limiting tort </w:t>
      </w:r>
      <w:r>
        <w:rPr>
          <w:rFonts w:ascii="Arial"/>
          <w:b/>
          <w:spacing w:val="-2"/>
          <w:sz w:val="18"/>
        </w:rPr>
        <w:t>liability</w:t>
      </w:r>
    </w:p>
    <w:p>
      <w:pPr>
        <w:pStyle w:val="BodyText"/>
        <w:spacing w:before="41"/>
        <w:rPr>
          <w:rFonts w:ascii="Arial"/>
          <w:b/>
          <w:sz w:val="18"/>
        </w:rPr>
      </w:pPr>
    </w:p>
    <w:p>
      <w:pPr>
        <w:pStyle w:val="Heading2"/>
      </w:pPr>
      <w:r>
        <w:rPr/>
        <w:t>18-</w:t>
      </w:r>
      <w:r>
        <w:rPr>
          <w:spacing w:val="-5"/>
        </w:rPr>
        <w:t>148</w:t>
      </w:r>
    </w:p>
    <w:p>
      <w:pPr>
        <w:pStyle w:val="BodyText"/>
        <w:spacing w:line="235" w:lineRule="auto" w:before="203"/>
        <w:ind w:left="165" w:right="167"/>
        <w:jc w:val="both"/>
      </w:pPr>
      <w:r>
        <w:rPr/>
        <w:t>The merit of approaching the problem here under discussion through the law of tort is that it avoids</w:t>
      </w:r>
      <w:r>
        <w:rPr>
          <w:spacing w:val="40"/>
        </w:rPr>
        <w:t> </w:t>
      </w:r>
      <w:r>
        <w:rPr/>
        <w:t>the danger of importing the doctrine of constructive notice into this branch of the law. Such an approach is, on the other hand, subject to two limitations: these are discussed in paras 18-149 and 18-150, below.</w:t>
      </w:r>
    </w:p>
    <w:p>
      <w:pPr>
        <w:pStyle w:val="BodyText"/>
      </w:pPr>
    </w:p>
    <w:p>
      <w:pPr>
        <w:pStyle w:val="BodyText"/>
        <w:spacing w:before="37"/>
      </w:pPr>
    </w:p>
    <w:p>
      <w:pPr>
        <w:spacing w:before="0"/>
        <w:ind w:left="165" w:right="0" w:firstLine="0"/>
        <w:jc w:val="left"/>
        <w:rPr>
          <w:rFonts w:ascii="Arial"/>
          <w:b/>
          <w:sz w:val="18"/>
        </w:rPr>
      </w:pPr>
      <w:r>
        <w:rPr>
          <w:rFonts w:ascii="Arial"/>
          <w:b/>
          <w:sz w:val="18"/>
        </w:rPr>
        <w:t>Lack of causal </w:t>
      </w:r>
      <w:r>
        <w:rPr>
          <w:rFonts w:ascii="Arial"/>
          <w:b/>
          <w:spacing w:val="-2"/>
          <w:sz w:val="18"/>
        </w:rPr>
        <w:t>connection</w:t>
      </w:r>
    </w:p>
    <w:p>
      <w:pPr>
        <w:pStyle w:val="BodyText"/>
        <w:spacing w:before="41"/>
        <w:rPr>
          <w:rFonts w:ascii="Arial"/>
          <w:b/>
          <w:sz w:val="18"/>
        </w:rPr>
      </w:pPr>
    </w:p>
    <w:p>
      <w:pPr>
        <w:pStyle w:val="Heading2"/>
        <w:spacing w:before="1"/>
      </w:pPr>
      <w:r>
        <w:rPr/>
        <w:t>18-</w:t>
      </w:r>
      <w:r>
        <w:rPr>
          <w:spacing w:val="-5"/>
        </w:rPr>
        <w:t>149</w:t>
      </w:r>
    </w:p>
    <w:p>
      <w:pPr>
        <w:pStyle w:val="BodyText"/>
        <w:spacing w:line="235" w:lineRule="auto" w:before="202"/>
        <w:ind w:left="165" w:right="167"/>
        <w:jc w:val="both"/>
      </w:pPr>
      <w:r>
        <w:rPr/>
        <w:t>First, the tort is not committed if the defendant’s interference was not the cause of the claimant’s </w:t>
      </w:r>
      <w:r>
        <w:rPr/>
        <w:t>loss. </w:t>
      </w:r>
      <w:bookmarkStart w:name="_bookmark1583" w:id="1585"/>
      <w:bookmarkEnd w:id="1585"/>
      <w:r>
        <w:rPr/>
        <w:t>Thus</w:t>
      </w:r>
      <w:r>
        <w:rPr/>
        <w:t> in the </w:t>
      </w:r>
      <w:r>
        <w:rPr>
          <w:rFonts w:ascii="Arial" w:hAnsi="Arial"/>
          <w:i/>
        </w:rPr>
        <w:t>Lord Strathcona </w:t>
      </w:r>
      <w:r>
        <w:rPr/>
        <w:t>case the shipowners, who were the defendants in the Privy Council </w:t>
      </w:r>
      <w:bookmarkStart w:name="_bookmark1584" w:id="1586"/>
      <w:bookmarkEnd w:id="1586"/>
      <w:r>
        <w:rPr/>
        <w:t>proceedings,</w:t>
      </w:r>
      <w:r>
        <w:rPr/>
        <w:t> </w:t>
      </w:r>
      <w:r>
        <w:rPr>
          <w:color w:val="005DA1"/>
          <w:u w:val="single" w:color="005DA1"/>
          <w:vertAlign w:val="superscript"/>
        </w:rPr>
        <w:t>861</w:t>
      </w:r>
      <w:r>
        <w:rPr>
          <w:color w:val="005DA1"/>
          <w:vertAlign w:val="baseline"/>
        </w:rPr>
        <w:t> </w:t>
      </w:r>
      <w:r>
        <w:rPr>
          <w:vertAlign w:val="baseline"/>
        </w:rPr>
        <w:t>had mortgaged the ship, after the conclusion of the charterparty. The mortgage gave </w:t>
      </w:r>
      <w:bookmarkStart w:name="_bookmark1585" w:id="1587"/>
      <w:bookmarkEnd w:id="1587"/>
      <w:r>
        <w:rPr>
          <w:vertAlign w:val="baseline"/>
        </w:rPr>
        <w:t>the</w:t>
      </w:r>
      <w:r>
        <w:rPr>
          <w:vertAlign w:val="baseline"/>
        </w:rPr>
        <w:t> mortgagees a power to sell the ship, and it was held in other proceedings </w:t>
      </w:r>
      <w:r>
        <w:rPr>
          <w:color w:val="005DA1"/>
          <w:u w:val="single" w:color="005DA1"/>
          <w:vertAlign w:val="superscript"/>
        </w:rPr>
        <w:t>862</w:t>
      </w:r>
      <w:r>
        <w:rPr>
          <w:color w:val="005DA1"/>
          <w:vertAlign w:val="baseline"/>
        </w:rPr>
        <w:t> </w:t>
      </w:r>
      <w:r>
        <w:rPr>
          <w:vertAlign w:val="baseline"/>
        </w:rPr>
        <w:t>that they were entitled to sell her free from the charterers’ rights even though they knew of those rights. </w:t>
      </w:r>
      <w:r>
        <w:rPr>
          <w:color w:val="005DA1"/>
          <w:u w:val="single" w:color="005DA1"/>
          <w:vertAlign w:val="superscript"/>
        </w:rPr>
        <w:t>863</w:t>
      </w:r>
      <w:r>
        <w:rPr>
          <w:color w:val="005DA1"/>
          <w:vertAlign w:val="baseline"/>
        </w:rPr>
        <w:t> </w:t>
      </w:r>
      <w:r>
        <w:rPr>
          <w:vertAlign w:val="baseline"/>
        </w:rPr>
        <w:t>The reason for this decision was that the shipowners could not have performed the charterparty, even if the ship had not been sold, because they were too poor to put her to sea. It was the poverty of the shipowners, and not the mortgagees’ sale of the ship, which was the cause of the charterers’ loss. Similarly, where breach of the contract has already been induced by C’s acquisition of the property from B, there will be no tort liability for inducing breach of contract on D, who subsequently buys the </w:t>
      </w:r>
      <w:bookmarkStart w:name="_bookmark1586" w:id="1588"/>
      <w:bookmarkEnd w:id="1588"/>
      <w:r>
        <w:rPr>
          <w:vertAlign w:val="baseline"/>
        </w:rPr>
        <w:t>property</w:t>
      </w:r>
      <w:r>
        <w:rPr>
          <w:vertAlign w:val="baseline"/>
        </w:rPr>
        <w:t> from C, even with knowledge of the contract between A and B, for D’s conduct will not have played</w:t>
      </w:r>
      <w:r>
        <w:rPr>
          <w:spacing w:val="8"/>
          <w:vertAlign w:val="baseline"/>
        </w:rPr>
        <w:t> </w:t>
      </w:r>
      <w:r>
        <w:rPr>
          <w:vertAlign w:val="baseline"/>
        </w:rPr>
        <w:t>any</w:t>
      </w:r>
      <w:r>
        <w:rPr>
          <w:spacing w:val="8"/>
          <w:vertAlign w:val="baseline"/>
        </w:rPr>
        <w:t> </w:t>
      </w:r>
      <w:r>
        <w:rPr>
          <w:vertAlign w:val="baseline"/>
        </w:rPr>
        <w:t>part</w:t>
      </w:r>
      <w:r>
        <w:rPr>
          <w:spacing w:val="8"/>
          <w:vertAlign w:val="baseline"/>
        </w:rPr>
        <w:t> </w:t>
      </w:r>
      <w:r>
        <w:rPr>
          <w:vertAlign w:val="baseline"/>
        </w:rPr>
        <w:t>in</w:t>
      </w:r>
      <w:r>
        <w:rPr>
          <w:spacing w:val="8"/>
          <w:vertAlign w:val="baseline"/>
        </w:rPr>
        <w:t> </w:t>
      </w:r>
      <w:r>
        <w:rPr>
          <w:vertAlign w:val="baseline"/>
        </w:rPr>
        <w:t>inducing</w:t>
      </w:r>
      <w:r>
        <w:rPr>
          <w:spacing w:val="8"/>
          <w:vertAlign w:val="baseline"/>
        </w:rPr>
        <w:t> </w:t>
      </w:r>
      <w:r>
        <w:rPr>
          <w:vertAlign w:val="baseline"/>
        </w:rPr>
        <w:t>the</w:t>
      </w:r>
      <w:r>
        <w:rPr>
          <w:spacing w:val="8"/>
          <w:vertAlign w:val="baseline"/>
        </w:rPr>
        <w:t> </w:t>
      </w:r>
      <w:r>
        <w:rPr>
          <w:vertAlign w:val="baseline"/>
        </w:rPr>
        <w:t>original</w:t>
      </w:r>
      <w:r>
        <w:rPr>
          <w:spacing w:val="8"/>
          <w:vertAlign w:val="baseline"/>
        </w:rPr>
        <w:t> </w:t>
      </w:r>
      <w:r>
        <w:rPr>
          <w:vertAlign w:val="baseline"/>
        </w:rPr>
        <w:t>breach.</w:t>
      </w:r>
      <w:r>
        <w:rPr>
          <w:spacing w:val="7"/>
          <w:vertAlign w:val="baseline"/>
        </w:rPr>
        <w:t> </w:t>
      </w:r>
      <w:r>
        <w:rPr>
          <w:color w:val="005DA1"/>
          <w:u w:val="single" w:color="005DA1"/>
          <w:vertAlign w:val="superscript"/>
        </w:rPr>
        <w:t>864</w:t>
      </w:r>
      <w:r>
        <w:rPr>
          <w:color w:val="005DA1"/>
          <w:spacing w:val="8"/>
          <w:vertAlign w:val="baseline"/>
        </w:rPr>
        <w:t> </w:t>
      </w:r>
      <w:r>
        <w:rPr>
          <w:vertAlign w:val="baseline"/>
        </w:rPr>
        <w:t>Nor</w:t>
      </w:r>
      <w:r>
        <w:rPr>
          <w:spacing w:val="8"/>
          <w:vertAlign w:val="baseline"/>
        </w:rPr>
        <w:t> </w:t>
      </w:r>
      <w:r>
        <w:rPr>
          <w:vertAlign w:val="baseline"/>
        </w:rPr>
        <w:t>will</w:t>
      </w:r>
      <w:r>
        <w:rPr>
          <w:spacing w:val="8"/>
          <w:vertAlign w:val="baseline"/>
        </w:rPr>
        <w:t> </w:t>
      </w:r>
      <w:r>
        <w:rPr>
          <w:vertAlign w:val="baseline"/>
        </w:rPr>
        <w:t>D</w:t>
      </w:r>
      <w:r>
        <w:rPr>
          <w:spacing w:val="9"/>
          <w:vertAlign w:val="baseline"/>
        </w:rPr>
        <w:t> </w:t>
      </w:r>
      <w:r>
        <w:rPr>
          <w:vertAlign w:val="baseline"/>
        </w:rPr>
        <w:t>in</w:t>
      </w:r>
      <w:r>
        <w:rPr>
          <w:spacing w:val="8"/>
          <w:vertAlign w:val="baseline"/>
        </w:rPr>
        <w:t> </w:t>
      </w:r>
      <w:r>
        <w:rPr>
          <w:vertAlign w:val="baseline"/>
        </w:rPr>
        <w:t>such</w:t>
      </w:r>
      <w:r>
        <w:rPr>
          <w:spacing w:val="8"/>
          <w:vertAlign w:val="baseline"/>
        </w:rPr>
        <w:t> </w:t>
      </w:r>
      <w:r>
        <w:rPr>
          <w:vertAlign w:val="baseline"/>
        </w:rPr>
        <w:t>a</w:t>
      </w:r>
      <w:r>
        <w:rPr>
          <w:spacing w:val="8"/>
          <w:vertAlign w:val="baseline"/>
        </w:rPr>
        <w:t> </w:t>
      </w:r>
      <w:r>
        <w:rPr>
          <w:vertAlign w:val="baseline"/>
        </w:rPr>
        <w:t>case</w:t>
      </w:r>
      <w:r>
        <w:rPr>
          <w:spacing w:val="8"/>
          <w:vertAlign w:val="baseline"/>
        </w:rPr>
        <w:t> </w:t>
      </w:r>
      <w:r>
        <w:rPr>
          <w:vertAlign w:val="baseline"/>
        </w:rPr>
        <w:t>be</w:t>
      </w:r>
      <w:r>
        <w:rPr>
          <w:spacing w:val="8"/>
          <w:vertAlign w:val="baseline"/>
        </w:rPr>
        <w:t> </w:t>
      </w:r>
      <w:r>
        <w:rPr>
          <w:vertAlign w:val="baseline"/>
        </w:rPr>
        <w:t>liable</w:t>
      </w:r>
      <w:r>
        <w:rPr>
          <w:spacing w:val="8"/>
          <w:vertAlign w:val="baseline"/>
        </w:rPr>
        <w:t> </w:t>
      </w:r>
      <w:r>
        <w:rPr>
          <w:vertAlign w:val="baseline"/>
        </w:rPr>
        <w:t>for</w:t>
      </w:r>
      <w:r>
        <w:rPr>
          <w:spacing w:val="8"/>
          <w:vertAlign w:val="baseline"/>
        </w:rPr>
        <w:t> </w:t>
      </w:r>
      <w:r>
        <w:rPr>
          <w:spacing w:val="-2"/>
          <w:vertAlign w:val="baseline"/>
        </w:rPr>
        <w:t>interference</w:t>
      </w:r>
    </w:p>
    <w:p>
      <w:pPr>
        <w:pStyle w:val="BodyText"/>
        <w:spacing w:after="0" w:line="235" w:lineRule="auto"/>
        <w:jc w:val="both"/>
        <w:sectPr>
          <w:pgSz w:w="11900" w:h="16840"/>
          <w:pgMar w:header="971" w:footer="0" w:top="1160" w:bottom="280" w:left="1275" w:right="1275"/>
        </w:sectPr>
      </w:pPr>
    </w:p>
    <w:p>
      <w:pPr>
        <w:pStyle w:val="BodyText"/>
        <w:spacing w:before="21"/>
      </w:pPr>
    </w:p>
    <w:p>
      <w:pPr>
        <w:pStyle w:val="BodyText"/>
        <w:ind w:left="165"/>
        <w:jc w:val="both"/>
      </w:pPr>
      <w:bookmarkStart w:name="_bookmark1587" w:id="1589"/>
      <w:bookmarkEnd w:id="1589"/>
      <w:r>
        <w:rPr/>
      </w:r>
      <w:r>
        <w:rPr/>
        <w:t>with</w:t>
      </w:r>
      <w:r>
        <w:rPr>
          <w:spacing w:val="-2"/>
        </w:rPr>
        <w:t> </w:t>
      </w:r>
      <w:r>
        <w:rPr/>
        <w:t>the</w:t>
      </w:r>
      <w:r>
        <w:rPr>
          <w:spacing w:val="-1"/>
        </w:rPr>
        <w:t> </w:t>
      </w:r>
      <w:r>
        <w:rPr/>
        <w:t>remedies</w:t>
      </w:r>
      <w:r>
        <w:rPr>
          <w:spacing w:val="-2"/>
        </w:rPr>
        <w:t> </w:t>
      </w:r>
      <w:r>
        <w:rPr/>
        <w:t>arising</w:t>
      </w:r>
      <w:r>
        <w:rPr>
          <w:spacing w:val="-1"/>
        </w:rPr>
        <w:t> </w:t>
      </w:r>
      <w:r>
        <w:rPr/>
        <w:t>out</w:t>
      </w:r>
      <w:r>
        <w:rPr>
          <w:spacing w:val="-1"/>
        </w:rPr>
        <w:t> </w:t>
      </w:r>
      <w:r>
        <w:rPr/>
        <w:t>of</w:t>
      </w:r>
      <w:r>
        <w:rPr>
          <w:spacing w:val="-2"/>
        </w:rPr>
        <w:t> </w:t>
      </w:r>
      <w:r>
        <w:rPr/>
        <w:t>the</w:t>
      </w:r>
      <w:r>
        <w:rPr>
          <w:spacing w:val="-1"/>
        </w:rPr>
        <w:t> </w:t>
      </w:r>
      <w:r>
        <w:rPr/>
        <w:t>broken</w:t>
      </w:r>
      <w:r>
        <w:rPr>
          <w:spacing w:val="-1"/>
        </w:rPr>
        <w:t> </w:t>
      </w:r>
      <w:r>
        <w:rPr/>
        <w:t>contract</w:t>
      </w:r>
      <w:r>
        <w:rPr>
          <w:spacing w:val="-3"/>
        </w:rPr>
        <w:t> </w:t>
      </w:r>
      <w:r>
        <w:rPr>
          <w:color w:val="005DA1"/>
          <w:u w:val="single" w:color="005DA1"/>
          <w:vertAlign w:val="superscript"/>
        </w:rPr>
        <w:t>865</w:t>
      </w:r>
      <w:r>
        <w:rPr>
          <w:color w:val="005DA1"/>
          <w:spacing w:val="-2"/>
          <w:vertAlign w:val="baseline"/>
        </w:rPr>
        <w:t> </w:t>
      </w:r>
      <w:r>
        <w:rPr>
          <w:vertAlign w:val="baseline"/>
        </w:rPr>
        <w:t>between</w:t>
      </w:r>
      <w:r>
        <w:rPr>
          <w:spacing w:val="-1"/>
          <w:vertAlign w:val="baseline"/>
        </w:rPr>
        <w:t> </w:t>
      </w:r>
      <w:r>
        <w:rPr>
          <w:vertAlign w:val="baseline"/>
        </w:rPr>
        <w:t>A</w:t>
      </w:r>
      <w:r>
        <w:rPr>
          <w:spacing w:val="-2"/>
          <w:vertAlign w:val="baseline"/>
        </w:rPr>
        <w:t> </w:t>
      </w:r>
      <w:r>
        <w:rPr>
          <w:vertAlign w:val="baseline"/>
        </w:rPr>
        <w:t>and</w:t>
      </w:r>
      <w:r>
        <w:rPr>
          <w:spacing w:val="-1"/>
          <w:vertAlign w:val="baseline"/>
        </w:rPr>
        <w:t> </w:t>
      </w:r>
      <w:r>
        <w:rPr>
          <w:spacing w:val="-5"/>
          <w:vertAlign w:val="baseline"/>
        </w:rPr>
        <w:t>B.</w:t>
      </w:r>
    </w:p>
    <w:p>
      <w:pPr>
        <w:pStyle w:val="BodyText"/>
      </w:pPr>
    </w:p>
    <w:p>
      <w:pPr>
        <w:pStyle w:val="BodyText"/>
        <w:spacing w:before="37"/>
      </w:pPr>
    </w:p>
    <w:p>
      <w:pPr>
        <w:spacing w:before="0"/>
        <w:ind w:left="165" w:right="0" w:firstLine="0"/>
        <w:jc w:val="both"/>
        <w:rPr>
          <w:rFonts w:ascii="Arial"/>
          <w:b/>
          <w:sz w:val="18"/>
        </w:rPr>
      </w:pPr>
      <w:r>
        <w:rPr>
          <w:rFonts w:ascii="Arial"/>
          <w:b/>
          <w:sz w:val="18"/>
        </w:rPr>
        <w:t>Requirement of intentional </w:t>
      </w:r>
      <w:r>
        <w:rPr>
          <w:rFonts w:ascii="Arial"/>
          <w:b/>
          <w:spacing w:val="-2"/>
          <w:sz w:val="18"/>
        </w:rPr>
        <w:t>wrongdoing</w:t>
      </w:r>
    </w:p>
    <w:p>
      <w:pPr>
        <w:pStyle w:val="BodyText"/>
        <w:spacing w:before="42"/>
        <w:rPr>
          <w:rFonts w:ascii="Arial"/>
          <w:b/>
          <w:sz w:val="18"/>
        </w:rPr>
      </w:pPr>
    </w:p>
    <w:p>
      <w:pPr>
        <w:pStyle w:val="Heading2"/>
      </w:pPr>
      <w:r>
        <w:rPr/>
        <w:t>18-</w:t>
      </w:r>
      <w:r>
        <w:rPr>
          <w:spacing w:val="-5"/>
        </w:rPr>
        <w:t>150</w:t>
      </w:r>
    </w:p>
    <w:p>
      <w:pPr>
        <w:pStyle w:val="BodyText"/>
        <w:spacing w:line="235" w:lineRule="auto" w:before="202"/>
        <w:ind w:left="165" w:right="167"/>
        <w:jc w:val="both"/>
      </w:pPr>
      <w:bookmarkStart w:name="_bookmark1588" w:id="1590"/>
      <w:bookmarkEnd w:id="1590"/>
      <w:r>
        <w:rPr/>
      </w:r>
      <w:r>
        <w:rPr/>
        <w:t>Secondly, liability for interference with contractual rights is based on intentional wrongdoing. </w:t>
      </w:r>
      <w:r>
        <w:rPr>
          <w:color w:val="005DA1"/>
          <w:u w:val="single" w:color="005DA1"/>
          <w:vertAlign w:val="superscript"/>
        </w:rPr>
        <w:t>866</w:t>
      </w:r>
      <w:r>
        <w:rPr>
          <w:color w:val="005DA1"/>
          <w:vertAlign w:val="baseline"/>
        </w:rPr>
        <w:t> </w:t>
      </w:r>
      <w:r>
        <w:rPr>
          <w:vertAlign w:val="baseline"/>
        </w:rPr>
        <w:t>It follows that, if a defendant negligently damaged a ship that was subject to a time charterparty, he would not commit this tort against the charterer; nor would he be liable to the charterer in negligence </w:t>
      </w:r>
      <w:bookmarkStart w:name="_bookmark1589" w:id="1591"/>
      <w:bookmarkEnd w:id="1591"/>
      <w:r>
        <w:rPr>
          <w:vertAlign w:val="baseline"/>
        </w:rPr>
        <w:t>for</w:t>
      </w:r>
      <w:r>
        <w:rPr>
          <w:vertAlign w:val="baseline"/>
        </w:rPr>
        <w:t> purely economic loss, such as hire wasted or profits lost while the ship was, by reason of the damage, out of service. </w:t>
      </w:r>
      <w:r>
        <w:rPr>
          <w:color w:val="005DA1"/>
          <w:u w:val="single" w:color="005DA1"/>
          <w:vertAlign w:val="superscript"/>
        </w:rPr>
        <w:t>867</w:t>
      </w:r>
    </w:p>
    <w:p>
      <w:pPr>
        <w:pStyle w:val="BodyText"/>
      </w:pPr>
    </w:p>
    <w:p>
      <w:pPr>
        <w:pStyle w:val="BodyText"/>
        <w:spacing w:before="37"/>
      </w:pPr>
    </w:p>
    <w:p>
      <w:pPr>
        <w:spacing w:before="0"/>
        <w:ind w:left="165" w:right="0" w:firstLine="0"/>
        <w:jc w:val="both"/>
        <w:rPr>
          <w:rFonts w:ascii="Arial" w:hAnsi="Arial"/>
          <w:b/>
          <w:sz w:val="18"/>
        </w:rPr>
      </w:pPr>
      <w:r>
        <w:rPr>
          <w:rFonts w:ascii="Arial" w:hAnsi="Arial"/>
          <w:b/>
          <w:sz w:val="18"/>
        </w:rPr>
        <w:t>Third party’s knowledge: the time </w:t>
      </w:r>
      <w:r>
        <w:rPr>
          <w:rFonts w:ascii="Arial" w:hAnsi="Arial"/>
          <w:b/>
          <w:spacing w:val="-2"/>
          <w:sz w:val="18"/>
        </w:rPr>
        <w:t>factor</w:t>
      </w:r>
    </w:p>
    <w:p>
      <w:pPr>
        <w:pStyle w:val="BodyText"/>
        <w:spacing w:before="41"/>
        <w:rPr>
          <w:rFonts w:ascii="Arial"/>
          <w:b/>
          <w:sz w:val="18"/>
        </w:rPr>
      </w:pPr>
    </w:p>
    <w:p>
      <w:pPr>
        <w:pStyle w:val="Heading2"/>
      </w:pPr>
      <w:r>
        <w:rPr/>
        <w:t>18-</w:t>
      </w:r>
      <w:r>
        <w:rPr>
          <w:spacing w:val="-5"/>
        </w:rPr>
        <w:t>151</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590" w:id="1592"/>
      <w:bookmarkEnd w:id="1592"/>
      <w:r>
        <w:rPr>
          <w:rFonts w:ascii="Times New Roman" w:hAnsi="Times New Roman"/>
          <w:spacing w:val="18"/>
        </w:rPr>
      </w:r>
      <w:r>
        <w:rPr/>
        <w:t>So far, in discussing the third party liability in tort for inducing a breach of contract, </w:t>
      </w:r>
      <w:r>
        <w:rPr>
          <w:color w:val="005DA1"/>
          <w:u w:val="single" w:color="005DA1"/>
          <w:vertAlign w:val="superscript"/>
        </w:rPr>
        <w:t>868</w:t>
      </w:r>
      <w:r>
        <w:rPr>
          <w:color w:val="005DA1"/>
          <w:vertAlign w:val="baseline"/>
        </w:rPr>
        <w:t> </w:t>
      </w:r>
      <w:r>
        <w:rPr>
          <w:vertAlign w:val="baseline"/>
        </w:rPr>
        <w:t>it has been </w:t>
      </w:r>
      <w:bookmarkStart w:name="_bookmark1591" w:id="1593"/>
      <w:bookmarkEnd w:id="1593"/>
      <w:r>
        <w:rPr>
          <w:vertAlign w:val="baseline"/>
        </w:rPr>
        <w:t>assumed</w:t>
      </w:r>
      <w:r>
        <w:rPr>
          <w:vertAlign w:val="baseline"/>
        </w:rPr>
        <w:t> that C either knew or did not know of the contract between A and B. In the former situation, he</w:t>
      </w:r>
      <w:r>
        <w:rPr>
          <w:spacing w:val="-2"/>
          <w:vertAlign w:val="baseline"/>
        </w:rPr>
        <w:t> </w:t>
      </w:r>
      <w:r>
        <w:rPr>
          <w:vertAlign w:val="baseline"/>
        </w:rPr>
        <w:t>could,</w:t>
      </w:r>
      <w:r>
        <w:rPr>
          <w:spacing w:val="-2"/>
          <w:vertAlign w:val="baseline"/>
        </w:rPr>
        <w:t> </w:t>
      </w:r>
      <w:r>
        <w:rPr>
          <w:vertAlign w:val="baseline"/>
        </w:rPr>
        <w:t>but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latter</w:t>
      </w:r>
      <w:r>
        <w:rPr>
          <w:spacing w:val="-2"/>
          <w:vertAlign w:val="baseline"/>
        </w:rPr>
        <w:t> </w:t>
      </w:r>
      <w:r>
        <w:rPr>
          <w:vertAlign w:val="baseline"/>
        </w:rPr>
        <w:t>he</w:t>
      </w:r>
      <w:r>
        <w:rPr>
          <w:spacing w:val="-2"/>
          <w:vertAlign w:val="baseline"/>
        </w:rPr>
        <w:t> </w:t>
      </w:r>
      <w:r>
        <w:rPr>
          <w:vertAlign w:val="baseline"/>
        </w:rPr>
        <w:t>could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liable</w:t>
      </w:r>
      <w:r>
        <w:rPr>
          <w:spacing w:val="-2"/>
          <w:vertAlign w:val="baseline"/>
        </w:rPr>
        <w:t> </w:t>
      </w:r>
      <w:r>
        <w:rPr>
          <w:vertAlign w:val="baseline"/>
        </w:rPr>
        <w:t>for</w:t>
      </w:r>
      <w:r>
        <w:rPr>
          <w:spacing w:val="-2"/>
          <w:vertAlign w:val="baseline"/>
        </w:rPr>
        <w:t> </w:t>
      </w:r>
      <w:r>
        <w:rPr>
          <w:vertAlign w:val="baseline"/>
        </w:rPr>
        <w:t>this</w:t>
      </w:r>
      <w:r>
        <w:rPr>
          <w:spacing w:val="-2"/>
          <w:vertAlign w:val="baseline"/>
        </w:rPr>
        <w:t> </w:t>
      </w:r>
      <w:r>
        <w:rPr>
          <w:vertAlign w:val="baseline"/>
        </w:rPr>
        <w:t>tort.</w:t>
      </w:r>
      <w:r>
        <w:rPr>
          <w:spacing w:val="-3"/>
          <w:vertAlign w:val="baseline"/>
        </w:rPr>
        <w:t> </w:t>
      </w:r>
      <w:r>
        <w:rPr>
          <w:color w:val="005DA1"/>
          <w:u w:val="single" w:color="005DA1"/>
          <w:vertAlign w:val="superscript"/>
        </w:rPr>
        <w:t>869</w:t>
      </w:r>
      <w:r>
        <w:rPr>
          <w:color w:val="005DA1"/>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also</w:t>
      </w:r>
      <w:r>
        <w:rPr>
          <w:spacing w:val="-2"/>
          <w:vertAlign w:val="baseline"/>
        </w:rPr>
        <w:t> </w:t>
      </w:r>
      <w:r>
        <w:rPr>
          <w:vertAlign w:val="baseline"/>
        </w:rPr>
        <w:t>an</w:t>
      </w:r>
      <w:r>
        <w:rPr>
          <w:spacing w:val="-2"/>
          <w:vertAlign w:val="baseline"/>
        </w:rPr>
        <w:t> </w:t>
      </w:r>
      <w:r>
        <w:rPr>
          <w:vertAlign w:val="baseline"/>
        </w:rPr>
        <w:t>intermediate</w:t>
      </w:r>
      <w:r>
        <w:rPr>
          <w:spacing w:val="-2"/>
          <w:vertAlign w:val="baseline"/>
        </w:rPr>
        <w:t> </w:t>
      </w:r>
      <w:r>
        <w:rPr>
          <w:vertAlign w:val="baseline"/>
        </w:rPr>
        <w:t>situation, in which C at the time of his contract with B had no more than constructive notice of B’s earlier </w:t>
      </w:r>
      <w:bookmarkStart w:name="_bookmark1592" w:id="1594"/>
      <w:bookmarkEnd w:id="1594"/>
      <w:r>
        <w:rPr>
          <w:vertAlign w:val="baseline"/>
        </w:rPr>
        <w:t>contract</w:t>
      </w:r>
      <w:r>
        <w:rPr>
          <w:vertAlign w:val="baseline"/>
        </w:rPr>
        <w:t> with A, but then acquired actual knowledge of that contract before calling for (or receiving) performance of his own contract with B. </w:t>
      </w:r>
      <w:r>
        <w:rPr>
          <w:color w:val="005DA1"/>
          <w:u w:val="single" w:color="005DA1"/>
          <w:vertAlign w:val="superscript"/>
        </w:rPr>
        <w:t>870</w:t>
      </w:r>
      <w:r>
        <w:rPr>
          <w:color w:val="005DA1"/>
          <w:vertAlign w:val="baseline"/>
        </w:rPr>
        <w:t> </w:t>
      </w:r>
      <w:r>
        <w:rPr>
          <w:vertAlign w:val="baseline"/>
        </w:rPr>
        <w:t>The question then arises whether, on such facts, C is</w:t>
      </w:r>
      <w:r>
        <w:rPr>
          <w:spacing w:val="40"/>
          <w:vertAlign w:val="baseline"/>
        </w:rPr>
        <w:t> </w:t>
      </w:r>
      <w:bookmarkStart w:name="_bookmark1593" w:id="1595"/>
      <w:bookmarkEnd w:id="1595"/>
      <w:r>
        <w:rPr>
          <w:vertAlign w:val="baseline"/>
        </w:rPr>
        <w:t>liable</w:t>
      </w:r>
      <w:r>
        <w:rPr>
          <w:spacing w:val="5"/>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tort</w:t>
      </w:r>
      <w:r>
        <w:rPr>
          <w:spacing w:val="5"/>
          <w:vertAlign w:val="baseline"/>
        </w:rPr>
        <w:t> </w:t>
      </w:r>
      <w:r>
        <w:rPr>
          <w:vertAlign w:val="baseline"/>
        </w:rPr>
        <w:t>of</w:t>
      </w:r>
      <w:r>
        <w:rPr>
          <w:spacing w:val="5"/>
          <w:vertAlign w:val="baseline"/>
        </w:rPr>
        <w:t> </w:t>
      </w:r>
      <w:r>
        <w:rPr>
          <w:vertAlign w:val="baseline"/>
        </w:rPr>
        <w:t>inducing</w:t>
      </w:r>
      <w:r>
        <w:rPr>
          <w:spacing w:val="5"/>
          <w:vertAlign w:val="baseline"/>
        </w:rPr>
        <w:t> </w:t>
      </w:r>
      <w:r>
        <w:rPr>
          <w:vertAlign w:val="baseline"/>
        </w:rPr>
        <w:t>a</w:t>
      </w:r>
      <w:r>
        <w:rPr>
          <w:spacing w:val="5"/>
          <w:vertAlign w:val="baseline"/>
        </w:rPr>
        <w:t> </w:t>
      </w:r>
      <w:r>
        <w:rPr>
          <w:vertAlign w:val="baseline"/>
        </w:rPr>
        <w:t>breach</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contract</w:t>
      </w:r>
      <w:r>
        <w:rPr>
          <w:spacing w:val="5"/>
          <w:vertAlign w:val="baseline"/>
        </w:rPr>
        <w:t> </w:t>
      </w:r>
      <w:r>
        <w:rPr>
          <w:vertAlign w:val="baseline"/>
        </w:rPr>
        <w:t>between</w:t>
      </w:r>
      <w:r>
        <w:rPr>
          <w:spacing w:val="5"/>
          <w:vertAlign w:val="baseline"/>
        </w:rPr>
        <w:t> </w:t>
      </w:r>
      <w:r>
        <w:rPr>
          <w:vertAlign w:val="baseline"/>
        </w:rPr>
        <w:t>A</w:t>
      </w:r>
      <w:r>
        <w:rPr>
          <w:spacing w:val="5"/>
          <w:vertAlign w:val="baseline"/>
        </w:rPr>
        <w:t> </w:t>
      </w:r>
      <w:r>
        <w:rPr>
          <w:vertAlign w:val="baseline"/>
        </w:rPr>
        <w:t>and</w:t>
      </w:r>
      <w:r>
        <w:rPr>
          <w:spacing w:val="5"/>
          <w:vertAlign w:val="baseline"/>
        </w:rPr>
        <w:t> </w:t>
      </w:r>
      <w:r>
        <w:rPr>
          <w:vertAlign w:val="baseline"/>
        </w:rPr>
        <w:t>B.</w:t>
      </w:r>
      <w:r>
        <w:rPr>
          <w:spacing w:val="5"/>
          <w:vertAlign w:val="baseline"/>
        </w:rPr>
        <w:t> </w:t>
      </w:r>
      <w:r>
        <w:rPr>
          <w:vertAlign w:val="baseline"/>
        </w:rPr>
        <w:t>That</w:t>
      </w:r>
      <w:r>
        <w:rPr>
          <w:spacing w:val="5"/>
          <w:vertAlign w:val="baseline"/>
        </w:rPr>
        <w:t> </w:t>
      </w:r>
      <w:r>
        <w:rPr>
          <w:vertAlign w:val="baseline"/>
        </w:rPr>
        <w:t>tort</w:t>
      </w:r>
      <w:r>
        <w:rPr>
          <w:spacing w:val="5"/>
          <w:vertAlign w:val="baseline"/>
        </w:rPr>
        <w:t> </w:t>
      </w:r>
      <w:r>
        <w:rPr>
          <w:vertAlign w:val="baseline"/>
        </w:rPr>
        <w:t>is</w:t>
      </w:r>
      <w:r>
        <w:rPr>
          <w:spacing w:val="5"/>
          <w:vertAlign w:val="baseline"/>
        </w:rPr>
        <w:t> </w:t>
      </w:r>
      <w:r>
        <w:rPr>
          <w:vertAlign w:val="baseline"/>
        </w:rPr>
        <w:t>subject</w:t>
      </w:r>
      <w:r>
        <w:rPr>
          <w:spacing w:val="5"/>
          <w:vertAlign w:val="baseline"/>
        </w:rPr>
        <w:t> </w:t>
      </w:r>
      <w:r>
        <w:rPr>
          <w:vertAlign w:val="baseline"/>
        </w:rPr>
        <w:t>to</w:t>
      </w:r>
      <w:r>
        <w:rPr>
          <w:spacing w:val="5"/>
          <w:vertAlign w:val="baseline"/>
        </w:rPr>
        <w:t> </w:t>
      </w:r>
      <w:r>
        <w:rPr>
          <w:spacing w:val="-5"/>
          <w:vertAlign w:val="baseline"/>
        </w:rPr>
        <w:t>the</w:t>
      </w:r>
    </w:p>
    <w:p>
      <w:pPr>
        <w:pStyle w:val="BodyText"/>
        <w:spacing w:line="235" w:lineRule="auto" w:before="117"/>
        <w:ind w:left="164" w:right="167"/>
        <w:jc w:val="both"/>
      </w:pPr>
      <w:bookmarkStart w:name="_bookmark1594" w:id="1596"/>
      <w:bookmarkEnd w:id="1596"/>
      <w:r>
        <w:rPr/>
      </w:r>
      <w:r>
        <w:rPr/>
        <w:t>defence of “justification,” </w:t>
      </w:r>
      <w:r>
        <w:rPr>
          <w:color w:val="005DA1"/>
          <w:u w:val="single" w:color="005DA1"/>
          <w:vertAlign w:val="superscript"/>
        </w:rPr>
        <w:t>871</w:t>
      </w:r>
      <w:r>
        <w:rPr>
          <w:color w:val="005DA1"/>
          <w:spacing w:val="80"/>
          <w:w w:val="150"/>
          <w:vertAlign w:val="baseline"/>
        </w:rPr>
        <w:t> </w:t>
      </w:r>
      <w:r>
        <w:rPr>
          <w:color w:val="005DA1"/>
          <w:spacing w:val="-18"/>
          <w:position w:val="-2"/>
          <w:vertAlign w:val="baseline"/>
        </w:rPr>
        <w:drawing>
          <wp:inline distT="0" distB="0" distL="0" distR="0">
            <wp:extent cx="107988" cy="107988"/>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40"/>
          <w:vertAlign w:val="baseline"/>
        </w:rPr>
        <w:t> </w:t>
      </w:r>
      <w:r>
        <w:rPr>
          <w:vertAlign w:val="baseline"/>
        </w:rPr>
        <w:t>which is certainly available to C where he had contracted with </w:t>
      </w:r>
      <w:r>
        <w:rPr>
          <w:vertAlign w:val="baseline"/>
        </w:rPr>
        <w:t>B </w:t>
      </w:r>
      <w:r>
        <w:rPr>
          <w:rFonts w:ascii="Arial" w:hAnsi="Arial"/>
          <w:i/>
          <w:vertAlign w:val="baseline"/>
        </w:rPr>
        <w:t>before </w:t>
      </w:r>
      <w:r>
        <w:rPr>
          <w:vertAlign w:val="baseline"/>
        </w:rPr>
        <w:t>A had done so. </w:t>
      </w:r>
      <w:r>
        <w:rPr>
          <w:color w:val="005DA1"/>
          <w:u w:val="single" w:color="005DA1"/>
          <w:vertAlign w:val="superscript"/>
        </w:rPr>
        <w:t>872</w:t>
      </w:r>
      <w:r>
        <w:rPr>
          <w:color w:val="005DA1"/>
          <w:vertAlign w:val="baseline"/>
        </w:rPr>
        <w:t> </w:t>
      </w:r>
      <w:r>
        <w:rPr>
          <w:vertAlign w:val="baseline"/>
        </w:rPr>
        <w:t>But the defence is a flexible one, </w:t>
      </w:r>
      <w:r>
        <w:rPr>
          <w:color w:val="005DA1"/>
          <w:u w:val="single" w:color="005DA1"/>
          <w:vertAlign w:val="superscript"/>
        </w:rPr>
        <w:t>873</w:t>
      </w:r>
      <w:r>
        <w:rPr>
          <w:color w:val="005DA1"/>
          <w:vertAlign w:val="baseline"/>
        </w:rPr>
        <w:t> </w:t>
      </w:r>
      <w:r>
        <w:rPr>
          <w:vertAlign w:val="baseline"/>
        </w:rPr>
        <w:t>and the principle on which it is based appears to be equally applicable where C’s contract with B was made </w:t>
      </w:r>
      <w:r>
        <w:rPr>
          <w:rFonts w:ascii="Arial" w:hAnsi="Arial"/>
          <w:i/>
          <w:vertAlign w:val="baseline"/>
        </w:rPr>
        <w:t>after </w:t>
      </w:r>
      <w:r>
        <w:rPr>
          <w:vertAlign w:val="baseline"/>
        </w:rPr>
        <w:t>A’s but in ignorance of it. </w:t>
      </w:r>
      <w:bookmarkStart w:name="_bookmark1595" w:id="1597"/>
      <w:bookmarkEnd w:id="1597"/>
      <w:r>
        <w:rPr>
          <w:vertAlign w:val="baseline"/>
        </w:rPr>
        <w:t>The</w:t>
      </w:r>
      <w:r>
        <w:rPr>
          <w:vertAlign w:val="baseline"/>
        </w:rPr>
        <w:t> exercise by C of rights thus acquired in good faith against B should not, it is submitted, make C liable in tort to A. </w:t>
      </w:r>
      <w:r>
        <w:rPr>
          <w:color w:val="005DA1"/>
          <w:u w:val="single" w:color="005DA1"/>
          <w:vertAlign w:val="superscript"/>
        </w:rPr>
        <w:t>874</w:t>
      </w:r>
      <w:r>
        <w:rPr>
          <w:color w:val="005DA1"/>
          <w:vertAlign w:val="baseline"/>
        </w:rPr>
        <w:t> </w:t>
      </w:r>
      <w:r>
        <w:rPr>
          <w:vertAlign w:val="baseline"/>
        </w:rPr>
        <w:t>Even in such a situation, however, C may be liable to A under the rules stated in para.18-144 above if the contract between A and B is </w:t>
      </w:r>
      <w:r>
        <w:rPr>
          <w:rFonts w:ascii="Arial" w:hAnsi="Arial"/>
          <w:i/>
          <w:vertAlign w:val="baseline"/>
        </w:rPr>
        <w:t>specifically </w:t>
      </w:r>
      <w:r>
        <w:rPr>
          <w:vertAlign w:val="baseline"/>
        </w:rPr>
        <w:t>enforceable by A. Where the</w:t>
      </w:r>
      <w:r>
        <w:rPr>
          <w:spacing w:val="40"/>
          <w:vertAlign w:val="baseline"/>
        </w:rPr>
        <w:t> </w:t>
      </w:r>
      <w:r>
        <w:rPr>
          <w:vertAlign w:val="baseline"/>
        </w:rPr>
        <w:t>specific enforceability of this contract gives rise to an equitable interest, this interest can be asserted </w:t>
      </w:r>
      <w:bookmarkStart w:name="_bookmark1596" w:id="1598"/>
      <w:bookmarkEnd w:id="1598"/>
      <w:r>
        <w:rPr>
          <w:vertAlign w:val="baseline"/>
        </w:rPr>
        <w:t>against</w:t>
      </w:r>
      <w:r>
        <w:rPr>
          <w:vertAlign w:val="baseline"/>
        </w:rPr>
        <w:t> C even though he had, when he contracted with B, only constructive notice of the contract. In such a case, the tort claim would be “of no value” </w:t>
      </w:r>
      <w:r>
        <w:rPr>
          <w:color w:val="005DA1"/>
          <w:u w:val="single" w:color="005DA1"/>
          <w:vertAlign w:val="superscript"/>
        </w:rPr>
        <w:t>875</w:t>
      </w:r>
      <w:r>
        <w:rPr>
          <w:color w:val="005DA1"/>
          <w:vertAlign w:val="baseline"/>
        </w:rPr>
        <w:t> </w:t>
      </w:r>
      <w:r>
        <w:rPr>
          <w:vertAlign w:val="baseline"/>
        </w:rPr>
        <w:t>if, as has been submitted above, it arises only </w:t>
      </w:r>
      <w:bookmarkStart w:name="_bookmark1597" w:id="1599"/>
      <w:bookmarkEnd w:id="1599"/>
      <w:r>
        <w:rPr>
          <w:vertAlign w:val="baseline"/>
        </w:rPr>
        <w:t>where</w:t>
      </w:r>
      <w:r>
        <w:rPr>
          <w:vertAlign w:val="baseline"/>
        </w:rPr>
        <w:t> C, when he contracted with B, had actual knowledge of A’s rights; but it would equally be unnecessary,</w:t>
      </w:r>
      <w:r>
        <w:rPr>
          <w:spacing w:val="-1"/>
          <w:vertAlign w:val="baseline"/>
        </w:rPr>
        <w:t> </w:t>
      </w:r>
      <w:r>
        <w:rPr>
          <w:color w:val="005DA1"/>
          <w:u w:val="single" w:color="005DA1"/>
          <w:vertAlign w:val="superscript"/>
        </w:rPr>
        <w:t>876</w:t>
      </w:r>
      <w:r>
        <w:rPr>
          <w:color w:val="005DA1"/>
          <w:vertAlign w:val="baseline"/>
        </w:rPr>
        <w:t> </w:t>
      </w:r>
      <w:r>
        <w:rPr>
          <w:vertAlign w:val="baseline"/>
        </w:rPr>
        <w:t>since A could succeed against C on the different ground that the contract between A and B was specifically enforceable by A and therefore conferred an equitable interest on A.</w:t>
      </w:r>
    </w:p>
    <w:p>
      <w:pPr>
        <w:pStyle w:val="BodyText"/>
      </w:pPr>
    </w:p>
    <w:p>
      <w:pPr>
        <w:pStyle w:val="BodyText"/>
        <w:spacing w:before="34"/>
      </w:pPr>
    </w:p>
    <w:p>
      <w:pPr>
        <w:spacing w:before="0"/>
        <w:ind w:left="165" w:right="0" w:firstLine="0"/>
        <w:jc w:val="both"/>
        <w:rPr>
          <w:rFonts w:ascii="Arial" w:hAnsi="Arial"/>
          <w:b/>
          <w:sz w:val="18"/>
        </w:rPr>
      </w:pPr>
      <w:r>
        <w:rPr>
          <w:rFonts w:ascii="Arial" w:hAnsi="Arial"/>
          <w:b/>
          <w:sz w:val="18"/>
        </w:rPr>
        <w:t>Protection of “possessory </w:t>
      </w:r>
      <w:r>
        <w:rPr>
          <w:rFonts w:ascii="Arial" w:hAnsi="Arial"/>
          <w:b/>
          <w:spacing w:val="-2"/>
          <w:sz w:val="18"/>
        </w:rPr>
        <w:t>rights”</w:t>
      </w:r>
    </w:p>
    <w:p>
      <w:pPr>
        <w:pStyle w:val="BodyText"/>
        <w:spacing w:before="42"/>
        <w:rPr>
          <w:rFonts w:ascii="Arial"/>
          <w:b/>
          <w:sz w:val="18"/>
        </w:rPr>
      </w:pPr>
    </w:p>
    <w:p>
      <w:pPr>
        <w:pStyle w:val="Heading2"/>
      </w:pPr>
      <w:r>
        <w:rPr/>
        <w:t>18-</w:t>
      </w:r>
      <w:r>
        <w:rPr>
          <w:spacing w:val="-5"/>
        </w:rPr>
        <w:t>152</w:t>
      </w:r>
    </w:p>
    <w:p>
      <w:pPr>
        <w:pStyle w:val="BodyText"/>
        <w:spacing w:line="235" w:lineRule="auto" w:before="202"/>
        <w:ind w:left="165" w:right="167"/>
        <w:jc w:val="both"/>
      </w:pPr>
      <w:r>
        <w:rPr/>
        <w:t>The further possibility here to be discussed relates to contracts under which possession of a </w:t>
      </w:r>
      <w:r>
        <w:rPr/>
        <w:t>chattel</w:t>
      </w:r>
      <w:r>
        <w:rPr>
          <w:spacing w:val="40"/>
        </w:rPr>
        <w:t> </w:t>
      </w:r>
      <w:r>
        <w:rPr/>
        <w:t>is, or is to be, transferred. The contracts in the </w:t>
      </w:r>
      <w:r>
        <w:rPr>
          <w:rFonts w:ascii="Arial" w:hAnsi="Arial"/>
          <w:i/>
        </w:rPr>
        <w:t>Strathcona </w:t>
      </w:r>
      <w:r>
        <w:rPr/>
        <w:t>and </w:t>
      </w:r>
      <w:r>
        <w:rPr>
          <w:rFonts w:ascii="Arial" w:hAnsi="Arial"/>
          <w:i/>
        </w:rPr>
        <w:t>Port Line </w:t>
      </w:r>
      <w:r>
        <w:rPr/>
        <w:t>cases were not of this kind: </w:t>
      </w:r>
      <w:bookmarkStart w:name="_bookmark1598" w:id="1600"/>
      <w:bookmarkEnd w:id="1600"/>
      <w:r>
        <w:rPr/>
        <w:t>they</w:t>
      </w:r>
      <w:r>
        <w:rPr/>
        <w:t> were time charters, i.e. contracts under which a shipowner undertakes to render services by the use of a particular ship which remains in his possession. </w:t>
      </w:r>
      <w:r>
        <w:rPr>
          <w:color w:val="005DA1"/>
          <w:u w:val="single" w:color="005DA1"/>
          <w:vertAlign w:val="superscript"/>
        </w:rPr>
        <w:t>877</w:t>
      </w:r>
      <w:r>
        <w:rPr>
          <w:color w:val="005DA1"/>
          <w:vertAlign w:val="baseline"/>
        </w:rPr>
        <w:t> </w:t>
      </w:r>
      <w:r>
        <w:rPr>
          <w:vertAlign w:val="baseline"/>
        </w:rPr>
        <w:t>Such charters must be contrasted with </w:t>
      </w:r>
      <w:bookmarkStart w:name="_bookmark1599" w:id="1601"/>
      <w:bookmarkEnd w:id="1601"/>
      <w:r>
        <w:rPr>
          <w:vertAlign w:val="baseline"/>
        </w:rPr>
        <w:t>demise</w:t>
      </w:r>
      <w:r>
        <w:rPr>
          <w:vertAlign w:val="baseline"/>
        </w:rPr>
        <w:t> charters, which are contracts for the hire of a ship under which the shipowner does transfer,</w:t>
      </w:r>
      <w:r>
        <w:rPr>
          <w:spacing w:val="40"/>
          <w:vertAlign w:val="baseline"/>
        </w:rPr>
        <w:t> </w:t>
      </w:r>
      <w:r>
        <w:rPr>
          <w:vertAlign w:val="baseline"/>
        </w:rPr>
        <w:t>or undertake to transfer, possession of the ship to the charterer. </w:t>
      </w:r>
      <w:r>
        <w:rPr>
          <w:color w:val="005DA1"/>
          <w:u w:val="single" w:color="005DA1"/>
          <w:vertAlign w:val="superscript"/>
        </w:rPr>
        <w:t>878</w:t>
      </w:r>
      <w:r>
        <w:rPr>
          <w:color w:val="005DA1"/>
          <w:vertAlign w:val="baseline"/>
        </w:rPr>
        <w:t> </w:t>
      </w:r>
      <w:r>
        <w:rPr>
          <w:vertAlign w:val="baseline"/>
        </w:rPr>
        <w:t>The nearest analogy in the land law to contracts for the hire of a chattel is a lease, and not a restrictive covenant. Hence the development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doctrine</w:t>
      </w:r>
      <w:r>
        <w:rPr>
          <w:spacing w:val="-2"/>
          <w:vertAlign w:val="baseline"/>
        </w:rPr>
        <w:t> </w:t>
      </w:r>
      <w:r>
        <w:rPr>
          <w:vertAlign w:val="baseline"/>
        </w:rPr>
        <w:t>of</w:t>
      </w:r>
      <w:r>
        <w:rPr>
          <w:spacing w:val="-2"/>
          <w:vertAlign w:val="baseline"/>
        </w:rPr>
        <w:t> </w:t>
      </w:r>
      <w:r>
        <w:rPr>
          <w:rFonts w:ascii="Arial" w:hAnsi="Arial"/>
          <w:i/>
          <w:vertAlign w:val="baseline"/>
        </w:rPr>
        <w:t>Tulk</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Moxhay</w:t>
      </w:r>
      <w:r>
        <w:rPr>
          <w:vertAlign w:val="baseline"/>
        </w:rPr>
        <w:t>,</w:t>
      </w:r>
      <w:r>
        <w:rPr>
          <w:spacing w:val="-2"/>
          <w:vertAlign w:val="baseline"/>
        </w:rPr>
        <w:t> </w:t>
      </w:r>
      <w:r>
        <w:rPr>
          <w:vertAlign w:val="baseline"/>
        </w:rPr>
        <w:t>discussed</w:t>
      </w:r>
      <w:r>
        <w:rPr>
          <w:spacing w:val="-2"/>
          <w:vertAlign w:val="baseline"/>
        </w:rPr>
        <w:t> </w:t>
      </w:r>
      <w:r>
        <w:rPr>
          <w:vertAlign w:val="baseline"/>
        </w:rPr>
        <w:t>in</w:t>
      </w:r>
      <w:r>
        <w:rPr>
          <w:spacing w:val="-2"/>
          <w:vertAlign w:val="baseline"/>
        </w:rPr>
        <w:t> </w:t>
      </w:r>
      <w:r>
        <w:rPr>
          <w:vertAlign w:val="baseline"/>
        </w:rPr>
        <w:t>para.18-145</w:t>
      </w:r>
      <w:r>
        <w:rPr>
          <w:spacing w:val="-2"/>
          <w:vertAlign w:val="baseline"/>
        </w:rPr>
        <w:t> </w:t>
      </w:r>
      <w:r>
        <w:rPr>
          <w:vertAlign w:val="baseline"/>
        </w:rPr>
        <w:t>above,</w:t>
      </w:r>
      <w:r>
        <w:rPr>
          <w:spacing w:val="-2"/>
          <w:vertAlign w:val="baseline"/>
        </w:rPr>
        <w:t> </w:t>
      </w:r>
      <w:r>
        <w:rPr>
          <w:vertAlign w:val="baseline"/>
        </w:rPr>
        <w:t>need</w:t>
      </w:r>
      <w:r>
        <w:rPr>
          <w:spacing w:val="-2"/>
          <w:vertAlign w:val="baseline"/>
        </w:rPr>
        <w:t> </w:t>
      </w:r>
      <w:r>
        <w:rPr>
          <w:vertAlign w:val="baseline"/>
        </w:rPr>
        <w:t>not</w:t>
      </w:r>
      <w:r>
        <w:rPr>
          <w:spacing w:val="-2"/>
          <w:vertAlign w:val="baseline"/>
        </w:rPr>
        <w:t> </w:t>
      </w:r>
      <w:r>
        <w:rPr>
          <w:vertAlign w:val="baseline"/>
        </w:rPr>
        <w:t>affect</w:t>
      </w:r>
      <w:r>
        <w:rPr>
          <w:spacing w:val="-2"/>
          <w:vertAlign w:val="baseline"/>
        </w:rPr>
        <w:t> </w:t>
      </w:r>
      <w:r>
        <w:rPr>
          <w:vertAlign w:val="baseline"/>
        </w:rPr>
        <w:t>cases </w:t>
      </w:r>
      <w:bookmarkStart w:name="_bookmark1600" w:id="1602"/>
      <w:bookmarkEnd w:id="1602"/>
      <w:r>
        <w:rPr>
          <w:vertAlign w:val="baseline"/>
        </w:rPr>
        <w:t>concerning</w:t>
      </w:r>
      <w:r>
        <w:rPr>
          <w:vertAlign w:val="baseline"/>
        </w:rPr>
        <w:t> such contracts. One reason given by Diplock J. for his decision in the </w:t>
      </w:r>
      <w:r>
        <w:rPr>
          <w:rFonts w:ascii="Arial" w:hAnsi="Arial"/>
          <w:i/>
          <w:vertAlign w:val="baseline"/>
        </w:rPr>
        <w:t>Port Line </w:t>
      </w:r>
      <w:r>
        <w:rPr>
          <w:vertAlign w:val="baseline"/>
        </w:rPr>
        <w:t>case was that a time charterer had “no proprietary </w:t>
      </w:r>
      <w:r>
        <w:rPr>
          <w:rFonts w:ascii="Arial" w:hAnsi="Arial"/>
          <w:i/>
          <w:vertAlign w:val="baseline"/>
        </w:rPr>
        <w:t>or possessory </w:t>
      </w:r>
      <w:r>
        <w:rPr>
          <w:vertAlign w:val="baseline"/>
        </w:rPr>
        <w:t>rights in the ship.” </w:t>
      </w:r>
      <w:r>
        <w:rPr>
          <w:color w:val="005DA1"/>
          <w:u w:val="single" w:color="005DA1"/>
          <w:vertAlign w:val="superscript"/>
        </w:rPr>
        <w:t>879</w:t>
      </w:r>
      <w:r>
        <w:rPr>
          <w:color w:val="005DA1"/>
          <w:vertAlign w:val="baseline"/>
        </w:rPr>
        <w:t> </w:t>
      </w:r>
      <w:r>
        <w:rPr>
          <w:vertAlign w:val="baseline"/>
        </w:rPr>
        <w:t>It can be inferred that a “possessory right” might have been protected. Where the hirer of a chattel is in actual possession of</w:t>
      </w:r>
      <w:r>
        <w:rPr>
          <w:spacing w:val="40"/>
          <w:vertAlign w:val="baseline"/>
        </w:rPr>
        <w:t> </w:t>
      </w:r>
      <w:r>
        <w:rPr>
          <w:vertAlign w:val="baseline"/>
        </w:rPr>
        <w:t>it, he should certainly be protected against a third party who acquires the chattel with notice of the hirer’s interest.</w:t>
      </w:r>
    </w:p>
    <w:p>
      <w:pPr>
        <w:pStyle w:val="BodyText"/>
      </w:pPr>
    </w:p>
    <w:p>
      <w:pPr>
        <w:pStyle w:val="BodyText"/>
        <w:spacing w:before="34"/>
      </w:pPr>
    </w:p>
    <w:p>
      <w:pPr>
        <w:spacing w:before="0"/>
        <w:ind w:left="165" w:right="0" w:firstLine="0"/>
        <w:jc w:val="left"/>
        <w:rPr>
          <w:rFonts w:ascii="Arial"/>
          <w:b/>
          <w:sz w:val="18"/>
        </w:rPr>
      </w:pPr>
      <w:r>
        <w:rPr>
          <w:rFonts w:ascii="Arial"/>
          <w:b/>
          <w:sz w:val="18"/>
        </w:rPr>
        <w:t>Rights to future </w:t>
      </w:r>
      <w:r>
        <w:rPr>
          <w:rFonts w:ascii="Arial"/>
          <w:b/>
          <w:spacing w:val="-2"/>
          <w:sz w:val="18"/>
        </w:rPr>
        <w:t>possession</w:t>
      </w:r>
    </w:p>
    <w:p>
      <w:pPr>
        <w:spacing w:after="0"/>
        <w:jc w:val="left"/>
        <w:rPr>
          <w:rFonts w:ascii="Arial"/>
          <w:b/>
          <w:sz w:val="18"/>
        </w:rPr>
        <w:sectPr>
          <w:pgSz w:w="11900" w:h="16840"/>
          <w:pgMar w:header="971" w:footer="0" w:top="1160" w:bottom="280" w:left="1275" w:right="1275"/>
        </w:sectPr>
      </w:pPr>
    </w:p>
    <w:p>
      <w:pPr>
        <w:pStyle w:val="BodyText"/>
        <w:spacing w:before="130"/>
        <w:rPr>
          <w:rFonts w:ascii="Arial"/>
          <w:b/>
          <w:sz w:val="24"/>
        </w:rPr>
      </w:pPr>
    </w:p>
    <w:p>
      <w:pPr>
        <w:pStyle w:val="Heading2"/>
      </w:pPr>
      <w:r>
        <w:rPr/>
        <w:t>18-</w:t>
      </w:r>
      <w:r>
        <w:rPr>
          <w:spacing w:val="-5"/>
        </w:rPr>
        <w:t>153</w:t>
      </w:r>
    </w:p>
    <w:p>
      <w:pPr>
        <w:pStyle w:val="BodyText"/>
        <w:spacing w:line="235" w:lineRule="auto" w:before="203"/>
        <w:ind w:left="164" w:right="167"/>
        <w:jc w:val="both"/>
      </w:pPr>
      <w:bookmarkStart w:name="_bookmark1601" w:id="1603"/>
      <w:bookmarkEnd w:id="1603"/>
      <w:r>
        <w:rPr/>
      </w:r>
      <w:r>
        <w:rPr/>
        <w:t>It is less clear whether, in this context, the words “possessory rights” </w:t>
      </w:r>
      <w:r>
        <w:rPr>
          <w:color w:val="005DA1"/>
          <w:u w:val="single" w:color="005DA1"/>
          <w:vertAlign w:val="superscript"/>
        </w:rPr>
        <w:t>880</w:t>
      </w:r>
      <w:r>
        <w:rPr>
          <w:color w:val="005DA1"/>
          <w:vertAlign w:val="baseline"/>
        </w:rPr>
        <w:t> </w:t>
      </w:r>
      <w:r>
        <w:rPr>
          <w:vertAlign w:val="baseline"/>
        </w:rPr>
        <w:t>refer only to the right </w:t>
      </w:r>
      <w:r>
        <w:rPr>
          <w:rFonts w:ascii="Arial" w:hAnsi="Arial"/>
          <w:i/>
          <w:vertAlign w:val="baseline"/>
        </w:rPr>
        <w:t>of </w:t>
      </w:r>
      <w:r>
        <w:rPr>
          <w:vertAlign w:val="baseline"/>
        </w:rPr>
        <w:t>possession or extend also to a right </w:t>
      </w:r>
      <w:r>
        <w:rPr>
          <w:rFonts w:ascii="Arial" w:hAnsi="Arial"/>
          <w:i/>
          <w:vertAlign w:val="baseline"/>
        </w:rPr>
        <w:t>to </w:t>
      </w:r>
      <w:r>
        <w:rPr>
          <w:vertAlign w:val="baseline"/>
        </w:rPr>
        <w:t>possession, i.e. whether a person who has a contractual right </w:t>
      </w:r>
      <w:bookmarkStart w:name="_bookmark1602" w:id="1604"/>
      <w:bookmarkEnd w:id="1604"/>
      <w:r>
        <w:rPr>
          <w:vertAlign w:val="baseline"/>
        </w:rPr>
        <w:t>to</w:t>
      </w:r>
      <w:r>
        <w:rPr>
          <w:vertAlign w:val="baseline"/>
        </w:rPr>
        <w:t> the </w:t>
      </w:r>
      <w:r>
        <w:rPr>
          <w:rFonts w:ascii="Arial" w:hAnsi="Arial"/>
          <w:i/>
          <w:vertAlign w:val="baseline"/>
        </w:rPr>
        <w:t>future </w:t>
      </w:r>
      <w:r>
        <w:rPr>
          <w:vertAlign w:val="baseline"/>
        </w:rPr>
        <w:t>possession of a chattel would similarly be protected against the third party. In </w:t>
      </w:r>
      <w:r>
        <w:rPr>
          <w:rFonts w:ascii="Arial" w:hAnsi="Arial"/>
          <w:i/>
          <w:vertAlign w:val="baseline"/>
        </w:rPr>
        <w:t>The Stena Nautica (No.2) </w:t>
      </w:r>
      <w:r>
        <w:rPr>
          <w:color w:val="005DA1"/>
          <w:u w:val="single" w:color="005DA1"/>
          <w:vertAlign w:val="superscript"/>
        </w:rPr>
        <w:t>881</w:t>
      </w:r>
      <w:r>
        <w:rPr>
          <w:color w:val="005DA1"/>
          <w:vertAlign w:val="baseline"/>
        </w:rPr>
        <w:t> </w:t>
      </w:r>
      <w:r>
        <w:rPr>
          <w:vertAlign w:val="baseline"/>
        </w:rPr>
        <w:t>B had demise-chartered his ship to A under a contract which also gave A an option to purchase her. Later, while B was in possession of the ship, he granted a second demise charter </w:t>
      </w:r>
      <w:r>
        <w:rPr>
          <w:vertAlign w:val="baseline"/>
        </w:rPr>
        <w:t>of her to C who had no knowledge of the earlier contract. A exercised his option to purchase and it was </w:t>
      </w:r>
      <w:bookmarkStart w:name="_bookmark1603" w:id="1605"/>
      <w:bookmarkEnd w:id="1605"/>
      <w:r>
        <w:rPr>
          <w:vertAlign w:val="baseline"/>
        </w:rPr>
        <w:t>held</w:t>
      </w:r>
      <w:r>
        <w:rPr>
          <w:vertAlign w:val="baseline"/>
        </w:rPr>
        <w:t> that his only remedy was by way of damages against B: since A’s option to purchase was not specifically enforceable, </w:t>
      </w:r>
      <w:r>
        <w:rPr>
          <w:color w:val="005DA1"/>
          <w:u w:val="single" w:color="005DA1"/>
          <w:vertAlign w:val="superscript"/>
        </w:rPr>
        <w:t>882</w:t>
      </w:r>
      <w:r>
        <w:rPr>
          <w:color w:val="005DA1"/>
          <w:vertAlign w:val="baseline"/>
        </w:rPr>
        <w:t> </w:t>
      </w:r>
      <w:r>
        <w:rPr>
          <w:vertAlign w:val="baseline"/>
        </w:rPr>
        <w:t>A could not assert rights to the ship against C. The question whether A could assert his </w:t>
      </w:r>
      <w:r>
        <w:rPr>
          <w:rFonts w:ascii="Arial" w:hAnsi="Arial"/>
          <w:i/>
          <w:vertAlign w:val="baseline"/>
        </w:rPr>
        <w:t>right to possession as demise charterer </w:t>
      </w:r>
      <w:r>
        <w:rPr>
          <w:vertAlign w:val="baseline"/>
        </w:rPr>
        <w:t>against C did not, strictly speaking, arise since A was suing, not to enforce that right, but rather his right as a person who had exercised an option to purchase. But it seems from the reasoning of the Court of Appeal that A’s right to</w:t>
      </w:r>
      <w:r>
        <w:rPr>
          <w:spacing w:val="40"/>
          <w:vertAlign w:val="baseline"/>
        </w:rPr>
        <w:t> </w:t>
      </w:r>
      <w:r>
        <w:rPr>
          <w:vertAlign w:val="baseline"/>
        </w:rPr>
        <w:t>possession as demise charterer would have been protected only if the contract under which the right </w:t>
      </w:r>
      <w:bookmarkStart w:name="_bookmark1604" w:id="1606"/>
      <w:bookmarkEnd w:id="1606"/>
      <w:r>
        <w:rPr>
          <w:vertAlign w:val="baseline"/>
        </w:rPr>
        <w:t>arose</w:t>
      </w:r>
      <w:r>
        <w:rPr>
          <w:vertAlign w:val="baseline"/>
        </w:rPr>
        <w:t> was one in respect of which the court would be willing to make an order of specific</w:t>
      </w:r>
      <w:r>
        <w:rPr>
          <w:spacing w:val="40"/>
          <w:vertAlign w:val="baseline"/>
        </w:rPr>
        <w:t> </w:t>
      </w:r>
      <w:bookmarkStart w:name="_bookmark1605" w:id="1607"/>
      <w:bookmarkEnd w:id="1607"/>
      <w:r>
        <w:rPr>
          <w:vertAlign w:val="baseline"/>
        </w:rPr>
        <w:t>performance.</w:t>
      </w:r>
      <w:r>
        <w:rPr>
          <w:vertAlign w:val="baseline"/>
        </w:rPr>
        <w:t> </w:t>
      </w:r>
      <w:r>
        <w:rPr>
          <w:color w:val="005DA1"/>
          <w:u w:val="single" w:color="005DA1"/>
          <w:vertAlign w:val="superscript"/>
        </w:rPr>
        <w:t>883</w:t>
      </w:r>
      <w:r>
        <w:rPr>
          <w:color w:val="005DA1"/>
          <w:vertAlign w:val="baseline"/>
        </w:rPr>
        <w:t> </w:t>
      </w:r>
      <w:r>
        <w:rPr>
          <w:vertAlign w:val="baseline"/>
        </w:rPr>
        <w:t>The argument of commercial convenience (which justified the decision in the </w:t>
      </w:r>
      <w:r>
        <w:rPr>
          <w:rFonts w:ascii="Arial" w:hAnsi="Arial"/>
          <w:i/>
          <w:vertAlign w:val="baseline"/>
        </w:rPr>
        <w:t>Port Line </w:t>
      </w:r>
      <w:r>
        <w:rPr>
          <w:vertAlign w:val="baseline"/>
        </w:rPr>
        <w:t>case </w:t>
      </w:r>
      <w:r>
        <w:rPr>
          <w:color w:val="005DA1"/>
          <w:u w:val="single" w:color="005DA1"/>
          <w:vertAlign w:val="superscript"/>
        </w:rPr>
        <w:t>884</w:t>
      </w:r>
      <w:r>
        <w:rPr>
          <w:vertAlign w:val="baseline"/>
        </w:rPr>
        <w:t>) would seem to apply as much where a contract creates a right to the future possession of a chattel as it does where the contract creates the right to have some particular use made of the chattel. In each case the right is hard to discover and should not be enforced against a third party </w:t>
      </w:r>
      <w:bookmarkStart w:name="_bookmark1606" w:id="1608"/>
      <w:bookmarkEnd w:id="1608"/>
      <w:r>
        <w:rPr>
          <w:vertAlign w:val="baseline"/>
        </w:rPr>
        <w:t>without</w:t>
      </w:r>
      <w:r>
        <w:rPr>
          <w:vertAlign w:val="baseline"/>
        </w:rPr>
        <w:t> actual knowledge of it; and adequate protection against a third party with such knowledge is provided by the rules relating to the tort of inducing a breach of contract. </w:t>
      </w:r>
      <w:r>
        <w:rPr>
          <w:color w:val="005DA1"/>
          <w:u w:val="single" w:color="005DA1"/>
          <w:vertAlign w:val="superscript"/>
        </w:rPr>
        <w:t>885</w:t>
      </w:r>
    </w:p>
    <w:p>
      <w:pPr>
        <w:pStyle w:val="BodyText"/>
      </w:pPr>
    </w:p>
    <w:p>
      <w:pPr>
        <w:pStyle w:val="BodyText"/>
        <w:spacing w:before="32"/>
      </w:pPr>
      <w:r>
        <w:rPr/>
        <mc:AlternateContent>
          <mc:Choice Requires="wps">
            <w:drawing>
              <wp:anchor distT="0" distB="0" distL="0" distR="0" allowOverlap="1" layoutInCell="1" locked="0" behindDoc="1" simplePos="0" relativeHeight="487645184">
                <wp:simplePos x="0" y="0"/>
                <wp:positionH relativeFrom="page">
                  <wp:posOffset>914400</wp:posOffset>
                </wp:positionH>
                <wp:positionV relativeFrom="paragraph">
                  <wp:posOffset>182018</wp:posOffset>
                </wp:positionV>
                <wp:extent cx="5724525"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32191pt;width:450.75pt;height:.1pt;mso-position-horizontal-relative:page;mso-position-vertical-relative:paragraph;z-index:-15671296;mso-wrap-distance-left:0;mso-wrap-distance-right:0" id="docshape38" coordorigin="1440,287" coordsize="9015,0" path="m1440,287l10454,287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4089856">
                <wp:simplePos x="0" y="0"/>
                <wp:positionH relativeFrom="page">
                  <wp:posOffset>914400</wp:posOffset>
                </wp:positionH>
                <wp:positionV relativeFrom="paragraph">
                  <wp:posOffset>97116</wp:posOffset>
                </wp:positionV>
                <wp:extent cx="4953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226624" from="72pt,7.646976pt" to="75.892pt,7.646976pt" stroked="true" strokeweight=".5pt" strokecolor="#005da1">
                <v:stroke dashstyle="solid"/>
                <w10:wrap type="none"/>
              </v:line>
            </w:pict>
          </mc:Fallback>
        </mc:AlternateContent>
      </w:r>
      <w:bookmarkStart w:name="_bookmark1607" w:id="1609"/>
      <w:bookmarkEnd w:id="1609"/>
      <w:r>
        <w:rPr/>
      </w:r>
      <w:hyperlink w:history="true" w:anchor="_bookmark1531">
        <w:r>
          <w:rPr>
            <w:color w:val="005DA1"/>
            <w:spacing w:val="-5"/>
            <w:position w:val="5"/>
            <w:sz w:val="14"/>
          </w:rPr>
          <w:t>1</w:t>
        </w:r>
      </w:hyperlink>
      <w:r>
        <w:rPr>
          <w:spacing w:val="-5"/>
          <w:position w:val="5"/>
          <w:sz w:val="14"/>
        </w:rPr>
        <w:t>.</w:t>
      </w:r>
      <w:r>
        <w:rPr>
          <w:position w:val="5"/>
          <w:sz w:val="14"/>
        </w:rPr>
        <w:tab/>
      </w:r>
      <w:r>
        <w:rPr>
          <w:sz w:val="20"/>
        </w:rPr>
        <w:t>Finlay,</w:t>
      </w:r>
      <w:r>
        <w:rPr>
          <w:spacing w:val="25"/>
          <w:sz w:val="20"/>
        </w:rPr>
        <w:t> </w:t>
      </w:r>
      <w:r>
        <w:rPr>
          <w:rFonts w:ascii="Arial"/>
          <w:i/>
          <w:sz w:val="20"/>
        </w:rPr>
        <w:t>Contracts</w:t>
      </w:r>
      <w:r>
        <w:rPr>
          <w:rFonts w:ascii="Arial"/>
          <w:i/>
          <w:spacing w:val="25"/>
          <w:sz w:val="20"/>
        </w:rPr>
        <w:t> </w:t>
      </w:r>
      <w:r>
        <w:rPr>
          <w:rFonts w:ascii="Arial"/>
          <w:i/>
          <w:sz w:val="20"/>
        </w:rPr>
        <w:t>for</w:t>
      </w:r>
      <w:r>
        <w:rPr>
          <w:rFonts w:ascii="Arial"/>
          <w:i/>
          <w:spacing w:val="25"/>
          <w:sz w:val="20"/>
        </w:rPr>
        <w:t> </w:t>
      </w:r>
      <w:r>
        <w:rPr>
          <w:rFonts w:ascii="Arial"/>
          <w:i/>
          <w:sz w:val="20"/>
        </w:rPr>
        <w:t>the</w:t>
      </w:r>
      <w:r>
        <w:rPr>
          <w:rFonts w:ascii="Arial"/>
          <w:i/>
          <w:spacing w:val="25"/>
          <w:sz w:val="20"/>
        </w:rPr>
        <w:t> </w:t>
      </w:r>
      <w:r>
        <w:rPr>
          <w:rFonts w:ascii="Arial"/>
          <w:i/>
          <w:sz w:val="20"/>
        </w:rPr>
        <w:t>Benefit</w:t>
      </w:r>
      <w:r>
        <w:rPr>
          <w:rFonts w:ascii="Arial"/>
          <w:i/>
          <w:spacing w:val="25"/>
          <w:sz w:val="20"/>
        </w:rPr>
        <w:t> </w:t>
      </w:r>
      <w:r>
        <w:rPr>
          <w:rFonts w:ascii="Arial"/>
          <w:i/>
          <w:sz w:val="20"/>
        </w:rPr>
        <w:t>of</w:t>
      </w:r>
      <w:r>
        <w:rPr>
          <w:rFonts w:ascii="Arial"/>
          <w:i/>
          <w:spacing w:val="25"/>
          <w:sz w:val="20"/>
        </w:rPr>
        <w:t> </w:t>
      </w:r>
      <w:r>
        <w:rPr>
          <w:rFonts w:ascii="Arial"/>
          <w:i/>
          <w:sz w:val="20"/>
        </w:rPr>
        <w:t>Third</w:t>
      </w:r>
      <w:r>
        <w:rPr>
          <w:rFonts w:ascii="Arial"/>
          <w:i/>
          <w:spacing w:val="25"/>
          <w:sz w:val="20"/>
        </w:rPr>
        <w:t> </w:t>
      </w:r>
      <w:r>
        <w:rPr>
          <w:rFonts w:ascii="Arial"/>
          <w:i/>
          <w:sz w:val="20"/>
        </w:rPr>
        <w:t>Persons</w:t>
      </w:r>
      <w:r>
        <w:rPr>
          <w:rFonts w:ascii="Arial"/>
          <w:i/>
          <w:spacing w:val="25"/>
          <w:sz w:val="20"/>
        </w:rPr>
        <w:t> </w:t>
      </w:r>
      <w:r>
        <w:rPr>
          <w:sz w:val="20"/>
        </w:rPr>
        <w:t>(1939);</w:t>
      </w:r>
      <w:r>
        <w:rPr>
          <w:spacing w:val="25"/>
          <w:sz w:val="20"/>
        </w:rPr>
        <w:t> </w:t>
      </w:r>
      <w:r>
        <w:rPr>
          <w:sz w:val="20"/>
        </w:rPr>
        <w:t>Dold,</w:t>
      </w:r>
      <w:r>
        <w:rPr>
          <w:spacing w:val="25"/>
          <w:sz w:val="20"/>
        </w:rPr>
        <w:t> </w:t>
      </w:r>
      <w:r>
        <w:rPr>
          <w:rFonts w:ascii="Arial"/>
          <w:i/>
          <w:sz w:val="20"/>
        </w:rPr>
        <w:t>Stipulations</w:t>
      </w:r>
      <w:r>
        <w:rPr>
          <w:rFonts w:ascii="Arial"/>
          <w:i/>
          <w:spacing w:val="25"/>
          <w:sz w:val="20"/>
        </w:rPr>
        <w:t> </w:t>
      </w:r>
      <w:r>
        <w:rPr>
          <w:rFonts w:ascii="Arial"/>
          <w:i/>
          <w:sz w:val="20"/>
        </w:rPr>
        <w:t>for</w:t>
      </w:r>
      <w:r>
        <w:rPr>
          <w:rFonts w:ascii="Arial"/>
          <w:i/>
          <w:spacing w:val="25"/>
          <w:sz w:val="20"/>
        </w:rPr>
        <w:t> </w:t>
      </w:r>
      <w:r>
        <w:rPr>
          <w:rFonts w:ascii="Arial"/>
          <w:i/>
          <w:sz w:val="20"/>
        </w:rPr>
        <w:t>a</w:t>
      </w:r>
      <w:r>
        <w:rPr>
          <w:rFonts w:ascii="Arial"/>
          <w:i/>
          <w:spacing w:val="25"/>
          <w:sz w:val="20"/>
        </w:rPr>
        <w:t> </w:t>
      </w:r>
      <w:r>
        <w:rPr>
          <w:rFonts w:ascii="Arial"/>
          <w:i/>
          <w:sz w:val="20"/>
        </w:rPr>
        <w:t>Third</w:t>
      </w:r>
      <w:r>
        <w:rPr>
          <w:rFonts w:ascii="Arial"/>
          <w:i/>
          <w:spacing w:val="25"/>
          <w:sz w:val="20"/>
        </w:rPr>
        <w:t> </w:t>
      </w:r>
      <w:r>
        <w:rPr>
          <w:rFonts w:ascii="Arial"/>
          <w:i/>
          <w:spacing w:val="-2"/>
          <w:sz w:val="20"/>
        </w:rPr>
        <w:t>Party</w:t>
      </w:r>
    </w:p>
    <w:p>
      <w:pPr>
        <w:spacing w:line="225" w:lineRule="exact" w:before="0"/>
        <w:ind w:left="705" w:right="0" w:firstLine="0"/>
        <w:jc w:val="left"/>
        <w:rPr>
          <w:sz w:val="20"/>
        </w:rPr>
      </w:pPr>
      <w:r>
        <w:rPr>
          <w:sz w:val="20"/>
        </w:rPr>
        <w:t>(1948);</w:t>
      </w:r>
      <w:r>
        <w:rPr>
          <w:spacing w:val="25"/>
          <w:sz w:val="20"/>
        </w:rPr>
        <w:t> </w:t>
      </w:r>
      <w:r>
        <w:rPr>
          <w:sz w:val="20"/>
        </w:rPr>
        <w:t>Furmston,</w:t>
      </w:r>
      <w:r>
        <w:rPr>
          <w:spacing w:val="25"/>
          <w:sz w:val="20"/>
        </w:rPr>
        <w:t> </w:t>
      </w:r>
      <w:r>
        <w:rPr>
          <w:rFonts w:ascii="Arial"/>
          <w:i/>
          <w:sz w:val="20"/>
        </w:rPr>
        <w:t>Third</w:t>
      </w:r>
      <w:r>
        <w:rPr>
          <w:rFonts w:ascii="Arial"/>
          <w:i/>
          <w:spacing w:val="25"/>
          <w:sz w:val="20"/>
        </w:rPr>
        <w:t> </w:t>
      </w:r>
      <w:r>
        <w:rPr>
          <w:rFonts w:ascii="Arial"/>
          <w:i/>
          <w:sz w:val="20"/>
        </w:rPr>
        <w:t>Party</w:t>
      </w:r>
      <w:r>
        <w:rPr>
          <w:rFonts w:ascii="Arial"/>
          <w:i/>
          <w:spacing w:val="25"/>
          <w:sz w:val="20"/>
        </w:rPr>
        <w:t> </w:t>
      </w:r>
      <w:r>
        <w:rPr>
          <w:rFonts w:ascii="Arial"/>
          <w:i/>
          <w:sz w:val="20"/>
        </w:rPr>
        <w:t>Rights</w:t>
      </w:r>
      <w:r>
        <w:rPr>
          <w:rFonts w:ascii="Arial"/>
          <w:i/>
          <w:spacing w:val="25"/>
          <w:sz w:val="20"/>
        </w:rPr>
        <w:t> </w:t>
      </w:r>
      <w:r>
        <w:rPr>
          <w:sz w:val="20"/>
        </w:rPr>
        <w:t>(2005);</w:t>
      </w:r>
      <w:r>
        <w:rPr>
          <w:spacing w:val="25"/>
          <w:sz w:val="20"/>
        </w:rPr>
        <w:t> </w:t>
      </w:r>
      <w:r>
        <w:rPr>
          <w:sz w:val="20"/>
        </w:rPr>
        <w:t>Corbin</w:t>
      </w:r>
      <w:r>
        <w:rPr>
          <w:spacing w:val="25"/>
          <w:sz w:val="20"/>
        </w:rPr>
        <w:t> </w:t>
      </w:r>
      <w:r>
        <w:rPr>
          <w:sz w:val="20"/>
        </w:rPr>
        <w:t>(1930)</w:t>
      </w:r>
      <w:r>
        <w:rPr>
          <w:spacing w:val="25"/>
          <w:sz w:val="20"/>
        </w:rPr>
        <w:t> </w:t>
      </w:r>
      <w:r>
        <w:rPr>
          <w:sz w:val="20"/>
        </w:rPr>
        <w:t>47</w:t>
      </w:r>
      <w:r>
        <w:rPr>
          <w:spacing w:val="25"/>
          <w:sz w:val="20"/>
        </w:rPr>
        <w:t> </w:t>
      </w:r>
      <w:r>
        <w:rPr>
          <w:sz w:val="20"/>
        </w:rPr>
        <w:t>L.Q.R.</w:t>
      </w:r>
      <w:r>
        <w:rPr>
          <w:spacing w:val="25"/>
          <w:sz w:val="20"/>
        </w:rPr>
        <w:t> </w:t>
      </w:r>
      <w:r>
        <w:rPr>
          <w:sz w:val="20"/>
        </w:rPr>
        <w:t>12;</w:t>
      </w:r>
      <w:r>
        <w:rPr>
          <w:spacing w:val="25"/>
          <w:sz w:val="20"/>
        </w:rPr>
        <w:t> </w:t>
      </w:r>
      <w:r>
        <w:rPr>
          <w:sz w:val="20"/>
        </w:rPr>
        <w:t>Dowrick</w:t>
      </w:r>
      <w:r>
        <w:rPr>
          <w:spacing w:val="25"/>
          <w:sz w:val="20"/>
        </w:rPr>
        <w:t> </w:t>
      </w:r>
      <w:r>
        <w:rPr>
          <w:sz w:val="20"/>
        </w:rPr>
        <w:t>(1956)</w:t>
      </w:r>
      <w:r>
        <w:rPr>
          <w:spacing w:val="25"/>
          <w:sz w:val="20"/>
        </w:rPr>
        <w:t> </w:t>
      </w:r>
      <w:r>
        <w:rPr>
          <w:spacing w:val="-5"/>
          <w:sz w:val="20"/>
        </w:rPr>
        <w:t>19</w:t>
      </w:r>
    </w:p>
    <w:p>
      <w:pPr>
        <w:pStyle w:val="BodyText"/>
        <w:spacing w:line="225" w:lineRule="exact"/>
        <w:ind w:left="705"/>
      </w:pPr>
      <w:r>
        <w:rPr/>
        <w:t>M.L.R.</w:t>
      </w:r>
      <w:r>
        <w:rPr>
          <w:spacing w:val="11"/>
        </w:rPr>
        <w:t> </w:t>
      </w:r>
      <w:r>
        <w:rPr/>
        <w:t>374;</w:t>
      </w:r>
      <w:r>
        <w:rPr>
          <w:spacing w:val="13"/>
        </w:rPr>
        <w:t> </w:t>
      </w:r>
      <w:r>
        <w:rPr/>
        <w:t>Furmston</w:t>
      </w:r>
      <w:r>
        <w:rPr>
          <w:spacing w:val="13"/>
        </w:rPr>
        <w:t> </w:t>
      </w:r>
      <w:r>
        <w:rPr/>
        <w:t>(1960)</w:t>
      </w:r>
      <w:r>
        <w:rPr>
          <w:spacing w:val="13"/>
        </w:rPr>
        <w:t> </w:t>
      </w:r>
      <w:r>
        <w:rPr/>
        <w:t>23</w:t>
      </w:r>
      <w:r>
        <w:rPr>
          <w:spacing w:val="13"/>
        </w:rPr>
        <w:t> </w:t>
      </w:r>
      <w:r>
        <w:rPr/>
        <w:t>M.L.R.</w:t>
      </w:r>
      <w:r>
        <w:rPr>
          <w:spacing w:val="13"/>
        </w:rPr>
        <w:t> </w:t>
      </w:r>
      <w:r>
        <w:rPr/>
        <w:t>373;</w:t>
      </w:r>
      <w:r>
        <w:rPr>
          <w:spacing w:val="13"/>
        </w:rPr>
        <w:t> </w:t>
      </w:r>
      <w:r>
        <w:rPr/>
        <w:t>Wilson,</w:t>
      </w:r>
      <w:r>
        <w:rPr>
          <w:spacing w:val="13"/>
        </w:rPr>
        <w:t> </w:t>
      </w:r>
      <w:r>
        <w:rPr/>
        <w:t>11</w:t>
      </w:r>
      <w:r>
        <w:rPr>
          <w:spacing w:val="13"/>
        </w:rPr>
        <w:t> </w:t>
      </w:r>
      <w:r>
        <w:rPr/>
        <w:t>Sydney</w:t>
      </w:r>
      <w:r>
        <w:rPr>
          <w:spacing w:val="13"/>
        </w:rPr>
        <w:t> </w:t>
      </w:r>
      <w:r>
        <w:rPr/>
        <w:t>L.Rev.</w:t>
      </w:r>
      <w:r>
        <w:rPr>
          <w:spacing w:val="13"/>
        </w:rPr>
        <w:t> </w:t>
      </w:r>
      <w:r>
        <w:rPr/>
        <w:t>230</w:t>
      </w:r>
      <w:r>
        <w:rPr>
          <w:spacing w:val="13"/>
        </w:rPr>
        <w:t> </w:t>
      </w:r>
      <w:r>
        <w:rPr/>
        <w:t>(1987).</w:t>
      </w:r>
      <w:r>
        <w:rPr>
          <w:spacing w:val="13"/>
        </w:rPr>
        <w:t> </w:t>
      </w:r>
      <w:r>
        <w:rPr>
          <w:spacing w:val="-2"/>
        </w:rPr>
        <w:t>Flannigan</w:t>
      </w:r>
    </w:p>
    <w:p>
      <w:pPr>
        <w:pStyle w:val="BodyText"/>
        <w:spacing w:line="227" w:lineRule="exact"/>
        <w:ind w:left="705"/>
      </w:pPr>
      <w:r>
        <w:rPr/>
        <w:t>(1989) 105 L.Q.R. 564; Kincaid [1989] C.L.J. 454; Andrews (1988) L.S. </w:t>
      </w:r>
      <w:r>
        <w:rPr>
          <w:spacing w:val="-5"/>
        </w:rPr>
        <w:t>14.</w:t>
      </w:r>
    </w:p>
    <w:p>
      <w:pPr>
        <w:pStyle w:val="BodyText"/>
        <w:spacing w:before="9"/>
      </w:pPr>
    </w:p>
    <w:p>
      <w:pPr>
        <w:pStyle w:val="BodyText"/>
        <w:spacing w:line="235" w:lineRule="auto"/>
        <w:ind w:left="705" w:right="167" w:hanging="541"/>
        <w:jc w:val="both"/>
      </w:pPr>
      <w:bookmarkStart w:name="_bookmark1608" w:id="1610"/>
      <w:bookmarkEnd w:id="1610"/>
      <w:r>
        <w:rPr/>
      </w:r>
      <w:hyperlink w:history="true" w:anchor="_bookmark1532">
        <w:r>
          <w:rPr>
            <w:color w:val="005DA1"/>
            <w:position w:val="5"/>
            <w:sz w:val="14"/>
            <w:u w:val="single" w:color="005DA1"/>
          </w:rPr>
          <w:t>804</w:t>
        </w:r>
      </w:hyperlink>
      <w:r>
        <w:rPr>
          <w:position w:val="5"/>
          <w:sz w:val="14"/>
        </w:rPr>
        <w:t>.</w:t>
      </w:r>
      <w:r>
        <w:rPr>
          <w:spacing w:val="80"/>
          <w:position w:val="5"/>
          <w:sz w:val="14"/>
        </w:rPr>
        <w:t>  </w:t>
      </w:r>
      <w:r>
        <w:rPr/>
        <w:t>This aspect of the doctrine is not affected by the Contracts (Rights of Third Parties) Act 1999: see above para.18-002. Hence where a contract between A and B was held, on its true construction, to purport, not to confer a </w:t>
      </w:r>
      <w:r>
        <w:rPr>
          <w:rFonts w:ascii="Arial" w:hAnsi="Arial"/>
          <w:i/>
        </w:rPr>
        <w:t>benefit </w:t>
      </w:r>
      <w:r>
        <w:rPr/>
        <w:t>on C, but to </w:t>
      </w:r>
      <w:r>
        <w:rPr>
          <w:rFonts w:ascii="Arial" w:hAnsi="Arial"/>
          <w:i/>
        </w:rPr>
        <w:t>restrict </w:t>
      </w:r>
      <w:r>
        <w:rPr/>
        <w:t>C’s rights, it was said that</w:t>
      </w:r>
      <w:r>
        <w:rPr>
          <w:spacing w:val="40"/>
        </w:rPr>
        <w:t> </w:t>
      </w:r>
      <w:r>
        <w:rPr/>
        <w:t>“no question arises under the Contracts (Rights of Third Parties) Act 1999”: </w:t>
      </w:r>
      <w:r>
        <w:rPr>
          <w:rFonts w:ascii="Arial" w:hAnsi="Arial"/>
          <w:i/>
        </w:rPr>
        <w:t>Prudential Assurance Co Ltd v Ayres [2008] EWCA Civ 52 </w:t>
      </w:r>
      <w:r>
        <w:rPr/>
        <w:t>at [42].</w:t>
      </w:r>
    </w:p>
    <w:p>
      <w:pPr>
        <w:pStyle w:val="BodyText"/>
        <w:spacing w:before="8"/>
      </w:pPr>
    </w:p>
    <w:p>
      <w:pPr>
        <w:pStyle w:val="BodyText"/>
        <w:spacing w:line="235" w:lineRule="auto"/>
        <w:ind w:left="705" w:right="167" w:hanging="541"/>
        <w:jc w:val="both"/>
      </w:pPr>
      <w:bookmarkStart w:name="_bookmark1609" w:id="1611"/>
      <w:bookmarkEnd w:id="1611"/>
      <w:r>
        <w:rPr/>
      </w:r>
      <w:hyperlink w:history="true" w:anchor="_bookmark1533">
        <w:r>
          <w:rPr>
            <w:color w:val="005DA1"/>
            <w:position w:val="5"/>
            <w:sz w:val="14"/>
            <w:u w:val="single" w:color="005DA1"/>
          </w:rPr>
          <w:t>805</w:t>
        </w:r>
      </w:hyperlink>
      <w:r>
        <w:rPr>
          <w:position w:val="5"/>
          <w:sz w:val="14"/>
        </w:rPr>
        <w:t>.</w:t>
      </w:r>
      <w:r>
        <w:rPr>
          <w:spacing w:val="80"/>
          <w:position w:val="5"/>
          <w:sz w:val="14"/>
        </w:rPr>
        <w:t>  </w:t>
      </w:r>
      <w:r>
        <w:rPr/>
        <w:t>An</w:t>
      </w:r>
      <w:r>
        <w:rPr>
          <w:spacing w:val="40"/>
        </w:rPr>
        <w:t> </w:t>
      </w:r>
      <w:r>
        <w:rPr/>
        <w:t>apparent</w:t>
      </w:r>
      <w:r>
        <w:rPr>
          <w:spacing w:val="40"/>
        </w:rPr>
        <w:t> </w:t>
      </w:r>
      <w:r>
        <w:rPr/>
        <w:t>exception</w:t>
      </w:r>
      <w:r>
        <w:rPr>
          <w:spacing w:val="40"/>
        </w:rPr>
        <w:t> </w:t>
      </w:r>
      <w:r>
        <w:rPr/>
        <w:t>to</w:t>
      </w:r>
      <w:r>
        <w:rPr>
          <w:spacing w:val="40"/>
        </w:rPr>
        <w:t> </w:t>
      </w:r>
      <w:r>
        <w:rPr/>
        <w:t>the</w:t>
      </w:r>
      <w:r>
        <w:rPr>
          <w:spacing w:val="40"/>
        </w:rPr>
        <w:t> </w:t>
      </w:r>
      <w:r>
        <w:rPr/>
        <w:t>rule</w:t>
      </w:r>
      <w:r>
        <w:rPr>
          <w:spacing w:val="40"/>
        </w:rPr>
        <w:t> </w:t>
      </w:r>
      <w:r>
        <w:rPr/>
        <w:t>stated</w:t>
      </w:r>
      <w:r>
        <w:rPr>
          <w:spacing w:val="40"/>
        </w:rPr>
        <w:t> </w:t>
      </w:r>
      <w:r>
        <w:rPr/>
        <w:t>in</w:t>
      </w:r>
      <w:r>
        <w:rPr>
          <w:spacing w:val="40"/>
        </w:rPr>
        <w:t> </w:t>
      </w:r>
      <w:r>
        <w:rPr/>
        <w:t>the</w:t>
      </w:r>
      <w:r>
        <w:rPr>
          <w:spacing w:val="40"/>
        </w:rPr>
        <w:t> </w:t>
      </w:r>
      <w:r>
        <w:rPr/>
        <w:t>text</w:t>
      </w:r>
      <w:r>
        <w:rPr>
          <w:spacing w:val="40"/>
        </w:rPr>
        <w:t> </w:t>
      </w:r>
      <w:r>
        <w:rPr/>
        <w:t>above</w:t>
      </w:r>
      <w:r>
        <w:rPr>
          <w:spacing w:val="40"/>
        </w:rPr>
        <w:t> </w:t>
      </w:r>
      <w:r>
        <w:rPr/>
        <w:t>at</w:t>
      </w:r>
      <w:r>
        <w:rPr>
          <w:spacing w:val="40"/>
        </w:rPr>
        <w:t> </w:t>
      </w:r>
      <w:r>
        <w:rPr/>
        <w:t>first</w:t>
      </w:r>
      <w:r>
        <w:rPr>
          <w:spacing w:val="40"/>
        </w:rPr>
        <w:t> </w:t>
      </w:r>
      <w:r>
        <w:rPr/>
        <w:t>sight</w:t>
      </w:r>
      <w:r>
        <w:rPr>
          <w:spacing w:val="40"/>
        </w:rPr>
        <w:t> </w:t>
      </w:r>
      <w:r>
        <w:rPr/>
        <w:t>arises</w:t>
      </w:r>
      <w:r>
        <w:rPr>
          <w:spacing w:val="40"/>
        </w:rPr>
        <w:t> </w:t>
      </w:r>
      <w:r>
        <w:rPr/>
        <w:t>under</w:t>
      </w:r>
      <w:r>
        <w:rPr>
          <w:spacing w:val="40"/>
        </w:rPr>
        <w:t> </w:t>
      </w:r>
      <w:r>
        <w:rPr/>
        <w:t>the so-called</w:t>
      </w:r>
      <w:r>
        <w:rPr>
          <w:spacing w:val="-2"/>
        </w:rPr>
        <w:t> </w:t>
      </w:r>
      <w:r>
        <w:rPr/>
        <w:t>principle</w:t>
      </w:r>
      <w:r>
        <w:rPr>
          <w:spacing w:val="-2"/>
        </w:rPr>
        <w:t> </w:t>
      </w:r>
      <w:r>
        <w:rPr/>
        <w:t>of</w:t>
      </w:r>
      <w:r>
        <w:rPr>
          <w:spacing w:val="-2"/>
        </w:rPr>
        <w:t> </w:t>
      </w:r>
      <w:r>
        <w:rPr/>
        <w:t>“conditional</w:t>
      </w:r>
      <w:r>
        <w:rPr>
          <w:spacing w:val="-2"/>
        </w:rPr>
        <w:t> </w:t>
      </w:r>
      <w:r>
        <w:rPr/>
        <w:t>benefit”</w:t>
      </w:r>
      <w:r>
        <w:rPr>
          <w:spacing w:val="-2"/>
        </w:rPr>
        <w:t> </w:t>
      </w:r>
      <w:r>
        <w:rPr/>
        <w:t>by</w:t>
      </w:r>
      <w:r>
        <w:rPr>
          <w:spacing w:val="-2"/>
        </w:rPr>
        <w:t> </w:t>
      </w:r>
      <w:r>
        <w:rPr/>
        <w:t>which,</w:t>
      </w:r>
      <w:r>
        <w:rPr>
          <w:spacing w:val="-2"/>
        </w:rPr>
        <w:t> </w:t>
      </w:r>
      <w:r>
        <w:rPr/>
        <w:t>where</w:t>
      </w:r>
      <w:r>
        <w:rPr>
          <w:spacing w:val="-2"/>
        </w:rPr>
        <w:t> </w:t>
      </w:r>
      <w:r>
        <w:rPr/>
        <w:t>a</w:t>
      </w:r>
      <w:r>
        <w:rPr>
          <w:spacing w:val="-2"/>
        </w:rPr>
        <w:t> </w:t>
      </w:r>
      <w:r>
        <w:rPr/>
        <w:t>term</w:t>
      </w:r>
      <w:r>
        <w:rPr>
          <w:spacing w:val="-2"/>
        </w:rPr>
        <w:t> </w:t>
      </w:r>
      <w:r>
        <w:rPr/>
        <w:t>in</w:t>
      </w:r>
      <w:r>
        <w:rPr>
          <w:spacing w:val="-2"/>
        </w:rPr>
        <w:t> </w:t>
      </w:r>
      <w:r>
        <w:rPr/>
        <w:t>a</w:t>
      </w:r>
      <w:r>
        <w:rPr>
          <w:spacing w:val="-2"/>
        </w:rPr>
        <w:t> </w:t>
      </w:r>
      <w:r>
        <w:rPr/>
        <w:t>contract</w:t>
      </w:r>
      <w:r>
        <w:rPr>
          <w:spacing w:val="-2"/>
        </w:rPr>
        <w:t> </w:t>
      </w:r>
      <w:r>
        <w:rPr/>
        <w:t>between</w:t>
      </w:r>
      <w:r>
        <w:rPr>
          <w:spacing w:val="-2"/>
        </w:rPr>
        <w:t> </w:t>
      </w:r>
      <w:r>
        <w:rPr/>
        <w:t>A</w:t>
      </w:r>
      <w:r>
        <w:rPr>
          <w:spacing w:val="-2"/>
        </w:rPr>
        <w:t> </w:t>
      </w:r>
      <w:r>
        <w:rPr/>
        <w:t>and</w:t>
      </w:r>
      <w:r>
        <w:rPr>
          <w:spacing w:val="-2"/>
        </w:rPr>
        <w:t> </w:t>
      </w:r>
      <w:r>
        <w:rPr/>
        <w:t>B confers a benefit to C but gives C a right to enforce the term only if a specified condition </w:t>
      </w:r>
      <w:r>
        <w:rPr/>
        <w:t>occurs and where that condition is the performance of some act or abstention by C. But such a term does not impose an obligation on C to render that performance since it does not (and could not effectively) compel C to claim the benefit: it merely requires him to render the stipulated performance if he chooses to claim the benefit: see Report, paras 10-024 to 10-032; and, for a recent judicial discussion </w:t>
      </w:r>
      <w:r>
        <w:rPr>
          <w:rFonts w:ascii="Arial" w:hAnsi="Arial"/>
          <w:i/>
        </w:rPr>
        <w:t>Hurley Palmer Flatt Ltd v Barclays Bank plc [2014] EWHC 3042 (TCC), [2015] Bus. L.R. 106 </w:t>
      </w:r>
      <w:r>
        <w:rPr/>
        <w:t>at [18], [35], where, for the reasons given at [36], [37] the principle of “conditional benefit” did not apply.</w:t>
      </w:r>
    </w:p>
    <w:p>
      <w:pPr>
        <w:pStyle w:val="BodyText"/>
        <w:spacing w:before="6"/>
      </w:pPr>
    </w:p>
    <w:p>
      <w:pPr>
        <w:pStyle w:val="BodyText"/>
        <w:spacing w:line="235" w:lineRule="auto"/>
        <w:ind w:left="705" w:right="167" w:hanging="541"/>
        <w:jc w:val="both"/>
      </w:pPr>
      <w:bookmarkStart w:name="_bookmark1610" w:id="1612"/>
      <w:bookmarkEnd w:id="1612"/>
      <w:r>
        <w:rPr/>
      </w:r>
      <w:hyperlink w:history="true" w:anchor="_bookmark1534">
        <w:r>
          <w:rPr>
            <w:color w:val="005DA1"/>
            <w:position w:val="5"/>
            <w:sz w:val="14"/>
            <w:u w:val="single" w:color="005DA1"/>
          </w:rPr>
          <w:t>806</w:t>
        </w:r>
      </w:hyperlink>
      <w:r>
        <w:rPr>
          <w:position w:val="5"/>
          <w:sz w:val="14"/>
        </w:rPr>
        <w:t>.</w:t>
      </w:r>
      <w:r>
        <w:rPr>
          <w:spacing w:val="80"/>
          <w:position w:val="5"/>
          <w:sz w:val="14"/>
        </w:rPr>
        <w:t> </w:t>
      </w:r>
      <w:r>
        <w:rPr>
          <w:rFonts w:ascii="Arial" w:hAnsi="Arial"/>
          <w:i/>
        </w:rPr>
        <w:t>VTB Capital plc v Nutritek International Corp [2013] UKSC 5, [2013] 2 A.C. 337</w:t>
      </w:r>
      <w:r>
        <w:rPr/>
        <w:t>, where Lord Neuberger P. said at [140] that it “would be wrong that [the third party] should be treated as if</w:t>
      </w:r>
      <w:r>
        <w:rPr>
          <w:spacing w:val="40"/>
        </w:rPr>
        <w:t> </w:t>
      </w:r>
      <w:r>
        <w:rPr/>
        <w:t>he was a party to the agreement in circumstances where (i) at the time the agreement was entered into, none of the actual parties to the agreement intended to contract with him and </w:t>
      </w:r>
      <w:r>
        <w:rPr/>
        <w:t>he did not intend to contract with them, and (ii) thereafter, [the third party] never conducted himself as if, or led any other party to believe, he was liable under the agreement.” No unfairness to the party who had contracted with the company resulted since if that party had been induced to contract by a misrepresentation made by the third party then the law would provide “redress for [that party] against [the third party] in the form of a cause of action in negligent or fraudulent misrepresentation” (at [139]); for such liability, cf. above para.18-024 at n.149. The letters used in Lord Neuberger’s judgment to designate the three parties are not the same as used in the</w:t>
      </w:r>
      <w:r>
        <w:rPr>
          <w:spacing w:val="40"/>
        </w:rPr>
        <w:t> </w:t>
      </w:r>
      <w:r>
        <w:rPr/>
        <w:t>text above for this purpose.</w:t>
      </w:r>
    </w:p>
    <w:p>
      <w:pPr>
        <w:pStyle w:val="BodyText"/>
        <w:spacing w:before="2"/>
      </w:pPr>
    </w:p>
    <w:p>
      <w:pPr>
        <w:tabs>
          <w:tab w:pos="705" w:val="left" w:leader="none"/>
        </w:tabs>
        <w:spacing w:before="0"/>
        <w:ind w:left="165" w:right="0" w:firstLine="0"/>
        <w:jc w:val="left"/>
        <w:rPr>
          <w:sz w:val="20"/>
        </w:rPr>
      </w:pPr>
      <w:bookmarkStart w:name="_bookmark1611" w:id="1613"/>
      <w:bookmarkEnd w:id="1613"/>
      <w:r>
        <w:rPr/>
      </w:r>
      <w:hyperlink w:history="true" w:anchor="_bookmark1535">
        <w:r>
          <w:rPr>
            <w:color w:val="005DA1"/>
            <w:spacing w:val="-4"/>
            <w:position w:val="5"/>
            <w:sz w:val="14"/>
            <w:u w:val="single" w:color="005DA1"/>
          </w:rPr>
          <w:t>807</w:t>
        </w:r>
      </w:hyperlink>
      <w:r>
        <w:rPr>
          <w:spacing w:val="-4"/>
          <w:position w:val="5"/>
          <w:sz w:val="14"/>
        </w:rPr>
        <w:t>.</w:t>
      </w:r>
      <w:r>
        <w:rPr>
          <w:position w:val="5"/>
          <w:sz w:val="14"/>
        </w:rPr>
        <w:tab/>
      </w:r>
      <w:r>
        <w:rPr>
          <w:rFonts w:ascii="Arial"/>
          <w:i/>
          <w:sz w:val="20"/>
        </w:rPr>
        <w:t>Macdonald</w:t>
      </w:r>
      <w:r>
        <w:rPr>
          <w:rFonts w:ascii="Arial"/>
          <w:i/>
          <w:spacing w:val="33"/>
          <w:sz w:val="20"/>
        </w:rPr>
        <w:t> </w:t>
      </w:r>
      <w:r>
        <w:rPr>
          <w:rFonts w:ascii="Arial"/>
          <w:i/>
          <w:sz w:val="20"/>
        </w:rPr>
        <w:t>v</w:t>
      </w:r>
      <w:r>
        <w:rPr>
          <w:rFonts w:ascii="Arial"/>
          <w:i/>
          <w:spacing w:val="33"/>
          <w:sz w:val="20"/>
        </w:rPr>
        <w:t> </w:t>
      </w:r>
      <w:r>
        <w:rPr>
          <w:rFonts w:ascii="Arial"/>
          <w:i/>
          <w:sz w:val="20"/>
        </w:rPr>
        <w:t>Costello</w:t>
      </w:r>
      <w:r>
        <w:rPr>
          <w:rFonts w:ascii="Arial"/>
          <w:i/>
          <w:spacing w:val="33"/>
          <w:sz w:val="20"/>
        </w:rPr>
        <w:t> </w:t>
      </w:r>
      <w:r>
        <w:rPr>
          <w:rFonts w:ascii="Arial"/>
          <w:i/>
          <w:sz w:val="20"/>
        </w:rPr>
        <w:t>[2011]</w:t>
      </w:r>
      <w:r>
        <w:rPr>
          <w:rFonts w:ascii="Arial"/>
          <w:i/>
          <w:spacing w:val="33"/>
          <w:sz w:val="20"/>
        </w:rPr>
        <w:t> </w:t>
      </w:r>
      <w:r>
        <w:rPr>
          <w:rFonts w:ascii="Arial"/>
          <w:i/>
          <w:sz w:val="20"/>
        </w:rPr>
        <w:t>EWCA</w:t>
      </w:r>
      <w:r>
        <w:rPr>
          <w:rFonts w:ascii="Arial"/>
          <w:i/>
          <w:spacing w:val="33"/>
          <w:sz w:val="20"/>
        </w:rPr>
        <w:t> </w:t>
      </w:r>
      <w:r>
        <w:rPr>
          <w:rFonts w:ascii="Arial"/>
          <w:i/>
          <w:sz w:val="20"/>
        </w:rPr>
        <w:t>Civ</w:t>
      </w:r>
      <w:r>
        <w:rPr>
          <w:rFonts w:ascii="Arial"/>
          <w:i/>
          <w:spacing w:val="33"/>
          <w:sz w:val="20"/>
        </w:rPr>
        <w:t> </w:t>
      </w:r>
      <w:r>
        <w:rPr>
          <w:rFonts w:ascii="Arial"/>
          <w:i/>
          <w:sz w:val="20"/>
        </w:rPr>
        <w:t>930,</w:t>
      </w:r>
      <w:r>
        <w:rPr>
          <w:rFonts w:ascii="Arial"/>
          <w:i/>
          <w:spacing w:val="33"/>
          <w:sz w:val="20"/>
        </w:rPr>
        <w:t> </w:t>
      </w:r>
      <w:r>
        <w:rPr>
          <w:rFonts w:ascii="Arial"/>
          <w:i/>
          <w:sz w:val="20"/>
        </w:rPr>
        <w:t>[2012]</w:t>
      </w:r>
      <w:r>
        <w:rPr>
          <w:rFonts w:ascii="Arial"/>
          <w:i/>
          <w:spacing w:val="33"/>
          <w:sz w:val="20"/>
        </w:rPr>
        <w:t> </w:t>
      </w:r>
      <w:r>
        <w:rPr>
          <w:rFonts w:ascii="Arial"/>
          <w:i/>
          <w:sz w:val="20"/>
        </w:rPr>
        <w:t>1</w:t>
      </w:r>
      <w:r>
        <w:rPr>
          <w:rFonts w:ascii="Arial"/>
          <w:i/>
          <w:spacing w:val="33"/>
          <w:sz w:val="20"/>
        </w:rPr>
        <w:t> </w:t>
      </w:r>
      <w:r>
        <w:rPr>
          <w:rFonts w:ascii="Arial"/>
          <w:i/>
          <w:sz w:val="20"/>
        </w:rPr>
        <w:t>All</w:t>
      </w:r>
      <w:r>
        <w:rPr>
          <w:rFonts w:ascii="Arial"/>
          <w:i/>
          <w:spacing w:val="33"/>
          <w:sz w:val="20"/>
        </w:rPr>
        <w:t> </w:t>
      </w:r>
      <w:r>
        <w:rPr>
          <w:rFonts w:ascii="Arial"/>
          <w:i/>
          <w:sz w:val="20"/>
        </w:rPr>
        <w:t>E.R.</w:t>
      </w:r>
      <w:r>
        <w:rPr>
          <w:rFonts w:ascii="Arial"/>
          <w:i/>
          <w:spacing w:val="33"/>
          <w:sz w:val="20"/>
        </w:rPr>
        <w:t> </w:t>
      </w:r>
      <w:r>
        <w:rPr>
          <w:rFonts w:ascii="Arial"/>
          <w:i/>
          <w:sz w:val="20"/>
        </w:rPr>
        <w:t>(Comm)</w:t>
      </w:r>
      <w:r>
        <w:rPr>
          <w:rFonts w:ascii="Arial"/>
          <w:i/>
          <w:spacing w:val="33"/>
          <w:sz w:val="20"/>
        </w:rPr>
        <w:t> </w:t>
      </w:r>
      <w:r>
        <w:rPr>
          <w:rFonts w:ascii="Arial"/>
          <w:i/>
          <w:sz w:val="20"/>
        </w:rPr>
        <w:t>357</w:t>
      </w:r>
      <w:r>
        <w:rPr>
          <w:rFonts w:ascii="Arial"/>
          <w:i/>
          <w:spacing w:val="32"/>
          <w:sz w:val="20"/>
        </w:rPr>
        <w:t> </w:t>
      </w:r>
      <w:r>
        <w:rPr>
          <w:sz w:val="20"/>
        </w:rPr>
        <w:t>(the</w:t>
      </w:r>
      <w:r>
        <w:rPr>
          <w:spacing w:val="33"/>
          <w:sz w:val="20"/>
        </w:rPr>
        <w:t> </w:t>
      </w:r>
      <w:r>
        <w:rPr>
          <w:sz w:val="20"/>
        </w:rPr>
        <w:t>claim</w:t>
      </w:r>
      <w:r>
        <w:rPr>
          <w:spacing w:val="33"/>
          <w:sz w:val="20"/>
        </w:rPr>
        <w:t> </w:t>
      </w:r>
      <w:r>
        <w:rPr>
          <w:spacing w:val="-5"/>
          <w:sz w:val="20"/>
        </w:rPr>
        <w:t>was</w:t>
      </w:r>
    </w:p>
    <w:p>
      <w:pPr>
        <w:spacing w:after="0"/>
        <w:jc w:val="left"/>
        <w:rPr>
          <w:sz w:val="20"/>
        </w:rPr>
        <w:sectPr>
          <w:pgSz w:w="11900" w:h="16840"/>
          <w:pgMar w:header="971" w:footer="0" w:top="1160" w:bottom="280" w:left="1275" w:right="1275"/>
        </w:sectPr>
      </w:pPr>
    </w:p>
    <w:p>
      <w:pPr>
        <w:pStyle w:val="BodyText"/>
        <w:spacing w:before="24"/>
      </w:pPr>
    </w:p>
    <w:p>
      <w:pPr>
        <w:pStyle w:val="BodyText"/>
        <w:spacing w:line="235" w:lineRule="auto" w:before="1"/>
        <w:ind w:left="705"/>
      </w:pPr>
      <w:r>
        <w:rPr/>
        <w:t>rejected because, to uphold it “would undermine the contractual arrangements by which parties have defined and allocated and, to that extent, restricted their mutual obligations …” (at [23])).</w:t>
      </w:r>
    </w:p>
    <w:p>
      <w:pPr>
        <w:pStyle w:val="BodyText"/>
        <w:spacing w:before="9"/>
      </w:pPr>
    </w:p>
    <w:p>
      <w:pPr>
        <w:spacing w:line="235" w:lineRule="auto" w:before="0"/>
        <w:ind w:left="705" w:right="167" w:hanging="541"/>
        <w:jc w:val="both"/>
        <w:rPr>
          <w:sz w:val="20"/>
        </w:rPr>
      </w:pPr>
      <w:bookmarkStart w:name="_bookmark1612" w:id="1614"/>
      <w:bookmarkEnd w:id="1614"/>
      <w:r>
        <w:rPr/>
      </w:r>
      <w:hyperlink w:history="true" w:anchor="_bookmark1536">
        <w:r>
          <w:rPr>
            <w:color w:val="005DA1"/>
            <w:position w:val="5"/>
            <w:sz w:val="14"/>
            <w:u w:val="single" w:color="005DA1"/>
          </w:rPr>
          <w:t>808</w:t>
        </w:r>
      </w:hyperlink>
      <w:r>
        <w:rPr>
          <w:position w:val="5"/>
          <w:sz w:val="14"/>
        </w:rPr>
        <w:t>.</w:t>
      </w:r>
      <w:r>
        <w:rPr>
          <w:spacing w:val="80"/>
          <w:position w:val="5"/>
          <w:sz w:val="14"/>
        </w:rPr>
        <w:t> </w:t>
      </w:r>
      <w:r>
        <w:rPr>
          <w:rFonts w:ascii="Arial" w:hAnsi="Arial"/>
          <w:i/>
          <w:sz w:val="20"/>
        </w:rPr>
        <w:t>Leigh &amp; Sillivan Ltd v Aliakmon Shipping Co Ltd (The Aliakmon) [1986] A.C. 785</w:t>
      </w:r>
      <w:r>
        <w:rPr>
          <w:sz w:val="20"/>
        </w:rPr>
        <w:t>. Cf. </w:t>
      </w:r>
      <w:r>
        <w:rPr>
          <w:rFonts w:ascii="Arial" w:hAnsi="Arial"/>
          <w:i/>
          <w:sz w:val="20"/>
        </w:rPr>
        <w:t>British American Tobacco Switzerland SA [2012] EWHC 694 (Comm), [2012] 2 Lloyd’s Rep. 1 </w:t>
      </w:r>
      <w:r>
        <w:rPr>
          <w:sz w:val="20"/>
        </w:rPr>
        <w:t>at [10] (defendant not bound by a jurisdiction clause in a contract to which defendant was not a party: see above, para.18-006); </w:t>
      </w:r>
      <w:r>
        <w:rPr>
          <w:rFonts w:ascii="Arial" w:hAnsi="Arial"/>
          <w:i/>
          <w:sz w:val="20"/>
        </w:rPr>
        <w:t>VTB Capital plc v Nutritek International Corp [2013] UKSC 5</w:t>
      </w:r>
      <w:r>
        <w:rPr>
          <w:sz w:val="20"/>
        </w:rPr>
        <w:t>, above n.780, where the underlying assumption was that an English Court jurisdiction clause would not bind a person who was not a party to the contract in which that clause was contained </w:t>
      </w:r>
      <w:r>
        <w:rPr>
          <w:sz w:val="20"/>
        </w:rPr>
        <w:t>(see especially at [140]).</w:t>
      </w:r>
    </w:p>
    <w:p>
      <w:pPr>
        <w:pStyle w:val="BodyText"/>
        <w:spacing w:before="7"/>
      </w:pPr>
    </w:p>
    <w:p>
      <w:pPr>
        <w:tabs>
          <w:tab w:pos="705" w:val="left" w:leader="none"/>
        </w:tabs>
        <w:spacing w:line="235" w:lineRule="auto" w:before="0"/>
        <w:ind w:left="705" w:right="168" w:hanging="541"/>
        <w:jc w:val="left"/>
        <w:rPr>
          <w:sz w:val="20"/>
        </w:rPr>
      </w:pPr>
      <w:bookmarkStart w:name="_bookmark1613" w:id="1615"/>
      <w:bookmarkEnd w:id="1615"/>
      <w:r>
        <w:rPr/>
      </w:r>
      <w:hyperlink w:history="true" w:anchor="_bookmark1536">
        <w:r>
          <w:rPr>
            <w:color w:val="005DA1"/>
            <w:spacing w:val="-4"/>
            <w:position w:val="5"/>
            <w:sz w:val="14"/>
            <w:u w:val="single" w:color="005DA1"/>
          </w:rPr>
          <w:t>809</w:t>
        </w:r>
      </w:hyperlink>
      <w:r>
        <w:rPr>
          <w:spacing w:val="-4"/>
          <w:position w:val="5"/>
          <w:sz w:val="14"/>
        </w:rPr>
        <w:t>.</w:t>
      </w:r>
      <w:r>
        <w:rPr>
          <w:position w:val="5"/>
          <w:sz w:val="14"/>
        </w:rPr>
        <w:tab/>
      </w:r>
      <w:r>
        <w:rPr>
          <w:sz w:val="20"/>
        </w:rPr>
        <w:t>Above, para.15-043; cf. </w:t>
      </w:r>
      <w:r>
        <w:rPr>
          <w:rFonts w:ascii="Arial"/>
          <w:i/>
          <w:sz w:val="20"/>
        </w:rPr>
        <w:t>Herd v Clyde Helicopters Ltd [1997] A.C. 473</w:t>
      </w:r>
      <w:r>
        <w:rPr>
          <w:sz w:val="20"/>
        </w:rPr>
        <w:t>, where legislation </w:t>
      </w:r>
      <w:r>
        <w:rPr>
          <w:sz w:val="20"/>
        </w:rPr>
        <w:t>limiting the liability of a party to the contract was held to be effective as against a third party.</w:t>
      </w:r>
    </w:p>
    <w:p>
      <w:pPr>
        <w:pStyle w:val="BodyText"/>
        <w:spacing w:before="6"/>
      </w:pPr>
    </w:p>
    <w:p>
      <w:pPr>
        <w:spacing w:line="227" w:lineRule="exact" w:before="0"/>
        <w:ind w:left="165" w:right="0" w:firstLine="0"/>
        <w:jc w:val="both"/>
        <w:rPr>
          <w:rFonts w:ascii="Arial"/>
          <w:i/>
          <w:sz w:val="20"/>
        </w:rPr>
      </w:pPr>
      <w:bookmarkStart w:name="_bookmark1614" w:id="1616"/>
      <w:bookmarkEnd w:id="1616"/>
      <w:r>
        <w:rPr/>
      </w:r>
      <w:hyperlink w:history="true" w:anchor="_bookmark1537">
        <w:r>
          <w:rPr>
            <w:color w:val="005DA1"/>
            <w:position w:val="5"/>
            <w:sz w:val="14"/>
            <w:u w:val="single" w:color="005DA1"/>
          </w:rPr>
          <w:t>810</w:t>
        </w:r>
      </w:hyperlink>
      <w:r>
        <w:rPr>
          <w:position w:val="5"/>
          <w:sz w:val="14"/>
        </w:rPr>
        <w:t>.</w:t>
      </w:r>
      <w:r>
        <w:rPr>
          <w:spacing w:val="75"/>
          <w:w w:val="150"/>
          <w:position w:val="5"/>
          <w:sz w:val="14"/>
        </w:rPr>
        <w:t>  </w:t>
      </w:r>
      <w:r>
        <w:rPr>
          <w:sz w:val="20"/>
        </w:rPr>
        <w:t>Above,</w:t>
      </w:r>
      <w:r>
        <w:rPr>
          <w:spacing w:val="29"/>
          <w:sz w:val="20"/>
        </w:rPr>
        <w:t> </w:t>
      </w:r>
      <w:r>
        <w:rPr>
          <w:sz w:val="20"/>
        </w:rPr>
        <w:t>para.15-057;</w:t>
      </w:r>
      <w:r>
        <w:rPr>
          <w:spacing w:val="29"/>
          <w:sz w:val="20"/>
        </w:rPr>
        <w:t> </w:t>
      </w:r>
      <w:r>
        <w:rPr>
          <w:sz w:val="20"/>
        </w:rPr>
        <w:t>e.g.</w:t>
      </w:r>
      <w:r>
        <w:rPr>
          <w:spacing w:val="29"/>
          <w:sz w:val="20"/>
        </w:rPr>
        <w:t> </w:t>
      </w:r>
      <w:r>
        <w:rPr>
          <w:rFonts w:ascii="Arial"/>
          <w:i/>
          <w:sz w:val="20"/>
        </w:rPr>
        <w:t>East</w:t>
      </w:r>
      <w:r>
        <w:rPr>
          <w:rFonts w:ascii="Arial"/>
          <w:i/>
          <w:spacing w:val="29"/>
          <w:sz w:val="20"/>
        </w:rPr>
        <w:t> </w:t>
      </w:r>
      <w:r>
        <w:rPr>
          <w:rFonts w:ascii="Arial"/>
          <w:i/>
          <w:sz w:val="20"/>
        </w:rPr>
        <w:t>West</w:t>
      </w:r>
      <w:r>
        <w:rPr>
          <w:rFonts w:ascii="Arial"/>
          <w:i/>
          <w:spacing w:val="29"/>
          <w:sz w:val="20"/>
        </w:rPr>
        <w:t> </w:t>
      </w:r>
      <w:r>
        <w:rPr>
          <w:rFonts w:ascii="Arial"/>
          <w:i/>
          <w:sz w:val="20"/>
        </w:rPr>
        <w:t>Corporation</w:t>
      </w:r>
      <w:r>
        <w:rPr>
          <w:rFonts w:ascii="Arial"/>
          <w:i/>
          <w:spacing w:val="29"/>
          <w:sz w:val="20"/>
        </w:rPr>
        <w:t> </w:t>
      </w:r>
      <w:r>
        <w:rPr>
          <w:rFonts w:ascii="Arial"/>
          <w:i/>
          <w:sz w:val="20"/>
        </w:rPr>
        <w:t>v</w:t>
      </w:r>
      <w:r>
        <w:rPr>
          <w:rFonts w:ascii="Arial"/>
          <w:i/>
          <w:spacing w:val="29"/>
          <w:sz w:val="20"/>
        </w:rPr>
        <w:t> </w:t>
      </w:r>
      <w:r>
        <w:rPr>
          <w:rFonts w:ascii="Arial"/>
          <w:i/>
          <w:sz w:val="20"/>
        </w:rPr>
        <w:t>DKBS</w:t>
      </w:r>
      <w:r>
        <w:rPr>
          <w:rFonts w:ascii="Arial"/>
          <w:i/>
          <w:spacing w:val="29"/>
          <w:sz w:val="20"/>
        </w:rPr>
        <w:t> </w:t>
      </w:r>
      <w:r>
        <w:rPr>
          <w:rFonts w:ascii="Arial"/>
          <w:i/>
          <w:sz w:val="20"/>
        </w:rPr>
        <w:t>1912</w:t>
      </w:r>
      <w:r>
        <w:rPr>
          <w:rFonts w:ascii="Arial"/>
          <w:i/>
          <w:spacing w:val="29"/>
          <w:sz w:val="20"/>
        </w:rPr>
        <w:t> </w:t>
      </w:r>
      <w:r>
        <w:rPr>
          <w:rFonts w:ascii="Arial"/>
          <w:i/>
          <w:sz w:val="20"/>
        </w:rPr>
        <w:t>[2003]</w:t>
      </w:r>
      <w:r>
        <w:rPr>
          <w:rFonts w:ascii="Arial"/>
          <w:i/>
          <w:spacing w:val="29"/>
          <w:sz w:val="20"/>
        </w:rPr>
        <w:t> </w:t>
      </w:r>
      <w:r>
        <w:rPr>
          <w:rFonts w:ascii="Arial"/>
          <w:i/>
          <w:sz w:val="20"/>
        </w:rPr>
        <w:t>EWCA</w:t>
      </w:r>
      <w:r>
        <w:rPr>
          <w:rFonts w:ascii="Arial"/>
          <w:i/>
          <w:spacing w:val="29"/>
          <w:sz w:val="20"/>
        </w:rPr>
        <w:t> </w:t>
      </w:r>
      <w:r>
        <w:rPr>
          <w:rFonts w:ascii="Arial"/>
          <w:i/>
          <w:sz w:val="20"/>
        </w:rPr>
        <w:t>Civ</w:t>
      </w:r>
      <w:r>
        <w:rPr>
          <w:rFonts w:ascii="Arial"/>
          <w:i/>
          <w:spacing w:val="29"/>
          <w:sz w:val="20"/>
        </w:rPr>
        <w:t> </w:t>
      </w:r>
      <w:r>
        <w:rPr>
          <w:rFonts w:ascii="Arial"/>
          <w:i/>
          <w:sz w:val="20"/>
        </w:rPr>
        <w:t>83;</w:t>
      </w:r>
      <w:r>
        <w:rPr>
          <w:rFonts w:ascii="Arial"/>
          <w:i/>
          <w:spacing w:val="29"/>
          <w:sz w:val="20"/>
        </w:rPr>
        <w:t> </w:t>
      </w:r>
      <w:r>
        <w:rPr>
          <w:rFonts w:ascii="Arial"/>
          <w:i/>
          <w:spacing w:val="-2"/>
          <w:sz w:val="20"/>
        </w:rPr>
        <w:t>[2003]</w:t>
      </w:r>
    </w:p>
    <w:p>
      <w:pPr>
        <w:spacing w:line="235" w:lineRule="auto" w:before="1"/>
        <w:ind w:left="705" w:right="167" w:firstLine="0"/>
        <w:jc w:val="both"/>
        <w:rPr>
          <w:sz w:val="20"/>
        </w:rPr>
      </w:pPr>
      <w:r>
        <w:rPr>
          <w:rFonts w:ascii="Arial" w:hAnsi="Arial"/>
          <w:i/>
          <w:sz w:val="20"/>
        </w:rPr>
        <w:t>Q.B. 1509</w:t>
      </w:r>
      <w:r>
        <w:rPr>
          <w:sz w:val="20"/>
        </w:rPr>
        <w:t>, at [69] (where the exemption clauses were held on other grounds not to protect </w:t>
      </w:r>
      <w:r>
        <w:rPr>
          <w:sz w:val="20"/>
        </w:rPr>
        <w:t>the defendants); </w:t>
      </w:r>
      <w:r>
        <w:rPr>
          <w:rFonts w:ascii="Arial" w:hAnsi="Arial"/>
          <w:i/>
          <w:sz w:val="20"/>
        </w:rPr>
        <w:t>Scottish &amp; Newcastle International Ltd v Othon Ghalanos Ltd [2008] UKHL </w:t>
      </w:r>
      <w:r>
        <w:rPr>
          <w:rFonts w:ascii="Arial" w:hAnsi="Arial"/>
          <w:i/>
          <w:sz w:val="20"/>
        </w:rPr>
        <w:t>11, [2008] 1 Lloyd’s Rep. 462 </w:t>
      </w:r>
      <w:r>
        <w:rPr>
          <w:sz w:val="20"/>
        </w:rPr>
        <w:t>at [46], [47].</w:t>
      </w:r>
    </w:p>
    <w:p>
      <w:pPr>
        <w:pStyle w:val="BodyText"/>
        <w:spacing w:before="5"/>
      </w:pPr>
    </w:p>
    <w:p>
      <w:pPr>
        <w:tabs>
          <w:tab w:pos="705" w:val="left" w:leader="none"/>
        </w:tabs>
        <w:spacing w:before="0"/>
        <w:ind w:left="165" w:right="0" w:firstLine="0"/>
        <w:jc w:val="left"/>
        <w:rPr>
          <w:sz w:val="20"/>
        </w:rPr>
      </w:pPr>
      <w:bookmarkStart w:name="_bookmark1615" w:id="1617"/>
      <w:bookmarkEnd w:id="1617"/>
      <w:r>
        <w:rPr/>
      </w:r>
      <w:hyperlink w:history="true" w:anchor="_bookmark1537">
        <w:r>
          <w:rPr>
            <w:color w:val="005DA1"/>
            <w:spacing w:val="-4"/>
            <w:position w:val="5"/>
            <w:sz w:val="14"/>
            <w:u w:val="single" w:color="005DA1"/>
          </w:rPr>
          <w:t>811</w:t>
        </w:r>
      </w:hyperlink>
      <w:r>
        <w:rPr>
          <w:spacing w:val="-4"/>
          <w:position w:val="5"/>
          <w:sz w:val="14"/>
        </w:rPr>
        <w:t>.</w:t>
      </w:r>
      <w:r>
        <w:rPr>
          <w:position w:val="5"/>
          <w:sz w:val="14"/>
        </w:rPr>
        <w:tab/>
      </w:r>
      <w:r>
        <w:rPr>
          <w:rFonts w:ascii="Arial"/>
          <w:i/>
          <w:sz w:val="20"/>
        </w:rPr>
        <w:t>Bocardo SA v Star Energy UK Onshore Ltd [2010] UKSC 35, [2011] 1 A.C. </w:t>
      </w:r>
      <w:r>
        <w:rPr>
          <w:rFonts w:ascii="Arial"/>
          <w:i/>
          <w:spacing w:val="-4"/>
          <w:sz w:val="20"/>
        </w:rPr>
        <w:t>380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16" w:id="1618"/>
      <w:bookmarkEnd w:id="1618"/>
      <w:r>
        <w:rPr/>
      </w:r>
      <w:hyperlink w:history="true" w:anchor="_bookmark1538">
        <w:r>
          <w:rPr>
            <w:color w:val="005DA1"/>
            <w:spacing w:val="-4"/>
            <w:position w:val="5"/>
            <w:sz w:val="14"/>
            <w:u w:val="single" w:color="005DA1"/>
          </w:rPr>
          <w:t>812</w:t>
        </w:r>
      </w:hyperlink>
      <w:r>
        <w:rPr>
          <w:spacing w:val="-4"/>
          <w:position w:val="5"/>
          <w:sz w:val="14"/>
        </w:rPr>
        <w:t>.</w:t>
      </w:r>
      <w:r>
        <w:rPr>
          <w:position w:val="5"/>
          <w:sz w:val="14"/>
        </w:rPr>
        <w:tab/>
      </w:r>
      <w:r>
        <w:rPr>
          <w:sz w:val="20"/>
        </w:rPr>
        <w:t>ibid., at </w:t>
      </w:r>
      <w:r>
        <w:rPr>
          <w:spacing w:val="-2"/>
          <w:sz w:val="20"/>
        </w:rPr>
        <w:t>[32].</w:t>
      </w:r>
    </w:p>
    <w:p>
      <w:pPr>
        <w:pStyle w:val="BodyText"/>
        <w:spacing w:before="9"/>
      </w:pPr>
    </w:p>
    <w:p>
      <w:pPr>
        <w:pStyle w:val="BodyText"/>
        <w:tabs>
          <w:tab w:pos="705" w:val="left" w:leader="none"/>
        </w:tabs>
        <w:spacing w:line="235" w:lineRule="auto"/>
        <w:ind w:left="705" w:right="168" w:hanging="541"/>
      </w:pPr>
      <w:bookmarkStart w:name="_bookmark1617" w:id="1619"/>
      <w:bookmarkEnd w:id="1619"/>
      <w:r>
        <w:rPr/>
      </w:r>
      <w:hyperlink w:history="true" w:anchor="_bookmark1539">
        <w:r>
          <w:rPr>
            <w:color w:val="005DA1"/>
            <w:spacing w:val="-4"/>
            <w:position w:val="5"/>
            <w:sz w:val="14"/>
            <w:u w:val="single" w:color="005DA1"/>
          </w:rPr>
          <w:t>813</w:t>
        </w:r>
      </w:hyperlink>
      <w:r>
        <w:rPr>
          <w:spacing w:val="-4"/>
          <w:position w:val="5"/>
          <w:sz w:val="14"/>
        </w:rPr>
        <w:t>.</w:t>
      </w:r>
      <w:r>
        <w:rPr>
          <w:position w:val="5"/>
          <w:sz w:val="14"/>
        </w:rPr>
        <w:tab/>
      </w:r>
      <w:r>
        <w:rPr/>
        <w:t>As under Carriage of Goods by Sea Act 1992, s.3, discussed in Carver on Bills of Lading, 3rd</w:t>
      </w:r>
      <w:r>
        <w:rPr>
          <w:spacing w:val="40"/>
        </w:rPr>
        <w:t> </w:t>
      </w:r>
      <w:r>
        <w:rPr/>
        <w:t>ed. (2011), paras 5–086 to 5–105.</w:t>
      </w:r>
    </w:p>
    <w:p>
      <w:pPr>
        <w:pStyle w:val="BodyText"/>
        <w:spacing w:before="5"/>
      </w:pPr>
    </w:p>
    <w:p>
      <w:pPr>
        <w:tabs>
          <w:tab w:pos="705" w:val="left" w:leader="none"/>
        </w:tabs>
        <w:spacing w:line="227" w:lineRule="exact" w:before="1"/>
        <w:ind w:left="165" w:right="0" w:firstLine="0"/>
        <w:jc w:val="left"/>
        <w:rPr>
          <w:rFonts w:ascii="Arial" w:hAnsi="Arial"/>
          <w:i/>
          <w:sz w:val="20"/>
        </w:rPr>
      </w:pPr>
      <w:bookmarkStart w:name="_bookmark1618" w:id="1620"/>
      <w:bookmarkEnd w:id="1620"/>
      <w:r>
        <w:rPr/>
      </w:r>
      <w:hyperlink w:history="true" w:anchor="_bookmark1540">
        <w:r>
          <w:rPr>
            <w:color w:val="005DA1"/>
            <w:spacing w:val="-4"/>
            <w:position w:val="5"/>
            <w:sz w:val="14"/>
            <w:u w:val="single" w:color="005DA1"/>
          </w:rPr>
          <w:t>814</w:t>
        </w:r>
      </w:hyperlink>
      <w:r>
        <w:rPr>
          <w:spacing w:val="-4"/>
          <w:position w:val="5"/>
          <w:sz w:val="14"/>
        </w:rPr>
        <w:t>.</w:t>
      </w:r>
      <w:r>
        <w:rPr>
          <w:position w:val="5"/>
          <w:sz w:val="14"/>
        </w:rPr>
        <w:tab/>
      </w:r>
      <w:r>
        <w:rPr>
          <w:sz w:val="20"/>
        </w:rPr>
        <w:t>See</w:t>
      </w:r>
      <w:r>
        <w:rPr>
          <w:spacing w:val="5"/>
          <w:sz w:val="20"/>
        </w:rPr>
        <w:t> </w:t>
      </w:r>
      <w:r>
        <w:rPr>
          <w:rFonts w:ascii="Arial" w:hAnsi="Arial"/>
          <w:i/>
          <w:sz w:val="20"/>
        </w:rPr>
        <w:t>Faith</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E.I.C.</w:t>
      </w:r>
      <w:r>
        <w:rPr>
          <w:rFonts w:ascii="Arial" w:hAnsi="Arial"/>
          <w:i/>
          <w:spacing w:val="6"/>
          <w:sz w:val="20"/>
        </w:rPr>
        <w:t> </w:t>
      </w:r>
      <w:r>
        <w:rPr>
          <w:rFonts w:ascii="Arial" w:hAnsi="Arial"/>
          <w:i/>
          <w:sz w:val="20"/>
        </w:rPr>
        <w:t>(1821)</w:t>
      </w:r>
      <w:r>
        <w:rPr>
          <w:rFonts w:ascii="Arial" w:hAnsi="Arial"/>
          <w:i/>
          <w:spacing w:val="6"/>
          <w:sz w:val="20"/>
        </w:rPr>
        <w:t> </w:t>
      </w:r>
      <w:r>
        <w:rPr>
          <w:rFonts w:ascii="Arial" w:hAnsi="Arial"/>
          <w:i/>
          <w:sz w:val="20"/>
        </w:rPr>
        <w:t>4</w:t>
      </w:r>
      <w:r>
        <w:rPr>
          <w:rFonts w:ascii="Arial" w:hAnsi="Arial"/>
          <w:i/>
          <w:spacing w:val="6"/>
          <w:sz w:val="20"/>
        </w:rPr>
        <w:t> </w:t>
      </w:r>
      <w:r>
        <w:rPr>
          <w:rFonts w:ascii="Arial" w:hAnsi="Arial"/>
          <w:i/>
          <w:sz w:val="20"/>
        </w:rPr>
        <w:t>B.</w:t>
      </w:r>
      <w:r>
        <w:rPr>
          <w:rFonts w:ascii="Arial" w:hAnsi="Arial"/>
          <w:i/>
          <w:spacing w:val="6"/>
          <w:sz w:val="20"/>
        </w:rPr>
        <w:t> </w:t>
      </w:r>
      <w:r>
        <w:rPr>
          <w:rFonts w:ascii="Arial" w:hAnsi="Arial"/>
          <w:i/>
          <w:sz w:val="20"/>
        </w:rPr>
        <w:t>&amp;</w:t>
      </w:r>
      <w:r>
        <w:rPr>
          <w:rFonts w:ascii="Arial" w:hAnsi="Arial"/>
          <w:i/>
          <w:spacing w:val="6"/>
          <w:sz w:val="20"/>
        </w:rPr>
        <w:t> </w:t>
      </w:r>
      <w:r>
        <w:rPr>
          <w:rFonts w:ascii="Arial" w:hAnsi="Arial"/>
          <w:i/>
          <w:sz w:val="20"/>
        </w:rPr>
        <w:t>Ald.</w:t>
      </w:r>
      <w:r>
        <w:rPr>
          <w:rFonts w:ascii="Arial" w:hAnsi="Arial"/>
          <w:i/>
          <w:spacing w:val="6"/>
          <w:sz w:val="20"/>
        </w:rPr>
        <w:t> </w:t>
      </w:r>
      <w:r>
        <w:rPr>
          <w:rFonts w:ascii="Arial" w:hAnsi="Arial"/>
          <w:i/>
          <w:sz w:val="20"/>
        </w:rPr>
        <w:t>630</w:t>
      </w:r>
      <w:r>
        <w:rPr>
          <w:sz w:val="20"/>
        </w:rPr>
        <w:t>;</w:t>
      </w:r>
      <w:r>
        <w:rPr>
          <w:spacing w:val="6"/>
          <w:sz w:val="20"/>
        </w:rPr>
        <w:t> </w:t>
      </w:r>
      <w:r>
        <w:rPr>
          <w:rFonts w:ascii="Arial" w:hAnsi="Arial"/>
          <w:i/>
          <w:sz w:val="20"/>
        </w:rPr>
        <w:t>Tappenden</w:t>
      </w:r>
      <w:r>
        <w:rPr>
          <w:rFonts w:ascii="Arial" w:hAnsi="Arial"/>
          <w:i/>
          <w:spacing w:val="5"/>
          <w:sz w:val="20"/>
        </w:rPr>
        <w:t> </w:t>
      </w:r>
      <w:r>
        <w:rPr>
          <w:rFonts w:ascii="Arial" w:hAnsi="Arial"/>
          <w:i/>
          <w:sz w:val="20"/>
        </w:rPr>
        <w:t>v</w:t>
      </w:r>
      <w:r>
        <w:rPr>
          <w:rFonts w:ascii="Arial" w:hAnsi="Arial"/>
          <w:i/>
          <w:spacing w:val="6"/>
          <w:sz w:val="20"/>
        </w:rPr>
        <w:t> </w:t>
      </w:r>
      <w:r>
        <w:rPr>
          <w:rFonts w:ascii="Arial" w:hAnsi="Arial"/>
          <w:i/>
          <w:sz w:val="20"/>
        </w:rPr>
        <w:t>Artus</w:t>
      </w:r>
      <w:r>
        <w:rPr>
          <w:rFonts w:ascii="Arial" w:hAnsi="Arial"/>
          <w:i/>
          <w:spacing w:val="6"/>
          <w:sz w:val="20"/>
        </w:rPr>
        <w:t> </w:t>
      </w:r>
      <w:r>
        <w:rPr>
          <w:rFonts w:ascii="Arial" w:hAnsi="Arial"/>
          <w:i/>
          <w:sz w:val="20"/>
        </w:rPr>
        <w:t>[1964]</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Q.B.</w:t>
      </w:r>
      <w:r>
        <w:rPr>
          <w:rFonts w:ascii="Arial" w:hAnsi="Arial"/>
          <w:i/>
          <w:spacing w:val="6"/>
          <w:sz w:val="20"/>
        </w:rPr>
        <w:t> </w:t>
      </w:r>
      <w:r>
        <w:rPr>
          <w:rFonts w:ascii="Arial" w:hAnsi="Arial"/>
          <w:i/>
          <w:sz w:val="20"/>
        </w:rPr>
        <w:t>185</w:t>
      </w:r>
      <w:r>
        <w:rPr>
          <w:sz w:val="20"/>
        </w:rPr>
        <w:t>;</w:t>
      </w:r>
      <w:r>
        <w:rPr>
          <w:spacing w:val="6"/>
          <w:sz w:val="20"/>
        </w:rPr>
        <w:t> </w:t>
      </w:r>
      <w:r>
        <w:rPr>
          <w:rFonts w:ascii="Arial" w:hAnsi="Arial"/>
          <w:i/>
          <w:sz w:val="20"/>
        </w:rPr>
        <w:t>Jare</w:t>
      </w:r>
      <w:r>
        <w:rPr>
          <w:rFonts w:ascii="Arial" w:hAnsi="Arial"/>
          <w:i/>
          <w:spacing w:val="6"/>
          <w:sz w:val="20"/>
        </w:rPr>
        <w:t> </w:t>
      </w:r>
      <w:r>
        <w:rPr>
          <w:rFonts w:ascii="Arial" w:hAnsi="Arial"/>
          <w:i/>
          <w:sz w:val="20"/>
        </w:rPr>
        <w:t>Trä</w:t>
      </w:r>
      <w:r>
        <w:rPr>
          <w:rFonts w:ascii="Arial" w:hAnsi="Arial"/>
          <w:i/>
          <w:spacing w:val="6"/>
          <w:sz w:val="20"/>
        </w:rPr>
        <w:t> </w:t>
      </w:r>
      <w:r>
        <w:rPr>
          <w:rFonts w:ascii="Arial" w:hAnsi="Arial"/>
          <w:i/>
          <w:sz w:val="20"/>
        </w:rPr>
        <w:t>AB</w:t>
      </w:r>
      <w:r>
        <w:rPr>
          <w:rFonts w:ascii="Arial" w:hAnsi="Arial"/>
          <w:i/>
          <w:spacing w:val="6"/>
          <w:sz w:val="20"/>
        </w:rPr>
        <w:t> </w:t>
      </w:r>
      <w:r>
        <w:rPr>
          <w:rFonts w:ascii="Arial" w:hAnsi="Arial"/>
          <w:i/>
          <w:spacing w:val="-10"/>
          <w:sz w:val="20"/>
        </w:rPr>
        <w:t>v</w:t>
      </w:r>
    </w:p>
    <w:p>
      <w:pPr>
        <w:spacing w:line="235" w:lineRule="auto" w:before="1"/>
        <w:ind w:left="705" w:right="0" w:firstLine="0"/>
        <w:jc w:val="left"/>
        <w:rPr>
          <w:sz w:val="20"/>
        </w:rPr>
      </w:pPr>
      <w:r>
        <w:rPr>
          <w:rFonts w:ascii="Arial" w:hAnsi="Arial"/>
          <w:i/>
          <w:sz w:val="20"/>
        </w:rPr>
        <w:t>Convoys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1488</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459</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T.</w:t>
      </w:r>
      <w:r>
        <w:rPr>
          <w:rFonts w:ascii="Arial" w:hAnsi="Arial"/>
          <w:i/>
          <w:spacing w:val="-1"/>
          <w:sz w:val="20"/>
        </w:rPr>
        <w:t> </w:t>
      </w:r>
      <w:r>
        <w:rPr>
          <w:rFonts w:ascii="Arial" w:hAnsi="Arial"/>
          <w:i/>
          <w:sz w:val="20"/>
        </w:rPr>
        <w:t>Comedy</w:t>
      </w:r>
      <w:r>
        <w:rPr>
          <w:rFonts w:ascii="Arial" w:hAnsi="Arial"/>
          <w:i/>
          <w:spacing w:val="-1"/>
          <w:sz w:val="20"/>
        </w:rPr>
        <w:t> </w:t>
      </w:r>
      <w:r>
        <w:rPr>
          <w:rFonts w:ascii="Arial" w:hAnsi="Arial"/>
          <w:i/>
          <w:sz w:val="20"/>
        </w:rPr>
        <w:t>(UK) Ltd v Easy Managed Transport Ltd [2007] EWHC 611 (Comm), [2007] 2 All E.R. (Comm) 282 </w:t>
      </w:r>
      <w:r>
        <w:rPr>
          <w:spacing w:val="-5"/>
          <w:sz w:val="20"/>
        </w:rPr>
        <w:t>at</w:t>
      </w:r>
    </w:p>
    <w:p>
      <w:pPr>
        <w:spacing w:line="235" w:lineRule="auto" w:before="0"/>
        <w:ind w:left="705" w:right="167" w:firstLine="0"/>
        <w:jc w:val="both"/>
        <w:rPr>
          <w:sz w:val="20"/>
        </w:rPr>
      </w:pPr>
      <w:r>
        <w:rPr>
          <w:sz w:val="20"/>
        </w:rPr>
        <w:t>[64] (third party bound by lien arising under contract of carriage by virtue of the doctrine of bailment on terms, referred to at n.784 above). Contrast </w:t>
      </w:r>
      <w:r>
        <w:rPr>
          <w:rFonts w:ascii="Arial" w:hAnsi="Arial"/>
          <w:i/>
          <w:sz w:val="20"/>
        </w:rPr>
        <w:t>Chellaram &amp; Sons Ltd v Butler’s Warehousing and Distributing Ltd [1978] 2 Lloyd’s Rep. 142 </w:t>
      </w:r>
      <w:r>
        <w:rPr>
          <w:sz w:val="20"/>
        </w:rPr>
        <w:t>(third party not bound </w:t>
      </w:r>
      <w:r>
        <w:rPr>
          <w:sz w:val="20"/>
        </w:rPr>
        <w:t>by</w:t>
      </w:r>
      <w:r>
        <w:rPr>
          <w:spacing w:val="40"/>
          <w:sz w:val="20"/>
        </w:rPr>
        <w:t> </w:t>
      </w:r>
      <w:r>
        <w:rPr>
          <w:sz w:val="20"/>
        </w:rPr>
        <w:t>agreement purporting to confer on sub-bailee a lien more extensive than that which would, </w:t>
      </w:r>
      <w:r>
        <w:rPr>
          <w:sz w:val="20"/>
        </w:rPr>
        <w:t>but for such agreement, arise at common law).</w:t>
      </w:r>
    </w:p>
    <w:p>
      <w:pPr>
        <w:pStyle w:val="BodyText"/>
        <w:spacing w:before="7"/>
      </w:pPr>
    </w:p>
    <w:p>
      <w:pPr>
        <w:tabs>
          <w:tab w:pos="705" w:val="left" w:leader="none"/>
        </w:tabs>
        <w:spacing w:line="235" w:lineRule="auto" w:before="0"/>
        <w:ind w:left="705" w:right="168" w:hanging="541"/>
        <w:jc w:val="left"/>
        <w:rPr>
          <w:sz w:val="20"/>
        </w:rPr>
      </w:pPr>
      <w:bookmarkStart w:name="_bookmark1619" w:id="1621"/>
      <w:bookmarkEnd w:id="1621"/>
      <w:r>
        <w:rPr/>
      </w:r>
      <w:hyperlink w:history="true" w:anchor="_bookmark1540">
        <w:r>
          <w:rPr>
            <w:color w:val="005DA1"/>
            <w:spacing w:val="-4"/>
            <w:position w:val="5"/>
            <w:sz w:val="14"/>
            <w:u w:val="single" w:color="005DA1"/>
          </w:rPr>
          <w:t>815</w:t>
        </w:r>
      </w:hyperlink>
      <w:r>
        <w:rPr>
          <w:spacing w:val="-4"/>
          <w:position w:val="5"/>
          <w:sz w:val="14"/>
        </w:rPr>
        <w:t>.</w:t>
      </w:r>
      <w:r>
        <w:rPr>
          <w:position w:val="5"/>
          <w:sz w:val="14"/>
        </w:rPr>
        <w:tab/>
      </w:r>
      <w:r>
        <w:rPr>
          <w:sz w:val="20"/>
        </w:rPr>
        <w:t>As</w:t>
      </w:r>
      <w:r>
        <w:rPr>
          <w:spacing w:val="40"/>
          <w:sz w:val="20"/>
        </w:rPr>
        <w:t> </w:t>
      </w:r>
      <w:r>
        <w:rPr>
          <w:sz w:val="20"/>
        </w:rPr>
        <w:t>in</w:t>
      </w:r>
      <w:r>
        <w:rPr>
          <w:spacing w:val="40"/>
          <w:sz w:val="20"/>
        </w:rPr>
        <w:t> </w:t>
      </w:r>
      <w:r>
        <w:rPr>
          <w:rFonts w:ascii="Arial"/>
          <w:i/>
          <w:sz w:val="20"/>
        </w:rPr>
        <w:t>Ashburn</w:t>
      </w:r>
      <w:r>
        <w:rPr>
          <w:rFonts w:ascii="Arial"/>
          <w:i/>
          <w:spacing w:val="40"/>
          <w:sz w:val="20"/>
        </w:rPr>
        <w:t> </w:t>
      </w:r>
      <w:r>
        <w:rPr>
          <w:rFonts w:ascii="Arial"/>
          <w:i/>
          <w:sz w:val="20"/>
        </w:rPr>
        <w:t>Anstalt</w:t>
      </w:r>
      <w:r>
        <w:rPr>
          <w:rFonts w:ascii="Arial"/>
          <w:i/>
          <w:spacing w:val="40"/>
          <w:sz w:val="20"/>
        </w:rPr>
        <w:t> </w:t>
      </w:r>
      <w:r>
        <w:rPr>
          <w:rFonts w:ascii="Arial"/>
          <w:i/>
          <w:sz w:val="20"/>
        </w:rPr>
        <w:t>v</w:t>
      </w:r>
      <w:r>
        <w:rPr>
          <w:rFonts w:ascii="Arial"/>
          <w:i/>
          <w:spacing w:val="40"/>
          <w:sz w:val="20"/>
        </w:rPr>
        <w:t> </w:t>
      </w:r>
      <w:r>
        <w:rPr>
          <w:rFonts w:ascii="Arial"/>
          <w:i/>
          <w:sz w:val="20"/>
        </w:rPr>
        <w:t>Arnold</w:t>
      </w:r>
      <w:r>
        <w:rPr>
          <w:rFonts w:ascii="Arial"/>
          <w:i/>
          <w:spacing w:val="40"/>
          <w:sz w:val="20"/>
        </w:rPr>
        <w:t> </w:t>
      </w:r>
      <w:r>
        <w:rPr>
          <w:rFonts w:ascii="Arial"/>
          <w:i/>
          <w:sz w:val="20"/>
        </w:rPr>
        <w:t>[1989]</w:t>
      </w:r>
      <w:r>
        <w:rPr>
          <w:rFonts w:ascii="Arial"/>
          <w:i/>
          <w:spacing w:val="40"/>
          <w:sz w:val="20"/>
        </w:rPr>
        <w:t> </w:t>
      </w:r>
      <w:r>
        <w:rPr>
          <w:rFonts w:ascii="Arial"/>
          <w:i/>
          <w:sz w:val="20"/>
        </w:rPr>
        <w:t>Ch.</w:t>
      </w:r>
      <w:r>
        <w:rPr>
          <w:rFonts w:ascii="Arial"/>
          <w:i/>
          <w:spacing w:val="40"/>
          <w:sz w:val="20"/>
        </w:rPr>
        <w:t> </w:t>
      </w:r>
      <w:r>
        <w:rPr>
          <w:rFonts w:ascii="Arial"/>
          <w:i/>
          <w:sz w:val="20"/>
        </w:rPr>
        <w:t>1</w:t>
      </w:r>
      <w:r>
        <w:rPr>
          <w:rFonts w:ascii="Arial"/>
          <w:i/>
          <w:spacing w:val="40"/>
          <w:sz w:val="20"/>
        </w:rPr>
        <w:t> </w:t>
      </w:r>
      <w:r>
        <w:rPr>
          <w:sz w:val="20"/>
        </w:rPr>
        <w:t>(overruled</w:t>
      </w:r>
      <w:r>
        <w:rPr>
          <w:spacing w:val="40"/>
          <w:sz w:val="20"/>
        </w:rPr>
        <w:t> </w:t>
      </w:r>
      <w:r>
        <w:rPr>
          <w:sz w:val="20"/>
        </w:rPr>
        <w:t>on</w:t>
      </w:r>
      <w:r>
        <w:rPr>
          <w:spacing w:val="40"/>
          <w:sz w:val="20"/>
        </w:rPr>
        <w:t> </w:t>
      </w:r>
      <w:r>
        <w:rPr>
          <w:sz w:val="20"/>
        </w:rPr>
        <w:t>another</w:t>
      </w:r>
      <w:r>
        <w:rPr>
          <w:spacing w:val="40"/>
          <w:sz w:val="20"/>
        </w:rPr>
        <w:t> </w:t>
      </w:r>
      <w:r>
        <w:rPr>
          <w:sz w:val="20"/>
        </w:rPr>
        <w:t>ground</w:t>
      </w:r>
      <w:r>
        <w:rPr>
          <w:spacing w:val="40"/>
          <w:sz w:val="20"/>
        </w:rPr>
        <w:t> </w:t>
      </w:r>
      <w:r>
        <w:rPr>
          <w:sz w:val="20"/>
        </w:rPr>
        <w:t>in</w:t>
      </w:r>
      <w:r>
        <w:rPr>
          <w:spacing w:val="40"/>
          <w:sz w:val="20"/>
        </w:rPr>
        <w:t> </w:t>
      </w:r>
      <w:r>
        <w:rPr>
          <w:rFonts w:ascii="Arial"/>
          <w:i/>
          <w:sz w:val="20"/>
        </w:rPr>
        <w:t>Prudential</w:t>
      </w:r>
      <w:r>
        <w:rPr>
          <w:rFonts w:ascii="Arial"/>
          <w:i/>
          <w:spacing w:val="40"/>
          <w:sz w:val="20"/>
        </w:rPr>
        <w:t> </w:t>
      </w:r>
      <w:r>
        <w:rPr>
          <w:rFonts w:ascii="Arial"/>
          <w:i/>
          <w:sz w:val="20"/>
        </w:rPr>
        <w:t>Assurance Co Ltd v London Residuary Body [1992] A.C. 386</w:t>
      </w:r>
      <w:r>
        <w:rPr>
          <w:sz w:val="20"/>
        </w:rPr>
        <w:t>).</w:t>
      </w:r>
    </w:p>
    <w:p>
      <w:pPr>
        <w:pStyle w:val="BodyText"/>
        <w:spacing w:before="9"/>
      </w:pPr>
    </w:p>
    <w:p>
      <w:pPr>
        <w:pStyle w:val="BodyText"/>
        <w:spacing w:line="235" w:lineRule="auto"/>
        <w:ind w:left="705" w:right="167" w:hanging="541"/>
        <w:jc w:val="both"/>
      </w:pPr>
      <w:bookmarkStart w:name="_bookmark1620" w:id="1622"/>
      <w:bookmarkEnd w:id="1622"/>
      <w:r>
        <w:rPr/>
      </w:r>
      <w:hyperlink w:history="true" w:anchor="_bookmark1541">
        <w:r>
          <w:rPr>
            <w:color w:val="005DA1"/>
            <w:position w:val="5"/>
            <w:sz w:val="14"/>
            <w:u w:val="single" w:color="005DA1"/>
          </w:rPr>
          <w:t>816</w:t>
        </w:r>
      </w:hyperlink>
      <w:r>
        <w:rPr>
          <w:position w:val="5"/>
          <w:sz w:val="14"/>
        </w:rPr>
        <w:t>.</w:t>
      </w:r>
      <w:r>
        <w:rPr>
          <w:spacing w:val="40"/>
          <w:position w:val="5"/>
          <w:sz w:val="14"/>
        </w:rPr>
        <w:t>  </w:t>
      </w:r>
      <w:r>
        <w:rPr/>
        <w:t>See </w:t>
      </w:r>
      <w:r>
        <w:rPr>
          <w:rFonts w:ascii="Arial" w:hAnsi="Arial"/>
          <w:i/>
        </w:rPr>
        <w:t>Ashburn Anstalt v Arnold</w:t>
      </w:r>
      <w:r>
        <w:rPr/>
        <w:t>, above n.789, where the mere fact that C had notice of an earlier contract</w:t>
      </w:r>
      <w:r>
        <w:rPr>
          <w:spacing w:val="-1"/>
        </w:rPr>
        <w:t> </w:t>
      </w:r>
      <w:r>
        <w:rPr/>
        <w:t>between</w:t>
      </w:r>
      <w:r>
        <w:rPr>
          <w:spacing w:val="-1"/>
        </w:rPr>
        <w:t> </w:t>
      </w:r>
      <w:r>
        <w:rPr/>
        <w:t>A</w:t>
      </w:r>
      <w:r>
        <w:rPr>
          <w:spacing w:val="-1"/>
        </w:rPr>
        <w:t> </w:t>
      </w:r>
      <w:r>
        <w:rPr/>
        <w:t>and</w:t>
      </w:r>
      <w:r>
        <w:rPr>
          <w:spacing w:val="-1"/>
        </w:rPr>
        <w:t> </w:t>
      </w:r>
      <w:r>
        <w:rPr/>
        <w:t>B</w:t>
      </w:r>
      <w:r>
        <w:rPr>
          <w:spacing w:val="-1"/>
        </w:rPr>
        <w:t> </w:t>
      </w:r>
      <w:r>
        <w:rPr/>
        <w:t>was</w:t>
      </w:r>
      <w:r>
        <w:rPr>
          <w:spacing w:val="-1"/>
        </w:rPr>
        <w:t> </w:t>
      </w:r>
      <w:r>
        <w:rPr/>
        <w:t>said</w:t>
      </w:r>
      <w:r>
        <w:rPr>
          <w:spacing w:val="-1"/>
        </w:rPr>
        <w:t> </w:t>
      </w:r>
      <w:r>
        <w:rPr/>
        <w:t>at</w:t>
      </w:r>
      <w:r>
        <w:rPr>
          <w:spacing w:val="-1"/>
        </w:rPr>
        <w:t> </w:t>
      </w:r>
      <w:r>
        <w:rPr/>
        <w:t>25–26</w:t>
      </w:r>
      <w:r>
        <w:rPr>
          <w:spacing w:val="-1"/>
        </w:rPr>
        <w:t> </w:t>
      </w:r>
      <w:r>
        <w:rPr/>
        <w:t>to</w:t>
      </w:r>
      <w:r>
        <w:rPr>
          <w:spacing w:val="-1"/>
        </w:rPr>
        <w:t> </w:t>
      </w:r>
      <w:r>
        <w:rPr/>
        <w:t>be</w:t>
      </w:r>
      <w:r>
        <w:rPr>
          <w:spacing w:val="-1"/>
        </w:rPr>
        <w:t> </w:t>
      </w:r>
      <w:r>
        <w:rPr/>
        <w:t>insufficient</w:t>
      </w:r>
      <w:r>
        <w:rPr>
          <w:spacing w:val="-1"/>
        </w:rPr>
        <w:t> </w:t>
      </w:r>
      <w:r>
        <w:rPr/>
        <w:t>to</w:t>
      </w:r>
      <w:r>
        <w:rPr>
          <w:spacing w:val="-1"/>
        </w:rPr>
        <w:t> </w:t>
      </w:r>
      <w:r>
        <w:rPr/>
        <w:t>give</w:t>
      </w:r>
      <w:r>
        <w:rPr>
          <w:spacing w:val="-1"/>
        </w:rPr>
        <w:t> </w:t>
      </w:r>
      <w:r>
        <w:rPr/>
        <w:t>rise</w:t>
      </w:r>
      <w:r>
        <w:rPr>
          <w:spacing w:val="-1"/>
        </w:rPr>
        <w:t> </w:t>
      </w:r>
      <w:r>
        <w:rPr/>
        <w:t>to</w:t>
      </w:r>
      <w:r>
        <w:rPr>
          <w:spacing w:val="-1"/>
        </w:rPr>
        <w:t> </w:t>
      </w:r>
      <w:r>
        <w:rPr/>
        <w:t>a</w:t>
      </w:r>
      <w:r>
        <w:rPr>
          <w:spacing w:val="-1"/>
        </w:rPr>
        <w:t> </w:t>
      </w:r>
      <w:r>
        <w:rPr/>
        <w:t>constructive</w:t>
      </w:r>
      <w:r>
        <w:rPr>
          <w:spacing w:val="-1"/>
        </w:rPr>
        <w:t> </w:t>
      </w:r>
      <w:r>
        <w:rPr/>
        <w:t>trust on C’s acquisition of the land affected by that contract; and where Fox L.J. (delivering the judgment of the court) at 17 disapproved dicta in </w:t>
      </w:r>
      <w:r>
        <w:rPr>
          <w:rFonts w:ascii="Arial" w:hAnsi="Arial"/>
          <w:i/>
        </w:rPr>
        <w:t>Errington v Errington [1952] 1 K.B. 290</w:t>
      </w:r>
      <w:r>
        <w:rPr/>
        <w:t>, to the effect that a contractual licence to occupy land granted by A to B gave rise to an equitable interest</w:t>
      </w:r>
      <w:r>
        <w:rPr>
          <w:spacing w:val="42"/>
        </w:rPr>
        <w:t> </w:t>
      </w:r>
      <w:r>
        <w:rPr/>
        <w:t>binding</w:t>
      </w:r>
      <w:r>
        <w:rPr>
          <w:spacing w:val="44"/>
        </w:rPr>
        <w:t> </w:t>
      </w:r>
      <w:r>
        <w:rPr/>
        <w:t>third</w:t>
      </w:r>
      <w:r>
        <w:rPr>
          <w:spacing w:val="44"/>
        </w:rPr>
        <w:t> </w:t>
      </w:r>
      <w:r>
        <w:rPr/>
        <w:t>parties;</w:t>
      </w:r>
      <w:r>
        <w:rPr>
          <w:spacing w:val="44"/>
        </w:rPr>
        <w:t> </w:t>
      </w:r>
      <w:r>
        <w:rPr/>
        <w:t>Hill</w:t>
      </w:r>
      <w:r>
        <w:rPr>
          <w:spacing w:val="44"/>
        </w:rPr>
        <w:t> </w:t>
      </w:r>
      <w:r>
        <w:rPr/>
        <w:t>(1988)</w:t>
      </w:r>
      <w:r>
        <w:rPr>
          <w:spacing w:val="44"/>
        </w:rPr>
        <w:t> </w:t>
      </w:r>
      <w:r>
        <w:rPr/>
        <w:t>51</w:t>
      </w:r>
      <w:r>
        <w:rPr>
          <w:spacing w:val="44"/>
        </w:rPr>
        <w:t> </w:t>
      </w:r>
      <w:r>
        <w:rPr/>
        <w:t>M.L.R.</w:t>
      </w:r>
      <w:r>
        <w:rPr>
          <w:spacing w:val="44"/>
        </w:rPr>
        <w:t> </w:t>
      </w:r>
      <w:r>
        <w:rPr/>
        <w:t>226;</w:t>
      </w:r>
      <w:r>
        <w:rPr>
          <w:spacing w:val="44"/>
        </w:rPr>
        <w:t> </w:t>
      </w:r>
      <w:r>
        <w:rPr/>
        <w:t>Oakley</w:t>
      </w:r>
      <w:r>
        <w:rPr>
          <w:spacing w:val="44"/>
        </w:rPr>
        <w:t> </w:t>
      </w:r>
      <w:r>
        <w:rPr/>
        <w:t>[1988]</w:t>
      </w:r>
      <w:r>
        <w:rPr>
          <w:spacing w:val="44"/>
        </w:rPr>
        <w:t> </w:t>
      </w:r>
      <w:r>
        <w:rPr/>
        <w:t>C.L.J.</w:t>
      </w:r>
      <w:r>
        <w:rPr>
          <w:spacing w:val="44"/>
        </w:rPr>
        <w:t> </w:t>
      </w:r>
      <w:r>
        <w:rPr/>
        <w:t>353.</w:t>
      </w:r>
      <w:r>
        <w:rPr>
          <w:spacing w:val="44"/>
        </w:rPr>
        <w:t> </w:t>
      </w:r>
      <w:r>
        <w:rPr/>
        <w:t>cf.</w:t>
      </w:r>
      <w:r>
        <w:rPr>
          <w:spacing w:val="44"/>
        </w:rPr>
        <w:t> </w:t>
      </w:r>
      <w:r>
        <w:rPr>
          <w:spacing w:val="-4"/>
        </w:rPr>
        <w:t>also</w:t>
      </w:r>
    </w:p>
    <w:p>
      <w:pPr>
        <w:spacing w:line="235" w:lineRule="auto" w:before="0"/>
        <w:ind w:left="705" w:right="168" w:firstLine="0"/>
        <w:jc w:val="both"/>
        <w:rPr>
          <w:rFonts w:ascii="Arial"/>
          <w:i/>
          <w:sz w:val="20"/>
        </w:rPr>
      </w:pPr>
      <w:r>
        <w:rPr>
          <w:rFonts w:ascii="Arial"/>
          <w:i/>
          <w:sz w:val="20"/>
        </w:rPr>
        <w:t>Binions v Evans [1972] Ch. 359</w:t>
      </w:r>
      <w:r>
        <w:rPr>
          <w:sz w:val="20"/>
        </w:rPr>
        <w:t>; Smith [1973] C.L.J. 81; </w:t>
      </w:r>
      <w:r>
        <w:rPr>
          <w:rFonts w:ascii="Arial"/>
          <w:i/>
          <w:sz w:val="20"/>
        </w:rPr>
        <w:t>Re Sharpe [1980] 1 W.L.R. 219</w:t>
      </w:r>
      <w:r>
        <w:rPr>
          <w:sz w:val="20"/>
        </w:rPr>
        <w:t>; </w:t>
      </w:r>
      <w:r>
        <w:rPr>
          <w:rFonts w:ascii="Arial"/>
          <w:i/>
          <w:sz w:val="20"/>
        </w:rPr>
        <w:t>Pritchard</w:t>
      </w:r>
      <w:r>
        <w:rPr>
          <w:rFonts w:ascii="Arial"/>
          <w:i/>
          <w:spacing w:val="12"/>
          <w:sz w:val="20"/>
        </w:rPr>
        <w:t> </w:t>
      </w:r>
      <w:r>
        <w:rPr>
          <w:rFonts w:ascii="Arial"/>
          <w:i/>
          <w:sz w:val="20"/>
        </w:rPr>
        <w:t>v</w:t>
      </w:r>
      <w:r>
        <w:rPr>
          <w:rFonts w:ascii="Arial"/>
          <w:i/>
          <w:spacing w:val="12"/>
          <w:sz w:val="20"/>
        </w:rPr>
        <w:t> </w:t>
      </w:r>
      <w:r>
        <w:rPr>
          <w:rFonts w:ascii="Arial"/>
          <w:i/>
          <w:sz w:val="20"/>
        </w:rPr>
        <w:t>Briggs</w:t>
      </w:r>
      <w:r>
        <w:rPr>
          <w:rFonts w:ascii="Arial"/>
          <w:i/>
          <w:spacing w:val="12"/>
          <w:sz w:val="20"/>
        </w:rPr>
        <w:t> </w:t>
      </w:r>
      <w:r>
        <w:rPr>
          <w:rFonts w:ascii="Arial"/>
          <w:i/>
          <w:sz w:val="20"/>
        </w:rPr>
        <w:t>[1980]</w:t>
      </w:r>
      <w:r>
        <w:rPr>
          <w:rFonts w:ascii="Arial"/>
          <w:i/>
          <w:spacing w:val="12"/>
          <w:sz w:val="20"/>
        </w:rPr>
        <w:t> </w:t>
      </w:r>
      <w:r>
        <w:rPr>
          <w:rFonts w:ascii="Arial"/>
          <w:i/>
          <w:sz w:val="20"/>
        </w:rPr>
        <w:t>Ch.</w:t>
      </w:r>
      <w:r>
        <w:rPr>
          <w:rFonts w:ascii="Arial"/>
          <w:i/>
          <w:spacing w:val="12"/>
          <w:sz w:val="20"/>
        </w:rPr>
        <w:t> </w:t>
      </w:r>
      <w:r>
        <w:rPr>
          <w:rFonts w:ascii="Arial"/>
          <w:i/>
          <w:sz w:val="20"/>
        </w:rPr>
        <w:t>338</w:t>
      </w:r>
      <w:r>
        <w:rPr>
          <w:rFonts w:ascii="Arial"/>
          <w:i/>
          <w:spacing w:val="11"/>
          <w:sz w:val="20"/>
        </w:rPr>
        <w:t> </w:t>
      </w:r>
      <w:r>
        <w:rPr>
          <w:sz w:val="20"/>
        </w:rPr>
        <w:t>(option</w:t>
      </w:r>
      <w:r>
        <w:rPr>
          <w:spacing w:val="12"/>
          <w:sz w:val="20"/>
        </w:rPr>
        <w:t> </w:t>
      </w:r>
      <w:r>
        <w:rPr>
          <w:sz w:val="20"/>
        </w:rPr>
        <w:t>to</w:t>
      </w:r>
      <w:r>
        <w:rPr>
          <w:spacing w:val="12"/>
          <w:sz w:val="20"/>
        </w:rPr>
        <w:t> </w:t>
      </w:r>
      <w:r>
        <w:rPr>
          <w:sz w:val="20"/>
        </w:rPr>
        <w:t>purchase);</w:t>
      </w:r>
      <w:r>
        <w:rPr>
          <w:spacing w:val="11"/>
          <w:sz w:val="20"/>
        </w:rPr>
        <w:t> </w:t>
      </w:r>
      <w:r>
        <w:rPr>
          <w:rFonts w:ascii="Arial"/>
          <w:i/>
          <w:sz w:val="20"/>
        </w:rPr>
        <w:t>Lyus</w:t>
      </w:r>
      <w:r>
        <w:rPr>
          <w:rFonts w:ascii="Arial"/>
          <w:i/>
          <w:spacing w:val="12"/>
          <w:sz w:val="20"/>
        </w:rPr>
        <w:t> </w:t>
      </w:r>
      <w:r>
        <w:rPr>
          <w:rFonts w:ascii="Arial"/>
          <w:i/>
          <w:sz w:val="20"/>
        </w:rPr>
        <w:t>v</w:t>
      </w:r>
      <w:r>
        <w:rPr>
          <w:rFonts w:ascii="Arial"/>
          <w:i/>
          <w:spacing w:val="12"/>
          <w:sz w:val="20"/>
        </w:rPr>
        <w:t> </w:t>
      </w:r>
      <w:r>
        <w:rPr>
          <w:rFonts w:ascii="Arial"/>
          <w:i/>
          <w:sz w:val="20"/>
        </w:rPr>
        <w:t>Prowsa</w:t>
      </w:r>
      <w:r>
        <w:rPr>
          <w:rFonts w:ascii="Arial"/>
          <w:i/>
          <w:spacing w:val="12"/>
          <w:sz w:val="20"/>
        </w:rPr>
        <w:t> </w:t>
      </w:r>
      <w:r>
        <w:rPr>
          <w:rFonts w:ascii="Arial"/>
          <w:i/>
          <w:sz w:val="20"/>
        </w:rPr>
        <w:t>Developments</w:t>
      </w:r>
      <w:r>
        <w:rPr>
          <w:rFonts w:ascii="Arial"/>
          <w:i/>
          <w:spacing w:val="12"/>
          <w:sz w:val="20"/>
        </w:rPr>
        <w:t> </w:t>
      </w:r>
      <w:r>
        <w:rPr>
          <w:rFonts w:ascii="Arial"/>
          <w:i/>
          <w:sz w:val="20"/>
        </w:rPr>
        <w:t>[1982]</w:t>
      </w:r>
      <w:r>
        <w:rPr>
          <w:rFonts w:ascii="Arial"/>
          <w:i/>
          <w:spacing w:val="12"/>
          <w:sz w:val="20"/>
        </w:rPr>
        <w:t> </w:t>
      </w:r>
      <w:r>
        <w:rPr>
          <w:rFonts w:ascii="Arial"/>
          <w:i/>
          <w:spacing w:val="-10"/>
          <w:sz w:val="20"/>
        </w:rPr>
        <w:t>1</w:t>
      </w:r>
    </w:p>
    <w:p>
      <w:pPr>
        <w:spacing w:line="223" w:lineRule="exact" w:before="0"/>
        <w:ind w:left="705" w:right="0" w:firstLine="0"/>
        <w:jc w:val="left"/>
        <w:rPr>
          <w:sz w:val="20"/>
        </w:rPr>
      </w:pPr>
      <w:r>
        <w:rPr>
          <w:rFonts w:ascii="Arial"/>
          <w:i/>
          <w:sz w:val="20"/>
        </w:rPr>
        <w:t>W.L.R.</w:t>
      </w:r>
      <w:r>
        <w:rPr>
          <w:rFonts w:ascii="Arial"/>
          <w:i/>
          <w:spacing w:val="52"/>
          <w:sz w:val="20"/>
        </w:rPr>
        <w:t> </w:t>
      </w:r>
      <w:r>
        <w:rPr>
          <w:rFonts w:ascii="Arial"/>
          <w:i/>
          <w:sz w:val="20"/>
        </w:rPr>
        <w:t>1044</w:t>
      </w:r>
      <w:r>
        <w:rPr>
          <w:sz w:val="20"/>
        </w:rPr>
        <w:t>;</w:t>
      </w:r>
      <w:r>
        <w:rPr>
          <w:spacing w:val="53"/>
          <w:sz w:val="20"/>
        </w:rPr>
        <w:t> </w:t>
      </w:r>
      <w:r>
        <w:rPr>
          <w:rFonts w:ascii="Arial"/>
          <w:i/>
          <w:sz w:val="20"/>
        </w:rPr>
        <w:t>Lloyd</w:t>
      </w:r>
      <w:r>
        <w:rPr>
          <w:rFonts w:ascii="Arial"/>
          <w:i/>
          <w:spacing w:val="53"/>
          <w:sz w:val="20"/>
        </w:rPr>
        <w:t> </w:t>
      </w:r>
      <w:r>
        <w:rPr>
          <w:rFonts w:ascii="Arial"/>
          <w:i/>
          <w:sz w:val="20"/>
        </w:rPr>
        <w:t>v</w:t>
      </w:r>
      <w:r>
        <w:rPr>
          <w:rFonts w:ascii="Arial"/>
          <w:i/>
          <w:spacing w:val="53"/>
          <w:sz w:val="20"/>
        </w:rPr>
        <w:t> </w:t>
      </w:r>
      <w:r>
        <w:rPr>
          <w:rFonts w:ascii="Arial"/>
          <w:i/>
          <w:sz w:val="20"/>
        </w:rPr>
        <w:t>Dugdale</w:t>
      </w:r>
      <w:r>
        <w:rPr>
          <w:rFonts w:ascii="Arial"/>
          <w:i/>
          <w:spacing w:val="53"/>
          <w:sz w:val="20"/>
        </w:rPr>
        <w:t> </w:t>
      </w:r>
      <w:r>
        <w:rPr>
          <w:rFonts w:ascii="Arial"/>
          <w:i/>
          <w:sz w:val="20"/>
        </w:rPr>
        <w:t>[2001]</w:t>
      </w:r>
      <w:r>
        <w:rPr>
          <w:rFonts w:ascii="Arial"/>
          <w:i/>
          <w:spacing w:val="53"/>
          <w:sz w:val="20"/>
        </w:rPr>
        <w:t> </w:t>
      </w:r>
      <w:r>
        <w:rPr>
          <w:rFonts w:ascii="Arial"/>
          <w:i/>
          <w:sz w:val="20"/>
        </w:rPr>
        <w:t>EWCA</w:t>
      </w:r>
      <w:r>
        <w:rPr>
          <w:rFonts w:ascii="Arial"/>
          <w:i/>
          <w:spacing w:val="52"/>
          <w:sz w:val="20"/>
        </w:rPr>
        <w:t> </w:t>
      </w:r>
      <w:r>
        <w:rPr>
          <w:rFonts w:ascii="Arial"/>
          <w:i/>
          <w:sz w:val="20"/>
        </w:rPr>
        <w:t>Civ</w:t>
      </w:r>
      <w:r>
        <w:rPr>
          <w:rFonts w:ascii="Arial"/>
          <w:i/>
          <w:spacing w:val="53"/>
          <w:sz w:val="20"/>
        </w:rPr>
        <w:t> </w:t>
      </w:r>
      <w:r>
        <w:rPr>
          <w:rFonts w:ascii="Arial"/>
          <w:i/>
          <w:sz w:val="20"/>
        </w:rPr>
        <w:t>1754;</w:t>
      </w:r>
      <w:r>
        <w:rPr>
          <w:rFonts w:ascii="Arial"/>
          <w:i/>
          <w:spacing w:val="53"/>
          <w:sz w:val="20"/>
        </w:rPr>
        <w:t> </w:t>
      </w:r>
      <w:r>
        <w:rPr>
          <w:rFonts w:ascii="Arial"/>
          <w:i/>
          <w:sz w:val="20"/>
        </w:rPr>
        <w:t>[2001]</w:t>
      </w:r>
      <w:r>
        <w:rPr>
          <w:rFonts w:ascii="Arial"/>
          <w:i/>
          <w:spacing w:val="53"/>
          <w:sz w:val="20"/>
        </w:rPr>
        <w:t> </w:t>
      </w:r>
      <w:r>
        <w:rPr>
          <w:rFonts w:ascii="Arial"/>
          <w:i/>
          <w:sz w:val="20"/>
        </w:rPr>
        <w:t>48</w:t>
      </w:r>
      <w:r>
        <w:rPr>
          <w:rFonts w:ascii="Arial"/>
          <w:i/>
          <w:spacing w:val="53"/>
          <w:sz w:val="20"/>
        </w:rPr>
        <w:t> </w:t>
      </w:r>
      <w:r>
        <w:rPr>
          <w:rFonts w:ascii="Arial"/>
          <w:i/>
          <w:sz w:val="20"/>
        </w:rPr>
        <w:t>E.G.C.S.</w:t>
      </w:r>
      <w:r>
        <w:rPr>
          <w:rFonts w:ascii="Arial"/>
          <w:i/>
          <w:spacing w:val="53"/>
          <w:sz w:val="20"/>
        </w:rPr>
        <w:t> </w:t>
      </w:r>
      <w:r>
        <w:rPr>
          <w:rFonts w:ascii="Arial"/>
          <w:i/>
          <w:sz w:val="20"/>
        </w:rPr>
        <w:t>129</w:t>
      </w:r>
      <w:r>
        <w:rPr>
          <w:sz w:val="20"/>
        </w:rPr>
        <w:t>;</w:t>
      </w:r>
      <w:r>
        <w:rPr>
          <w:spacing w:val="53"/>
          <w:sz w:val="20"/>
        </w:rPr>
        <w:t> </w:t>
      </w:r>
      <w:r>
        <w:rPr>
          <w:spacing w:val="-2"/>
          <w:sz w:val="20"/>
        </w:rPr>
        <w:t>contrast</w:t>
      </w:r>
    </w:p>
    <w:p>
      <w:pPr>
        <w:spacing w:line="235" w:lineRule="auto" w:before="0"/>
        <w:ind w:left="705" w:right="167" w:firstLine="0"/>
        <w:jc w:val="both"/>
        <w:rPr>
          <w:sz w:val="20"/>
        </w:rPr>
      </w:pPr>
      <w:r>
        <w:rPr>
          <w:rFonts w:ascii="Arial" w:hAnsi="Arial"/>
          <w:i/>
          <w:sz w:val="20"/>
        </w:rPr>
        <w:t>Chaudhary v Yavus [2011] EWCA Civ 1314, [2012] 2 All E.R. 418</w:t>
      </w:r>
      <w:r>
        <w:rPr>
          <w:sz w:val="20"/>
        </w:rPr>
        <w:t>, where </w:t>
      </w:r>
      <w:r>
        <w:rPr>
          <w:rFonts w:ascii="Arial" w:hAnsi="Arial"/>
          <w:i/>
          <w:sz w:val="20"/>
        </w:rPr>
        <w:t>Lyus v Prowsa Development </w:t>
      </w:r>
      <w:r>
        <w:rPr>
          <w:sz w:val="20"/>
        </w:rPr>
        <w:t>was described as a “very unusual” (at [61]) or “exceptional” (at [64]) case </w:t>
      </w:r>
      <w:r>
        <w:rPr>
          <w:sz w:val="20"/>
        </w:rPr>
        <w:t>and distinguished on the ground that, in the </w:t>
      </w:r>
      <w:r>
        <w:rPr>
          <w:rFonts w:ascii="Arial" w:hAnsi="Arial"/>
          <w:i/>
          <w:sz w:val="20"/>
        </w:rPr>
        <w:t>Chaudhary </w:t>
      </w:r>
      <w:r>
        <w:rPr>
          <w:sz w:val="20"/>
        </w:rPr>
        <w:t>case, there was “nothing in the contract to draw specific attention to [the third party’s right]” (at [58]); and </w:t>
      </w:r>
      <w:r>
        <w:rPr>
          <w:rFonts w:ascii="Arial" w:hAnsi="Arial"/>
          <w:i/>
          <w:sz w:val="20"/>
        </w:rPr>
        <w:t>Lloyd v Dugdale </w:t>
      </w:r>
      <w:r>
        <w:rPr>
          <w:sz w:val="20"/>
        </w:rPr>
        <w:t>was also distinguished on the ground that there was nothing in the contract in the </w:t>
      </w:r>
      <w:r>
        <w:rPr>
          <w:rFonts w:ascii="Arial" w:hAnsi="Arial"/>
          <w:i/>
          <w:sz w:val="20"/>
        </w:rPr>
        <w:t>Chaudhary </w:t>
      </w:r>
      <w:r>
        <w:rPr>
          <w:sz w:val="20"/>
        </w:rPr>
        <w:t>case “to allow the court to conclude that by [that] contract the purchaser had undertaken to give effect to “the third party’s interest” (at [59]).</w:t>
      </w:r>
    </w:p>
    <w:p>
      <w:pPr>
        <w:pStyle w:val="BodyText"/>
        <w:spacing w:before="3"/>
      </w:pPr>
    </w:p>
    <w:p>
      <w:pPr>
        <w:tabs>
          <w:tab w:pos="705" w:val="left" w:leader="none"/>
        </w:tabs>
        <w:spacing w:line="227" w:lineRule="exact" w:before="0"/>
        <w:ind w:left="165" w:right="0" w:firstLine="0"/>
        <w:jc w:val="left"/>
        <w:rPr>
          <w:sz w:val="20"/>
        </w:rPr>
      </w:pPr>
      <w:bookmarkStart w:name="_bookmark1621" w:id="1623"/>
      <w:bookmarkEnd w:id="1623"/>
      <w:r>
        <w:rPr/>
      </w:r>
      <w:hyperlink w:history="true" w:anchor="_bookmark1542">
        <w:r>
          <w:rPr>
            <w:color w:val="005DA1"/>
            <w:spacing w:val="-4"/>
            <w:position w:val="5"/>
            <w:sz w:val="14"/>
            <w:u w:val="single" w:color="005DA1"/>
          </w:rPr>
          <w:t>817</w:t>
        </w:r>
      </w:hyperlink>
      <w:r>
        <w:rPr>
          <w:spacing w:val="-4"/>
          <w:position w:val="5"/>
          <w:sz w:val="14"/>
        </w:rPr>
        <w:t>.</w:t>
      </w:r>
      <w:r>
        <w:rPr>
          <w:position w:val="5"/>
          <w:sz w:val="14"/>
        </w:rPr>
        <w:tab/>
      </w:r>
      <w:r>
        <w:rPr>
          <w:rFonts w:ascii="Arial"/>
          <w:i/>
          <w:sz w:val="20"/>
        </w:rPr>
        <w:t>(1853)</w:t>
      </w:r>
      <w:r>
        <w:rPr>
          <w:rFonts w:ascii="Arial"/>
          <w:i/>
          <w:spacing w:val="5"/>
          <w:sz w:val="20"/>
        </w:rPr>
        <w:t> </w:t>
      </w:r>
      <w:r>
        <w:rPr>
          <w:rFonts w:ascii="Arial"/>
          <w:i/>
          <w:sz w:val="20"/>
        </w:rPr>
        <w:t>2</w:t>
      </w:r>
      <w:r>
        <w:rPr>
          <w:rFonts w:ascii="Arial"/>
          <w:i/>
          <w:spacing w:val="6"/>
          <w:sz w:val="20"/>
        </w:rPr>
        <w:t> </w:t>
      </w:r>
      <w:r>
        <w:rPr>
          <w:rFonts w:ascii="Arial"/>
          <w:i/>
          <w:sz w:val="20"/>
        </w:rPr>
        <w:t>E.&amp;B.</w:t>
      </w:r>
      <w:r>
        <w:rPr>
          <w:rFonts w:ascii="Arial"/>
          <w:i/>
          <w:spacing w:val="6"/>
          <w:sz w:val="20"/>
        </w:rPr>
        <w:t> </w:t>
      </w:r>
      <w:r>
        <w:rPr>
          <w:rFonts w:ascii="Arial"/>
          <w:i/>
          <w:sz w:val="20"/>
        </w:rPr>
        <w:t>216</w:t>
      </w:r>
      <w:r>
        <w:rPr>
          <w:sz w:val="20"/>
        </w:rPr>
        <w:t>;</w:t>
      </w:r>
      <w:r>
        <w:rPr>
          <w:spacing w:val="6"/>
          <w:sz w:val="20"/>
        </w:rPr>
        <w:t> </w:t>
      </w:r>
      <w:r>
        <w:rPr>
          <w:sz w:val="20"/>
        </w:rPr>
        <w:t>for</w:t>
      </w:r>
      <w:r>
        <w:rPr>
          <w:spacing w:val="6"/>
          <w:sz w:val="20"/>
        </w:rPr>
        <w:t> </w:t>
      </w:r>
      <w:r>
        <w:rPr>
          <w:sz w:val="20"/>
        </w:rPr>
        <w:t>further</w:t>
      </w:r>
      <w:r>
        <w:rPr>
          <w:spacing w:val="6"/>
          <w:sz w:val="20"/>
        </w:rPr>
        <w:t> </w:t>
      </w:r>
      <w:r>
        <w:rPr>
          <w:sz w:val="20"/>
        </w:rPr>
        <w:t>proceedings,</w:t>
      </w:r>
      <w:r>
        <w:rPr>
          <w:spacing w:val="6"/>
          <w:sz w:val="20"/>
        </w:rPr>
        <w:t> </w:t>
      </w:r>
      <w:r>
        <w:rPr>
          <w:sz w:val="20"/>
        </w:rPr>
        <w:t>see</w:t>
      </w:r>
      <w:r>
        <w:rPr>
          <w:spacing w:val="6"/>
          <w:sz w:val="20"/>
        </w:rPr>
        <w:t> </w:t>
      </w:r>
      <w:r>
        <w:rPr>
          <w:sz w:val="20"/>
        </w:rPr>
        <w:t>23</w:t>
      </w:r>
      <w:r>
        <w:rPr>
          <w:spacing w:val="6"/>
          <w:sz w:val="20"/>
        </w:rPr>
        <w:t> </w:t>
      </w:r>
      <w:r>
        <w:rPr>
          <w:sz w:val="20"/>
        </w:rPr>
        <w:t>L.T.</w:t>
      </w:r>
      <w:r>
        <w:rPr>
          <w:spacing w:val="6"/>
          <w:sz w:val="20"/>
        </w:rPr>
        <w:t> </w:t>
      </w:r>
      <w:r>
        <w:rPr>
          <w:sz w:val="20"/>
        </w:rPr>
        <w:t>66,</w:t>
      </w:r>
      <w:r>
        <w:rPr>
          <w:spacing w:val="6"/>
          <w:sz w:val="20"/>
        </w:rPr>
        <w:t> </w:t>
      </w:r>
      <w:r>
        <w:rPr>
          <w:sz w:val="20"/>
        </w:rPr>
        <w:t>18</w:t>
      </w:r>
      <w:r>
        <w:rPr>
          <w:spacing w:val="6"/>
          <w:sz w:val="20"/>
        </w:rPr>
        <w:t> </w:t>
      </w:r>
      <w:r>
        <w:rPr>
          <w:sz w:val="20"/>
        </w:rPr>
        <w:t>Jur.</w:t>
      </w:r>
      <w:r>
        <w:rPr>
          <w:spacing w:val="6"/>
          <w:sz w:val="20"/>
        </w:rPr>
        <w:t> </w:t>
      </w:r>
      <w:r>
        <w:rPr>
          <w:sz w:val="20"/>
        </w:rPr>
        <w:t>&amp;</w:t>
      </w:r>
      <w:r>
        <w:rPr>
          <w:spacing w:val="6"/>
          <w:sz w:val="20"/>
        </w:rPr>
        <w:t> </w:t>
      </w:r>
      <w:r>
        <w:rPr>
          <w:sz w:val="20"/>
        </w:rPr>
        <w:t>68</w:t>
      </w:r>
      <w:r>
        <w:rPr>
          <w:spacing w:val="6"/>
          <w:sz w:val="20"/>
        </w:rPr>
        <w:t> </w:t>
      </w:r>
      <w:r>
        <w:rPr>
          <w:sz w:val="20"/>
        </w:rPr>
        <w:t>n.,</w:t>
      </w:r>
      <w:r>
        <w:rPr>
          <w:spacing w:val="6"/>
          <w:sz w:val="20"/>
        </w:rPr>
        <w:t> </w:t>
      </w:r>
      <w:r>
        <w:rPr>
          <w:sz w:val="20"/>
        </w:rPr>
        <w:t>23</w:t>
      </w:r>
      <w:r>
        <w:rPr>
          <w:spacing w:val="6"/>
          <w:sz w:val="20"/>
        </w:rPr>
        <w:t> </w:t>
      </w:r>
      <w:r>
        <w:rPr>
          <w:sz w:val="20"/>
        </w:rPr>
        <w:t>L.J.Q.B.</w:t>
      </w:r>
      <w:r>
        <w:rPr>
          <w:spacing w:val="6"/>
          <w:sz w:val="20"/>
        </w:rPr>
        <w:t> </w:t>
      </w:r>
      <w:r>
        <w:rPr>
          <w:spacing w:val="-2"/>
          <w:sz w:val="20"/>
        </w:rPr>
        <w:t>116n.;</w:t>
      </w:r>
    </w:p>
    <w:p>
      <w:pPr>
        <w:pStyle w:val="BodyText"/>
        <w:spacing w:line="227" w:lineRule="exact"/>
        <w:ind w:left="705"/>
      </w:pPr>
      <w:r>
        <w:rPr/>
        <w:t>Waddams (2001) 117 L.Q.R. </w:t>
      </w:r>
      <w:r>
        <w:rPr>
          <w:spacing w:val="-4"/>
        </w:rPr>
        <w:t>431.</w:t>
      </w:r>
    </w:p>
    <w:p>
      <w:pPr>
        <w:pStyle w:val="BodyText"/>
        <w:spacing w:before="9"/>
      </w:pPr>
    </w:p>
    <w:p>
      <w:pPr>
        <w:spacing w:line="235" w:lineRule="auto" w:before="0"/>
        <w:ind w:left="705" w:right="168" w:hanging="541"/>
        <w:jc w:val="both"/>
        <w:rPr>
          <w:sz w:val="20"/>
        </w:rPr>
      </w:pPr>
      <w:bookmarkStart w:name="_bookmark1622" w:id="1624"/>
      <w:bookmarkEnd w:id="1624"/>
      <w:r>
        <w:rPr/>
      </w:r>
      <w:hyperlink w:history="true" w:anchor="_bookmark1543">
        <w:r>
          <w:rPr>
            <w:color w:val="005DA1"/>
            <w:position w:val="5"/>
            <w:sz w:val="14"/>
            <w:u w:val="single" w:color="005DA1"/>
          </w:rPr>
          <w:t>818</w:t>
        </w:r>
      </w:hyperlink>
      <w:r>
        <w:rPr>
          <w:position w:val="5"/>
          <w:sz w:val="14"/>
        </w:rPr>
        <w:t>.</w:t>
      </w:r>
      <w:r>
        <w:rPr>
          <w:spacing w:val="80"/>
          <w:position w:val="5"/>
          <w:sz w:val="14"/>
        </w:rPr>
        <w:t>  </w:t>
      </w:r>
      <w:r>
        <w:rPr>
          <w:sz w:val="20"/>
        </w:rPr>
        <w:t>“Maliciously” in </w:t>
      </w:r>
      <w:r>
        <w:rPr>
          <w:rFonts w:ascii="Arial" w:hAnsi="Arial"/>
          <w:i/>
          <w:sz w:val="20"/>
        </w:rPr>
        <w:t>Lumley v Gye </w:t>
      </w:r>
      <w:r>
        <w:rPr>
          <w:sz w:val="20"/>
        </w:rPr>
        <w:t>(above, n.791) meant no more than that “the defendant intended to procure a breach of contract”: </w:t>
      </w:r>
      <w:r>
        <w:rPr>
          <w:rFonts w:ascii="Arial" w:hAnsi="Arial"/>
          <w:i/>
          <w:sz w:val="20"/>
        </w:rPr>
        <w:t>OBG Ltd v Allan [2007] UKHL 21, [2008] 1 A.C. 1 </w:t>
      </w:r>
      <w:r>
        <w:rPr>
          <w:sz w:val="20"/>
        </w:rPr>
        <w:t>at [8]; cf. at [189],</w:t>
      </w:r>
      <w:r>
        <w:rPr>
          <w:spacing w:val="36"/>
          <w:sz w:val="20"/>
        </w:rPr>
        <w:t> </w:t>
      </w:r>
      <w:r>
        <w:rPr>
          <w:sz w:val="20"/>
        </w:rPr>
        <w:t>[191].</w:t>
      </w:r>
      <w:r>
        <w:rPr>
          <w:spacing w:val="36"/>
          <w:sz w:val="20"/>
        </w:rPr>
        <w:t> </w:t>
      </w:r>
      <w:r>
        <w:rPr>
          <w:sz w:val="20"/>
        </w:rPr>
        <w:t>It</w:t>
      </w:r>
      <w:r>
        <w:rPr>
          <w:spacing w:val="36"/>
          <w:sz w:val="20"/>
        </w:rPr>
        <w:t> </w:t>
      </w:r>
      <w:r>
        <w:rPr>
          <w:sz w:val="20"/>
        </w:rPr>
        <w:t>follows</w:t>
      </w:r>
      <w:r>
        <w:rPr>
          <w:spacing w:val="36"/>
          <w:sz w:val="20"/>
        </w:rPr>
        <w:t> </w:t>
      </w:r>
      <w:r>
        <w:rPr>
          <w:sz w:val="20"/>
        </w:rPr>
        <w:t>that</w:t>
      </w:r>
      <w:r>
        <w:rPr>
          <w:spacing w:val="36"/>
          <w:sz w:val="20"/>
        </w:rPr>
        <w:t> </w:t>
      </w:r>
      <w:r>
        <w:rPr>
          <w:sz w:val="20"/>
        </w:rPr>
        <w:t>C</w:t>
      </w:r>
      <w:r>
        <w:rPr>
          <w:spacing w:val="36"/>
          <w:sz w:val="20"/>
        </w:rPr>
        <w:t> </w:t>
      </w:r>
      <w:r>
        <w:rPr>
          <w:sz w:val="20"/>
        </w:rPr>
        <w:t>must</w:t>
      </w:r>
      <w:r>
        <w:rPr>
          <w:spacing w:val="36"/>
          <w:sz w:val="20"/>
        </w:rPr>
        <w:t> </w:t>
      </w:r>
      <w:r>
        <w:rPr>
          <w:sz w:val="20"/>
        </w:rPr>
        <w:t>have</w:t>
      </w:r>
      <w:r>
        <w:rPr>
          <w:spacing w:val="36"/>
          <w:sz w:val="20"/>
        </w:rPr>
        <w:t> </w:t>
      </w:r>
      <w:r>
        <w:rPr>
          <w:sz w:val="20"/>
        </w:rPr>
        <w:t>actual</w:t>
      </w:r>
      <w:r>
        <w:rPr>
          <w:spacing w:val="36"/>
          <w:sz w:val="20"/>
        </w:rPr>
        <w:t> </w:t>
      </w:r>
      <w:r>
        <w:rPr>
          <w:sz w:val="20"/>
        </w:rPr>
        <w:t>knowledge,</w:t>
      </w:r>
      <w:r>
        <w:rPr>
          <w:spacing w:val="36"/>
          <w:sz w:val="20"/>
        </w:rPr>
        <w:t> </w:t>
      </w:r>
      <w:r>
        <w:rPr>
          <w:sz w:val="20"/>
        </w:rPr>
        <w:t>not</w:t>
      </w:r>
      <w:r>
        <w:rPr>
          <w:spacing w:val="36"/>
          <w:sz w:val="20"/>
        </w:rPr>
        <w:t> </w:t>
      </w:r>
      <w:r>
        <w:rPr>
          <w:sz w:val="20"/>
        </w:rPr>
        <w:t>only</w:t>
      </w:r>
      <w:r>
        <w:rPr>
          <w:spacing w:val="36"/>
          <w:sz w:val="20"/>
        </w:rPr>
        <w:t> </w:t>
      </w:r>
      <w:r>
        <w:rPr>
          <w:sz w:val="20"/>
        </w:rPr>
        <w:t>of</w:t>
      </w:r>
      <w:r>
        <w:rPr>
          <w:spacing w:val="36"/>
          <w:sz w:val="20"/>
        </w:rPr>
        <w:t> </w:t>
      </w:r>
      <w:r>
        <w:rPr>
          <w:sz w:val="20"/>
        </w:rPr>
        <w:t>the</w:t>
      </w:r>
      <w:r>
        <w:rPr>
          <w:spacing w:val="36"/>
          <w:sz w:val="20"/>
        </w:rPr>
        <w:t> </w:t>
      </w:r>
      <w:r>
        <w:rPr>
          <w:sz w:val="20"/>
        </w:rPr>
        <w:t>existence</w:t>
      </w:r>
      <w:r>
        <w:rPr>
          <w:spacing w:val="36"/>
          <w:sz w:val="20"/>
        </w:rPr>
        <w:t> </w:t>
      </w:r>
      <w:r>
        <w:rPr>
          <w:sz w:val="20"/>
        </w:rPr>
        <w:t>of</w:t>
      </w:r>
      <w:r>
        <w:rPr>
          <w:spacing w:val="36"/>
          <w:sz w:val="20"/>
        </w:rPr>
        <w:t> </w:t>
      </w:r>
      <w:r>
        <w:rPr>
          <w:spacing w:val="-5"/>
          <w:sz w:val="20"/>
        </w:rPr>
        <w:t>the</w:t>
      </w:r>
    </w:p>
    <w:p>
      <w:pPr>
        <w:spacing w:after="0" w:line="235" w:lineRule="auto"/>
        <w:jc w:val="both"/>
        <w:rPr>
          <w:sz w:val="20"/>
        </w:rPr>
        <w:sectPr>
          <w:pgSz w:w="11900" w:h="16840"/>
          <w:pgMar w:header="971" w:footer="0" w:top="1160" w:bottom="280" w:left="1275" w:right="1275"/>
        </w:sectPr>
      </w:pPr>
    </w:p>
    <w:p>
      <w:pPr>
        <w:pStyle w:val="BodyText"/>
        <w:spacing w:before="24"/>
      </w:pPr>
    </w:p>
    <w:p>
      <w:pPr>
        <w:pStyle w:val="BodyText"/>
        <w:spacing w:line="235" w:lineRule="auto" w:before="1"/>
        <w:ind w:left="705" w:right="167"/>
        <w:jc w:val="both"/>
      </w:pPr>
      <w:r>
        <w:rPr/>
        <w:t>contract between A and B, but also of the term in it alleged to have been broken by B: ibid., </w:t>
      </w:r>
      <w:r>
        <w:rPr/>
        <w:t>at [39], [40]; though for this purpose C may be taken to have knowledge of a fact if he deliberately shuts his eyes to it: ibid., at [41]. For the requirement of knowledge of the contract and intention to procure its breach, see also </w:t>
      </w:r>
      <w:r>
        <w:rPr>
          <w:rFonts w:ascii="Arial" w:hAnsi="Arial"/>
          <w:i/>
        </w:rPr>
        <w:t>Unique Pub Properties Ltd v Beer Barrels Mineral Waters Ltd [2004] EWCA Civ 586, [2005] 1 All E.R. (Comm) 181</w:t>
      </w:r>
      <w:r>
        <w:rPr/>
        <w:t>. The relevant intention will be negatived where C honestly and genuinely believed that B’s relevant conduct would not amount to a breach: </w:t>
      </w:r>
      <w:r>
        <w:rPr>
          <w:rFonts w:ascii="Arial" w:hAnsi="Arial"/>
          <w:i/>
        </w:rPr>
        <w:t>OBG </w:t>
      </w:r>
      <w:r>
        <w:rPr/>
        <w:t>case, above, at [68]–[70], [200]–[202]; this is true even where C’s belief is based on</w:t>
      </w:r>
      <w:r>
        <w:rPr>
          <w:spacing w:val="-1"/>
        </w:rPr>
        <w:t> </w:t>
      </w:r>
      <w:r>
        <w:rPr/>
        <w:t>a</w:t>
      </w:r>
      <w:r>
        <w:rPr>
          <w:spacing w:val="-1"/>
        </w:rPr>
        <w:t> </w:t>
      </w:r>
      <w:r>
        <w:rPr/>
        <w:t>mistake</w:t>
      </w:r>
      <w:r>
        <w:rPr>
          <w:spacing w:val="-1"/>
        </w:rPr>
        <w:t> </w:t>
      </w:r>
      <w:r>
        <w:rPr/>
        <w:t>of</w:t>
      </w:r>
      <w:r>
        <w:rPr>
          <w:spacing w:val="-1"/>
        </w:rPr>
        <w:t> </w:t>
      </w:r>
      <w:r>
        <w:rPr/>
        <w:t>law:</w:t>
      </w:r>
      <w:r>
        <w:rPr>
          <w:spacing w:val="-1"/>
        </w:rPr>
        <w:t> </w:t>
      </w:r>
      <w:r>
        <w:rPr/>
        <w:t>ibid.,</w:t>
      </w:r>
      <w:r>
        <w:rPr>
          <w:spacing w:val="-1"/>
        </w:rPr>
        <w:t> </w:t>
      </w:r>
      <w:r>
        <w:rPr/>
        <w:t>at</w:t>
      </w:r>
      <w:r>
        <w:rPr>
          <w:spacing w:val="-1"/>
        </w:rPr>
        <w:t> </w:t>
      </w:r>
      <w:r>
        <w:rPr/>
        <w:t>[202];</w:t>
      </w:r>
      <w:r>
        <w:rPr>
          <w:spacing w:val="-1"/>
        </w:rPr>
        <w:t> </w:t>
      </w:r>
      <w:r>
        <w:rPr>
          <w:rFonts w:ascii="Arial" w:hAnsi="Arial"/>
          <w:i/>
        </w:rPr>
        <w:t>Meretz</w:t>
      </w:r>
      <w:r>
        <w:rPr>
          <w:rFonts w:ascii="Arial" w:hAnsi="Arial"/>
          <w:i/>
          <w:spacing w:val="-1"/>
        </w:rPr>
        <w:t> </w:t>
      </w:r>
      <w:r>
        <w:rPr>
          <w:rFonts w:ascii="Arial" w:hAnsi="Arial"/>
          <w:i/>
        </w:rPr>
        <w:t>Investments</w:t>
      </w:r>
      <w:r>
        <w:rPr>
          <w:rFonts w:ascii="Arial" w:hAnsi="Arial"/>
          <w:i/>
          <w:spacing w:val="-1"/>
        </w:rPr>
        <w:t> </w:t>
      </w:r>
      <w:r>
        <w:rPr>
          <w:rFonts w:ascii="Arial" w:hAnsi="Arial"/>
          <w:i/>
        </w:rPr>
        <w:t>NV</w:t>
      </w:r>
      <w:r>
        <w:rPr>
          <w:rFonts w:ascii="Arial" w:hAnsi="Arial"/>
          <w:i/>
          <w:spacing w:val="-1"/>
        </w:rPr>
        <w:t> </w:t>
      </w:r>
      <w:r>
        <w:rPr>
          <w:rFonts w:ascii="Arial" w:hAnsi="Arial"/>
          <w:i/>
        </w:rPr>
        <w:t>v</w:t>
      </w:r>
      <w:r>
        <w:rPr>
          <w:rFonts w:ascii="Arial" w:hAnsi="Arial"/>
          <w:i/>
          <w:spacing w:val="-1"/>
        </w:rPr>
        <w:t> </w:t>
      </w:r>
      <w:r>
        <w:rPr>
          <w:rFonts w:ascii="Arial" w:hAnsi="Arial"/>
          <w:i/>
        </w:rPr>
        <w:t>ACP</w:t>
      </w:r>
      <w:r>
        <w:rPr>
          <w:rFonts w:ascii="Arial" w:hAnsi="Arial"/>
          <w:i/>
          <w:spacing w:val="-1"/>
        </w:rPr>
        <w:t> </w:t>
      </w:r>
      <w:r>
        <w:rPr>
          <w:rFonts w:ascii="Arial" w:hAnsi="Arial"/>
          <w:i/>
        </w:rPr>
        <w:t>Ltd</w:t>
      </w:r>
      <w:r>
        <w:rPr>
          <w:rFonts w:ascii="Arial" w:hAnsi="Arial"/>
          <w:i/>
          <w:spacing w:val="-1"/>
        </w:rPr>
        <w:t> </w:t>
      </w:r>
      <w:r>
        <w:rPr>
          <w:rFonts w:ascii="Arial" w:hAnsi="Arial"/>
          <w:i/>
        </w:rPr>
        <w:t>[2007]</w:t>
      </w:r>
      <w:r>
        <w:rPr>
          <w:rFonts w:ascii="Arial" w:hAnsi="Arial"/>
          <w:i/>
          <w:spacing w:val="-1"/>
        </w:rPr>
        <w:t> </w:t>
      </w:r>
      <w:r>
        <w:rPr>
          <w:rFonts w:ascii="Arial" w:hAnsi="Arial"/>
          <w:i/>
        </w:rPr>
        <w:t>EWCA</w:t>
      </w:r>
      <w:r>
        <w:rPr>
          <w:rFonts w:ascii="Arial" w:hAnsi="Arial"/>
          <w:i/>
          <w:spacing w:val="-1"/>
        </w:rPr>
        <w:t> </w:t>
      </w:r>
      <w:r>
        <w:rPr>
          <w:rFonts w:ascii="Arial" w:hAnsi="Arial"/>
          <w:i/>
        </w:rPr>
        <w:t>Civ</w:t>
      </w:r>
      <w:r>
        <w:rPr>
          <w:rFonts w:ascii="Arial" w:hAnsi="Arial"/>
          <w:i/>
          <w:spacing w:val="-1"/>
        </w:rPr>
        <w:t> </w:t>
      </w:r>
      <w:r>
        <w:rPr>
          <w:rFonts w:ascii="Arial" w:hAnsi="Arial"/>
          <w:i/>
        </w:rPr>
        <w:t>1303</w:t>
      </w:r>
      <w:r>
        <w:rPr>
          <w:rFonts w:ascii="Arial" w:hAnsi="Arial"/>
          <w:i/>
          <w:spacing w:val="-1"/>
        </w:rPr>
        <w:t> </w:t>
      </w:r>
      <w:r>
        <w:rPr/>
        <w:t>at [114], [119], [124], [180]. It follows from the requirement of an intention to induce a breach that</w:t>
      </w:r>
      <w:r>
        <w:rPr>
          <w:spacing w:val="40"/>
        </w:rPr>
        <w:t> </w:t>
      </w:r>
      <w:r>
        <w:rPr/>
        <w:t>C is not liable for the tort if he acts carelessly: “Negligent interference is not actionable”: </w:t>
      </w:r>
      <w:r>
        <w:rPr>
          <w:rFonts w:ascii="Arial" w:hAnsi="Arial"/>
          <w:i/>
        </w:rPr>
        <w:t>OBG </w:t>
      </w:r>
      <w:r>
        <w:rPr/>
        <w:t>case above at [191]; </w:t>
      </w:r>
      <w:r>
        <w:rPr>
          <w:rFonts w:ascii="Arial" w:hAnsi="Arial"/>
          <w:i/>
        </w:rPr>
        <w:t>Miller v Bassey [1994] EMLR 44 </w:t>
      </w:r>
      <w:r>
        <w:rPr/>
        <w:t>(where the defendant had been held</w:t>
      </w:r>
      <w:r>
        <w:rPr>
          <w:spacing w:val="40"/>
        </w:rPr>
        <w:t> </w:t>
      </w:r>
      <w:r>
        <w:rPr/>
        <w:t>liable without intending to induce the breach) is disapproved in the </w:t>
      </w:r>
      <w:r>
        <w:rPr>
          <w:rFonts w:ascii="Arial" w:hAnsi="Arial"/>
          <w:i/>
        </w:rPr>
        <w:t>OBG </w:t>
      </w:r>
      <w:r>
        <w:rPr/>
        <w:t>case at [43], [166], [264]; and see ibid at [202], citing</w:t>
      </w:r>
      <w:r>
        <w:rPr>
          <w:spacing w:val="-1"/>
        </w:rPr>
        <w:t> </w:t>
      </w:r>
      <w:r>
        <w:rPr>
          <w:rFonts w:ascii="Arial" w:hAnsi="Arial"/>
          <w:i/>
        </w:rPr>
        <w:t>British Industrial Plastics Ltd v Ferguson [1940] 1 All E.R. 479 </w:t>
      </w:r>
      <w:r>
        <w:rPr/>
        <w:t>in favour of the view that the requisite intention may be negatived by C’s honest, if eccentric, belief that the conduct induced was not a breach. C is also not liable for this tort if he believed that he was entitled to act in a way that would prevent B from performing B’s contract with A: </w:t>
      </w:r>
      <w:r>
        <w:rPr>
          <w:rFonts w:ascii="Arial" w:hAnsi="Arial"/>
          <w:i/>
        </w:rPr>
        <w:t>Meretz</w:t>
      </w:r>
      <w:r>
        <w:rPr>
          <w:rFonts w:ascii="Arial" w:hAnsi="Arial"/>
          <w:i/>
          <w:spacing w:val="-1"/>
        </w:rPr>
        <w:t> </w:t>
      </w:r>
      <w:r>
        <w:rPr/>
        <w:t>case,</w:t>
      </w:r>
      <w:r>
        <w:rPr>
          <w:spacing w:val="-1"/>
        </w:rPr>
        <w:t> </w:t>
      </w:r>
      <w:r>
        <w:rPr/>
        <w:t>above,</w:t>
      </w:r>
      <w:r>
        <w:rPr>
          <w:spacing w:val="-1"/>
        </w:rPr>
        <w:t> </w:t>
      </w:r>
      <w:r>
        <w:rPr/>
        <w:t>at</w:t>
      </w:r>
      <w:r>
        <w:rPr>
          <w:spacing w:val="-1"/>
        </w:rPr>
        <w:t> </w:t>
      </w:r>
      <w:r>
        <w:rPr/>
        <w:t>[124],</w:t>
      </w:r>
      <w:r>
        <w:rPr>
          <w:spacing w:val="-1"/>
        </w:rPr>
        <w:t> </w:t>
      </w:r>
      <w:r>
        <w:rPr/>
        <w:t>[179].</w:t>
      </w:r>
      <w:r>
        <w:rPr>
          <w:spacing w:val="-1"/>
        </w:rPr>
        <w:t> </w:t>
      </w:r>
      <w:r>
        <w:rPr/>
        <w:t>Where</w:t>
      </w:r>
      <w:r>
        <w:rPr>
          <w:spacing w:val="-1"/>
        </w:rPr>
        <w:t> </w:t>
      </w:r>
      <w:r>
        <w:rPr/>
        <w:t>the</w:t>
      </w:r>
      <w:r>
        <w:rPr>
          <w:spacing w:val="-1"/>
        </w:rPr>
        <w:t> </w:t>
      </w:r>
      <w:r>
        <w:rPr/>
        <w:t>intention</w:t>
      </w:r>
      <w:r>
        <w:rPr>
          <w:spacing w:val="-1"/>
        </w:rPr>
        <w:t> </w:t>
      </w:r>
      <w:r>
        <w:rPr/>
        <w:t>to</w:t>
      </w:r>
      <w:r>
        <w:rPr>
          <w:spacing w:val="-1"/>
        </w:rPr>
        <w:t> </w:t>
      </w:r>
      <w:r>
        <w:rPr/>
        <w:t>induce</w:t>
      </w:r>
      <w:r>
        <w:rPr>
          <w:spacing w:val="-1"/>
        </w:rPr>
        <w:t> </w:t>
      </w:r>
      <w:r>
        <w:rPr/>
        <w:t>B</w:t>
      </w:r>
      <w:r>
        <w:rPr>
          <w:spacing w:val="-1"/>
        </w:rPr>
        <w:t> </w:t>
      </w:r>
      <w:r>
        <w:rPr/>
        <w:t>to</w:t>
      </w:r>
      <w:r>
        <w:rPr>
          <w:spacing w:val="-1"/>
        </w:rPr>
        <w:t> </w:t>
      </w:r>
      <w:r>
        <w:rPr/>
        <w:t>break</w:t>
      </w:r>
      <w:r>
        <w:rPr>
          <w:spacing w:val="-1"/>
        </w:rPr>
        <w:t> </w:t>
      </w:r>
      <w:r>
        <w:rPr/>
        <w:t>his</w:t>
      </w:r>
      <w:r>
        <w:rPr>
          <w:spacing w:val="-1"/>
        </w:rPr>
        <w:t> </w:t>
      </w:r>
      <w:r>
        <w:rPr/>
        <w:t>contract</w:t>
      </w:r>
      <w:r>
        <w:rPr>
          <w:spacing w:val="-1"/>
        </w:rPr>
        <w:t> </w:t>
      </w:r>
      <w:r>
        <w:rPr/>
        <w:t>with</w:t>
      </w:r>
      <w:r>
        <w:rPr>
          <w:spacing w:val="-1"/>
        </w:rPr>
        <w:t> </w:t>
      </w:r>
      <w:r>
        <w:rPr/>
        <w:t>A is established, there is no further requirement that C must intend to cause loss: see below, at n.803. To the extent that the contrary may be suggested in the </w:t>
      </w:r>
      <w:r>
        <w:rPr>
          <w:rFonts w:ascii="Arial" w:hAnsi="Arial"/>
          <w:i/>
        </w:rPr>
        <w:t>Meretz </w:t>
      </w:r>
      <w:r>
        <w:rPr/>
        <w:t>case at [2], [127], the suggestions are, with respect, made per incuriam, and are inconsistent with ibid., at [124],</w:t>
      </w:r>
      <w:r>
        <w:rPr>
          <w:spacing w:val="80"/>
        </w:rPr>
        <w:t> </w:t>
      </w:r>
      <w:r>
        <w:rPr>
          <w:spacing w:val="-2"/>
        </w:rPr>
        <w:t>[179].</w:t>
      </w:r>
    </w:p>
    <w:p>
      <w:pPr>
        <w:pStyle w:val="BodyText"/>
        <w:tabs>
          <w:tab w:pos="705" w:val="left" w:leader="none"/>
        </w:tabs>
        <w:spacing w:before="228"/>
        <w:ind w:left="165"/>
      </w:pPr>
      <w:bookmarkStart w:name="_bookmark1623" w:id="1625"/>
      <w:bookmarkEnd w:id="1625"/>
      <w:r>
        <w:rPr/>
      </w:r>
      <w:hyperlink w:history="true" w:anchor="_bookmark1544">
        <w:r>
          <w:rPr>
            <w:color w:val="005DA1"/>
            <w:spacing w:val="-4"/>
            <w:position w:val="5"/>
            <w:sz w:val="14"/>
            <w:u w:val="single" w:color="005DA1"/>
          </w:rPr>
          <w:t>819</w:t>
        </w:r>
      </w:hyperlink>
      <w:r>
        <w:rPr>
          <w:spacing w:val="-4"/>
          <w:position w:val="5"/>
          <w:sz w:val="14"/>
        </w:rPr>
        <w:t>.</w:t>
      </w:r>
      <w:r>
        <w:rPr>
          <w:position w:val="5"/>
          <w:sz w:val="14"/>
        </w:rPr>
        <w:tab/>
      </w:r>
      <w:r>
        <w:rPr/>
        <w:t>See</w:t>
      </w:r>
      <w:r>
        <w:rPr>
          <w:spacing w:val="-2"/>
        </w:rPr>
        <w:t> </w:t>
      </w:r>
      <w:r>
        <w:rPr/>
        <w:t>below at nn.799, </w:t>
      </w:r>
      <w:r>
        <w:rPr>
          <w:spacing w:val="-4"/>
        </w:rPr>
        <w:t>803.</w:t>
      </w:r>
    </w:p>
    <w:p>
      <w:pPr>
        <w:pStyle w:val="BodyText"/>
        <w:spacing w:before="9"/>
      </w:pPr>
    </w:p>
    <w:p>
      <w:pPr>
        <w:tabs>
          <w:tab w:pos="705" w:val="left" w:leader="none"/>
        </w:tabs>
        <w:spacing w:line="235" w:lineRule="auto" w:before="0"/>
        <w:ind w:left="705" w:right="168" w:hanging="541"/>
        <w:jc w:val="left"/>
        <w:rPr>
          <w:sz w:val="20"/>
        </w:rPr>
      </w:pPr>
      <w:bookmarkStart w:name="_bookmark1624" w:id="1626"/>
      <w:bookmarkEnd w:id="1626"/>
      <w:r>
        <w:rPr/>
      </w:r>
      <w:hyperlink w:history="true" w:anchor="_bookmark1545">
        <w:r>
          <w:rPr>
            <w:color w:val="005DA1"/>
            <w:spacing w:val="-4"/>
            <w:position w:val="5"/>
            <w:sz w:val="14"/>
            <w:u w:val="single" w:color="005DA1"/>
          </w:rPr>
          <w:t>820</w:t>
        </w:r>
      </w:hyperlink>
      <w:r>
        <w:rPr>
          <w:spacing w:val="-4"/>
          <w:position w:val="5"/>
          <w:sz w:val="14"/>
        </w:rPr>
        <w:t>.</w:t>
      </w:r>
      <w:r>
        <w:rPr>
          <w:position w:val="5"/>
          <w:sz w:val="14"/>
        </w:rPr>
        <w:tab/>
      </w:r>
      <w:r>
        <w:rPr>
          <w:sz w:val="20"/>
        </w:rPr>
        <w:t>e.g.,</w:t>
      </w:r>
      <w:r>
        <w:rPr>
          <w:spacing w:val="25"/>
          <w:sz w:val="20"/>
        </w:rPr>
        <w:t> </w:t>
      </w:r>
      <w:r>
        <w:rPr>
          <w:rFonts w:ascii="Arial"/>
          <w:i/>
          <w:sz w:val="20"/>
        </w:rPr>
        <w:t>D.C.</w:t>
      </w:r>
      <w:r>
        <w:rPr>
          <w:rFonts w:ascii="Arial"/>
          <w:i/>
          <w:spacing w:val="25"/>
          <w:sz w:val="20"/>
        </w:rPr>
        <w:t> </w:t>
      </w:r>
      <w:r>
        <w:rPr>
          <w:rFonts w:ascii="Arial"/>
          <w:i/>
          <w:sz w:val="20"/>
        </w:rPr>
        <w:t>Thompson</w:t>
      </w:r>
      <w:r>
        <w:rPr>
          <w:rFonts w:ascii="Arial"/>
          <w:i/>
          <w:spacing w:val="25"/>
          <w:sz w:val="20"/>
        </w:rPr>
        <w:t> </w:t>
      </w:r>
      <w:r>
        <w:rPr>
          <w:rFonts w:ascii="Arial"/>
          <w:i/>
          <w:sz w:val="20"/>
        </w:rPr>
        <w:t>&amp;</w:t>
      </w:r>
      <w:r>
        <w:rPr>
          <w:rFonts w:ascii="Arial"/>
          <w:i/>
          <w:spacing w:val="25"/>
          <w:sz w:val="20"/>
        </w:rPr>
        <w:t> </w:t>
      </w:r>
      <w:r>
        <w:rPr>
          <w:rFonts w:ascii="Arial"/>
          <w:i/>
          <w:sz w:val="20"/>
        </w:rPr>
        <w:t>Co</w:t>
      </w:r>
      <w:r>
        <w:rPr>
          <w:rFonts w:ascii="Arial"/>
          <w:i/>
          <w:spacing w:val="25"/>
          <w:sz w:val="20"/>
        </w:rPr>
        <w:t> </w:t>
      </w:r>
      <w:r>
        <w:rPr>
          <w:rFonts w:ascii="Arial"/>
          <w:i/>
          <w:sz w:val="20"/>
        </w:rPr>
        <w:t>v</w:t>
      </w:r>
      <w:r>
        <w:rPr>
          <w:rFonts w:ascii="Arial"/>
          <w:i/>
          <w:spacing w:val="25"/>
          <w:sz w:val="20"/>
        </w:rPr>
        <w:t> </w:t>
      </w:r>
      <w:r>
        <w:rPr>
          <w:rFonts w:ascii="Arial"/>
          <w:i/>
          <w:sz w:val="20"/>
        </w:rPr>
        <w:t>Deakin</w:t>
      </w:r>
      <w:r>
        <w:rPr>
          <w:rFonts w:ascii="Arial"/>
          <w:i/>
          <w:spacing w:val="25"/>
          <w:sz w:val="20"/>
        </w:rPr>
        <w:t> </w:t>
      </w:r>
      <w:r>
        <w:rPr>
          <w:rFonts w:ascii="Arial"/>
          <w:i/>
          <w:sz w:val="20"/>
        </w:rPr>
        <w:t>[1952]</w:t>
      </w:r>
      <w:r>
        <w:rPr>
          <w:rFonts w:ascii="Arial"/>
          <w:i/>
          <w:spacing w:val="25"/>
          <w:sz w:val="20"/>
        </w:rPr>
        <w:t> </w:t>
      </w:r>
      <w:r>
        <w:rPr>
          <w:rFonts w:ascii="Arial"/>
          <w:i/>
          <w:sz w:val="20"/>
        </w:rPr>
        <w:t>Ch.</w:t>
      </w:r>
      <w:r>
        <w:rPr>
          <w:rFonts w:ascii="Arial"/>
          <w:i/>
          <w:spacing w:val="25"/>
          <w:sz w:val="20"/>
        </w:rPr>
        <w:t> </w:t>
      </w:r>
      <w:r>
        <w:rPr>
          <w:rFonts w:ascii="Arial"/>
          <w:i/>
          <w:sz w:val="20"/>
        </w:rPr>
        <w:t>646</w:t>
      </w:r>
      <w:r>
        <w:rPr>
          <w:sz w:val="20"/>
        </w:rPr>
        <w:t>:</w:t>
      </w:r>
      <w:r>
        <w:rPr>
          <w:spacing w:val="25"/>
          <w:sz w:val="20"/>
        </w:rPr>
        <w:t> </w:t>
      </w:r>
      <w:r>
        <w:rPr>
          <w:sz w:val="20"/>
        </w:rPr>
        <w:t>see</w:t>
      </w:r>
      <w:r>
        <w:rPr>
          <w:spacing w:val="25"/>
          <w:sz w:val="20"/>
        </w:rPr>
        <w:t> </w:t>
      </w:r>
      <w:r>
        <w:rPr>
          <w:rFonts w:ascii="Arial"/>
          <w:i/>
          <w:sz w:val="20"/>
        </w:rPr>
        <w:t>OBG</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Allan</w:t>
      </w:r>
      <w:r>
        <w:rPr>
          <w:rFonts w:ascii="Arial"/>
          <w:i/>
          <w:spacing w:val="25"/>
          <w:sz w:val="20"/>
        </w:rPr>
        <w:t> </w:t>
      </w:r>
      <w:r>
        <w:rPr>
          <w:rFonts w:ascii="Arial"/>
          <w:i/>
          <w:sz w:val="20"/>
        </w:rPr>
        <w:t>[2007]</w:t>
      </w:r>
      <w:r>
        <w:rPr>
          <w:rFonts w:ascii="Arial"/>
          <w:i/>
          <w:spacing w:val="25"/>
          <w:sz w:val="20"/>
        </w:rPr>
        <w:t> </w:t>
      </w:r>
      <w:r>
        <w:rPr>
          <w:rFonts w:ascii="Arial"/>
          <w:i/>
          <w:sz w:val="20"/>
        </w:rPr>
        <w:t>UKHL</w:t>
      </w:r>
      <w:r>
        <w:rPr>
          <w:rFonts w:ascii="Arial"/>
          <w:i/>
          <w:spacing w:val="25"/>
          <w:sz w:val="20"/>
        </w:rPr>
        <w:t> </w:t>
      </w:r>
      <w:r>
        <w:rPr>
          <w:rFonts w:ascii="Arial"/>
          <w:i/>
          <w:sz w:val="20"/>
        </w:rPr>
        <w:t>21, [2008] 1 A.C. 1 </w:t>
      </w:r>
      <w:r>
        <w:rPr>
          <w:sz w:val="20"/>
        </w:rPr>
        <w:t>at [26].</w:t>
      </w:r>
    </w:p>
    <w:p>
      <w:pPr>
        <w:pStyle w:val="BodyText"/>
        <w:spacing w:before="5"/>
      </w:pPr>
    </w:p>
    <w:p>
      <w:pPr>
        <w:pStyle w:val="BodyText"/>
        <w:tabs>
          <w:tab w:pos="705" w:val="left" w:leader="none"/>
        </w:tabs>
        <w:ind w:left="165"/>
      </w:pPr>
      <w:bookmarkStart w:name="_bookmark1625" w:id="1627"/>
      <w:bookmarkEnd w:id="1627"/>
      <w:r>
        <w:rPr/>
      </w:r>
      <w:hyperlink w:history="true" w:anchor="_bookmark1546">
        <w:r>
          <w:rPr>
            <w:color w:val="005DA1"/>
            <w:spacing w:val="-4"/>
            <w:position w:val="5"/>
            <w:sz w:val="14"/>
            <w:u w:val="single" w:color="005DA1"/>
          </w:rPr>
          <w:t>821</w:t>
        </w:r>
      </w:hyperlink>
      <w:r>
        <w:rPr>
          <w:spacing w:val="-4"/>
          <w:position w:val="5"/>
          <w:sz w:val="14"/>
        </w:rPr>
        <w:t>.</w:t>
      </w:r>
      <w:r>
        <w:rPr>
          <w:position w:val="5"/>
          <w:sz w:val="14"/>
        </w:rPr>
        <w:tab/>
      </w:r>
      <w:r>
        <w:rPr/>
        <w:t>ibid., before [26], at [27], [28], [264]; cf. [306], </w:t>
      </w:r>
      <w:r>
        <w:rPr>
          <w:spacing w:val="-2"/>
        </w:rPr>
        <w:t>[320].</w:t>
      </w:r>
    </w:p>
    <w:p>
      <w:pPr>
        <w:pStyle w:val="BodyText"/>
        <w:spacing w:before="5"/>
      </w:pPr>
    </w:p>
    <w:p>
      <w:pPr>
        <w:tabs>
          <w:tab w:pos="705" w:val="left" w:leader="none"/>
        </w:tabs>
        <w:spacing w:before="0"/>
        <w:ind w:left="165" w:right="0" w:firstLine="0"/>
        <w:jc w:val="left"/>
        <w:rPr>
          <w:sz w:val="20"/>
        </w:rPr>
      </w:pPr>
      <w:bookmarkStart w:name="_bookmark1626" w:id="1628"/>
      <w:bookmarkEnd w:id="1628"/>
      <w:r>
        <w:rPr/>
      </w:r>
      <w:hyperlink w:history="true" w:anchor="_bookmark1547">
        <w:r>
          <w:rPr>
            <w:color w:val="005DA1"/>
            <w:spacing w:val="-4"/>
            <w:position w:val="5"/>
            <w:sz w:val="14"/>
            <w:u w:val="single" w:color="005DA1"/>
          </w:rPr>
          <w:t>822</w:t>
        </w:r>
      </w:hyperlink>
      <w:r>
        <w:rPr>
          <w:spacing w:val="-4"/>
          <w:position w:val="5"/>
          <w:sz w:val="14"/>
        </w:rPr>
        <w:t>.</w:t>
      </w:r>
      <w:r>
        <w:rPr>
          <w:position w:val="5"/>
          <w:sz w:val="14"/>
        </w:rPr>
        <w:tab/>
      </w:r>
      <w:r>
        <w:rPr>
          <w:sz w:val="20"/>
        </w:rPr>
        <w:t>ibid., at </w:t>
      </w:r>
      <w:r>
        <w:rPr>
          <w:spacing w:val="-2"/>
          <w:sz w:val="20"/>
        </w:rPr>
        <w:t>[27].</w:t>
      </w:r>
    </w:p>
    <w:p>
      <w:pPr>
        <w:pStyle w:val="BodyText"/>
        <w:spacing w:before="5"/>
      </w:pPr>
    </w:p>
    <w:p>
      <w:pPr>
        <w:pStyle w:val="BodyText"/>
        <w:tabs>
          <w:tab w:pos="705" w:val="left" w:leader="none"/>
        </w:tabs>
        <w:ind w:left="165"/>
      </w:pPr>
      <w:bookmarkStart w:name="_bookmark1627" w:id="1629"/>
      <w:bookmarkEnd w:id="1629"/>
      <w:r>
        <w:rPr/>
      </w:r>
      <w:hyperlink w:history="true" w:anchor="_bookmark1547">
        <w:r>
          <w:rPr>
            <w:color w:val="005DA1"/>
            <w:spacing w:val="-4"/>
            <w:position w:val="5"/>
            <w:sz w:val="14"/>
            <w:u w:val="single" w:color="005DA1"/>
          </w:rPr>
          <w:t>823</w:t>
        </w:r>
      </w:hyperlink>
      <w:r>
        <w:rPr>
          <w:spacing w:val="-4"/>
          <w:position w:val="5"/>
          <w:sz w:val="14"/>
        </w:rPr>
        <w:t>.</w:t>
      </w:r>
      <w:r>
        <w:rPr>
          <w:position w:val="5"/>
          <w:sz w:val="14"/>
        </w:rPr>
        <w:tab/>
      </w:r>
      <w:r>
        <w:rPr/>
        <w:t>See ibid., at [32]; cf. at [172], [173], </w:t>
      </w:r>
      <w:r>
        <w:rPr>
          <w:spacing w:val="-2"/>
        </w:rPr>
        <w:t>[264].</w:t>
      </w:r>
    </w:p>
    <w:p>
      <w:pPr>
        <w:pStyle w:val="BodyText"/>
        <w:spacing w:before="5"/>
      </w:pPr>
    </w:p>
    <w:p>
      <w:pPr>
        <w:tabs>
          <w:tab w:pos="705" w:val="left" w:leader="none"/>
        </w:tabs>
        <w:spacing w:before="0"/>
        <w:ind w:left="165" w:right="0" w:firstLine="0"/>
        <w:jc w:val="left"/>
        <w:rPr>
          <w:sz w:val="20"/>
        </w:rPr>
      </w:pPr>
      <w:bookmarkStart w:name="_bookmark1628" w:id="1630"/>
      <w:bookmarkEnd w:id="1630"/>
      <w:r>
        <w:rPr/>
      </w:r>
      <w:hyperlink w:history="true" w:anchor="_bookmark1548">
        <w:r>
          <w:rPr>
            <w:color w:val="005DA1"/>
            <w:spacing w:val="-4"/>
            <w:position w:val="5"/>
            <w:sz w:val="14"/>
            <w:u w:val="single" w:color="005DA1"/>
          </w:rPr>
          <w:t>824</w:t>
        </w:r>
      </w:hyperlink>
      <w:r>
        <w:rPr>
          <w:spacing w:val="-4"/>
          <w:position w:val="5"/>
          <w:sz w:val="14"/>
        </w:rPr>
        <w:t>.</w:t>
      </w:r>
      <w:r>
        <w:rPr>
          <w:position w:val="5"/>
          <w:sz w:val="14"/>
        </w:rPr>
        <w:tab/>
      </w:r>
      <w:r>
        <w:rPr>
          <w:rFonts w:ascii="Arial"/>
          <w:i/>
          <w:sz w:val="20"/>
        </w:rPr>
        <w:t>[2007]</w:t>
      </w:r>
      <w:r>
        <w:rPr>
          <w:rFonts w:ascii="Arial"/>
          <w:i/>
          <w:spacing w:val="-1"/>
          <w:sz w:val="20"/>
        </w:rPr>
        <w:t> </w:t>
      </w:r>
      <w:r>
        <w:rPr>
          <w:rFonts w:ascii="Arial"/>
          <w:i/>
          <w:sz w:val="20"/>
        </w:rPr>
        <w:t>UKHL 21</w:t>
      </w:r>
      <w:r>
        <w:rPr>
          <w:sz w:val="20"/>
        </w:rPr>
        <w:t>, above, </w:t>
      </w:r>
      <w:r>
        <w:rPr>
          <w:spacing w:val="-2"/>
          <w:sz w:val="20"/>
        </w:rPr>
        <w:t>n.792.</w:t>
      </w:r>
    </w:p>
    <w:p>
      <w:pPr>
        <w:pStyle w:val="BodyText"/>
        <w:spacing w:before="5"/>
      </w:pPr>
    </w:p>
    <w:p>
      <w:pPr>
        <w:pStyle w:val="BodyText"/>
        <w:tabs>
          <w:tab w:pos="705" w:val="left" w:leader="none"/>
        </w:tabs>
        <w:ind w:left="165"/>
      </w:pPr>
      <w:bookmarkStart w:name="_bookmark1629" w:id="1631"/>
      <w:bookmarkEnd w:id="1631"/>
      <w:r>
        <w:rPr/>
      </w:r>
      <w:hyperlink w:history="true" w:anchor="_bookmark1549">
        <w:r>
          <w:rPr>
            <w:color w:val="005DA1"/>
            <w:spacing w:val="-4"/>
            <w:position w:val="5"/>
            <w:sz w:val="14"/>
            <w:u w:val="single" w:color="005DA1"/>
          </w:rPr>
          <w:t>825</w:t>
        </w:r>
      </w:hyperlink>
      <w:r>
        <w:rPr>
          <w:spacing w:val="-4"/>
          <w:position w:val="5"/>
          <w:sz w:val="14"/>
        </w:rPr>
        <w:t>.</w:t>
      </w:r>
      <w:r>
        <w:rPr>
          <w:position w:val="5"/>
          <w:sz w:val="14"/>
        </w:rPr>
        <w:tab/>
      </w:r>
      <w:r>
        <w:rPr/>
        <w:t>At [3]–[5], [39]–[44], </w:t>
      </w:r>
      <w:r>
        <w:rPr>
          <w:spacing w:val="-2"/>
        </w:rPr>
        <w:t>[168]–[172].</w:t>
      </w:r>
    </w:p>
    <w:p>
      <w:pPr>
        <w:pStyle w:val="BodyText"/>
        <w:spacing w:before="5"/>
      </w:pPr>
    </w:p>
    <w:p>
      <w:pPr>
        <w:pStyle w:val="BodyText"/>
        <w:tabs>
          <w:tab w:pos="705" w:val="left" w:leader="none"/>
        </w:tabs>
        <w:ind w:left="165"/>
      </w:pPr>
      <w:bookmarkStart w:name="_bookmark1630" w:id="1632"/>
      <w:bookmarkEnd w:id="1632"/>
      <w:r>
        <w:rPr/>
      </w:r>
      <w:hyperlink w:history="true" w:anchor="_bookmark1549">
        <w:r>
          <w:rPr>
            <w:color w:val="005DA1"/>
            <w:spacing w:val="-4"/>
            <w:position w:val="5"/>
            <w:sz w:val="14"/>
            <w:u w:val="single" w:color="005DA1"/>
          </w:rPr>
          <w:t>826</w:t>
        </w:r>
      </w:hyperlink>
      <w:r>
        <w:rPr>
          <w:spacing w:val="-4"/>
          <w:position w:val="5"/>
          <w:sz w:val="14"/>
        </w:rPr>
        <w:t>.</w:t>
      </w:r>
      <w:r>
        <w:rPr>
          <w:position w:val="5"/>
          <w:sz w:val="14"/>
        </w:rPr>
        <w:tab/>
      </w:r>
      <w:r>
        <w:rPr/>
        <w:t>At [6]–[8], [45]–[60], </w:t>
      </w:r>
      <w:r>
        <w:rPr>
          <w:spacing w:val="-2"/>
        </w:rPr>
        <w:t>[141]–[163].</w:t>
      </w:r>
    </w:p>
    <w:p>
      <w:pPr>
        <w:pStyle w:val="BodyText"/>
        <w:spacing w:before="5"/>
      </w:pPr>
    </w:p>
    <w:p>
      <w:pPr>
        <w:tabs>
          <w:tab w:pos="705" w:val="left" w:leader="none"/>
        </w:tabs>
        <w:spacing w:before="0"/>
        <w:ind w:left="165" w:right="0" w:firstLine="0"/>
        <w:jc w:val="left"/>
        <w:rPr>
          <w:sz w:val="20"/>
        </w:rPr>
      </w:pPr>
      <w:bookmarkStart w:name="_bookmark1631" w:id="1633"/>
      <w:bookmarkEnd w:id="1633"/>
      <w:r>
        <w:rPr/>
      </w:r>
      <w:hyperlink w:history="true" w:anchor="_bookmark1550">
        <w:r>
          <w:rPr>
            <w:color w:val="005DA1"/>
            <w:spacing w:val="-4"/>
            <w:position w:val="5"/>
            <w:sz w:val="14"/>
            <w:u w:val="single" w:color="005DA1"/>
          </w:rPr>
          <w:t>827</w:t>
        </w:r>
      </w:hyperlink>
      <w:r>
        <w:rPr>
          <w:spacing w:val="-4"/>
          <w:position w:val="5"/>
          <w:sz w:val="14"/>
        </w:rPr>
        <w:t>.</w:t>
      </w:r>
      <w:r>
        <w:rPr>
          <w:position w:val="5"/>
          <w:sz w:val="14"/>
        </w:rPr>
        <w:tab/>
      </w:r>
      <w:r>
        <w:rPr>
          <w:sz w:val="20"/>
        </w:rPr>
        <w:t>At </w:t>
      </w:r>
      <w:r>
        <w:rPr>
          <w:spacing w:val="-4"/>
          <w:sz w:val="20"/>
        </w:rPr>
        <w:t>[8].</w:t>
      </w:r>
    </w:p>
    <w:p>
      <w:pPr>
        <w:pStyle w:val="BodyText"/>
        <w:spacing w:before="5"/>
      </w:pPr>
    </w:p>
    <w:p>
      <w:pPr>
        <w:pStyle w:val="BodyText"/>
        <w:tabs>
          <w:tab w:pos="705" w:val="left" w:leader="none"/>
        </w:tabs>
        <w:spacing w:before="1"/>
        <w:ind w:left="165"/>
      </w:pPr>
      <w:bookmarkStart w:name="_bookmark1632" w:id="1634"/>
      <w:bookmarkEnd w:id="1634"/>
      <w:r>
        <w:rPr/>
      </w:r>
      <w:hyperlink w:history="true" w:anchor="_bookmark1551">
        <w:r>
          <w:rPr>
            <w:color w:val="005DA1"/>
            <w:spacing w:val="-4"/>
            <w:position w:val="5"/>
            <w:sz w:val="14"/>
            <w:u w:val="single" w:color="005DA1"/>
          </w:rPr>
          <w:t>828</w:t>
        </w:r>
      </w:hyperlink>
      <w:r>
        <w:rPr>
          <w:spacing w:val="-4"/>
          <w:position w:val="5"/>
          <w:sz w:val="14"/>
        </w:rPr>
        <w:t>.</w:t>
      </w:r>
      <w:r>
        <w:rPr>
          <w:position w:val="5"/>
          <w:sz w:val="14"/>
        </w:rPr>
        <w:tab/>
      </w:r>
      <w:r>
        <w:rPr/>
        <w:t>At [8]; cf. [32], [49], [51], [145], [148], </w:t>
      </w:r>
      <w:r>
        <w:rPr>
          <w:spacing w:val="-2"/>
        </w:rPr>
        <w:t>[164].</w:t>
      </w:r>
    </w:p>
    <w:p>
      <w:pPr>
        <w:pStyle w:val="BodyText"/>
        <w:spacing w:before="8"/>
      </w:pPr>
    </w:p>
    <w:p>
      <w:pPr>
        <w:pStyle w:val="BodyText"/>
        <w:tabs>
          <w:tab w:pos="705" w:val="left" w:leader="none"/>
        </w:tabs>
        <w:spacing w:line="235" w:lineRule="auto"/>
        <w:ind w:left="705" w:right="168" w:hanging="541"/>
      </w:pPr>
      <w:bookmarkStart w:name="_bookmark1633" w:id="1635"/>
      <w:bookmarkEnd w:id="1635"/>
      <w:r>
        <w:rPr/>
      </w:r>
      <w:hyperlink w:history="true" w:anchor="_bookmark1552">
        <w:r>
          <w:rPr>
            <w:color w:val="005DA1"/>
            <w:spacing w:val="-4"/>
            <w:position w:val="5"/>
            <w:sz w:val="14"/>
            <w:u w:val="single" w:color="005DA1"/>
          </w:rPr>
          <w:t>829</w:t>
        </w:r>
      </w:hyperlink>
      <w:r>
        <w:rPr>
          <w:spacing w:val="-4"/>
          <w:position w:val="5"/>
          <w:sz w:val="14"/>
        </w:rPr>
        <w:t>.</w:t>
      </w:r>
      <w:r>
        <w:rPr>
          <w:position w:val="5"/>
          <w:sz w:val="14"/>
        </w:rPr>
        <w:tab/>
      </w:r>
      <w:r>
        <w:rPr/>
        <w:t>At [8], [47], [62], [141], [192]; for the mental element of the tort of inducing breach of contract,</w:t>
      </w:r>
      <w:r>
        <w:rPr>
          <w:spacing w:val="40"/>
        </w:rPr>
        <w:t> </w:t>
      </w:r>
      <w:r>
        <w:rPr/>
        <w:t>see further n.792 above.</w:t>
      </w:r>
    </w:p>
    <w:p>
      <w:pPr>
        <w:pStyle w:val="BodyText"/>
        <w:spacing w:before="9"/>
      </w:pPr>
    </w:p>
    <w:p>
      <w:pPr>
        <w:pStyle w:val="BodyText"/>
        <w:tabs>
          <w:tab w:pos="705" w:val="left" w:leader="none"/>
        </w:tabs>
        <w:spacing w:line="235" w:lineRule="auto" w:before="1"/>
        <w:ind w:left="705" w:right="168" w:hanging="541"/>
      </w:pPr>
      <w:bookmarkStart w:name="_bookmark1634" w:id="1636"/>
      <w:bookmarkEnd w:id="1636"/>
      <w:r>
        <w:rPr/>
      </w:r>
      <w:hyperlink w:history="true" w:anchor="_bookmark1553">
        <w:r>
          <w:rPr>
            <w:color w:val="005DA1"/>
            <w:spacing w:val="-4"/>
            <w:position w:val="5"/>
            <w:sz w:val="14"/>
            <w:u w:val="single" w:color="005DA1"/>
          </w:rPr>
          <w:t>830</w:t>
        </w:r>
      </w:hyperlink>
      <w:r>
        <w:rPr>
          <w:spacing w:val="-4"/>
          <w:position w:val="5"/>
          <w:sz w:val="14"/>
        </w:rPr>
        <w:t>.</w:t>
      </w:r>
      <w:r>
        <w:rPr>
          <w:position w:val="5"/>
          <w:sz w:val="14"/>
        </w:rPr>
        <w:tab/>
      </w:r>
      <w:r>
        <w:rPr/>
        <w:t>See</w:t>
      </w:r>
      <w:r>
        <w:rPr>
          <w:spacing w:val="-3"/>
        </w:rPr>
        <w:t> </w:t>
      </w:r>
      <w:r>
        <w:rPr/>
        <w:t>the</w:t>
      </w:r>
      <w:r>
        <w:rPr>
          <w:spacing w:val="-3"/>
        </w:rPr>
        <w:t> </w:t>
      </w:r>
      <w:r>
        <w:rPr>
          <w:rFonts w:ascii="Arial" w:hAnsi="Arial"/>
          <w:i/>
        </w:rPr>
        <w:t>OBG</w:t>
      </w:r>
      <w:r>
        <w:rPr>
          <w:rFonts w:ascii="Arial" w:hAnsi="Arial"/>
          <w:i/>
          <w:spacing w:val="-3"/>
        </w:rPr>
        <w:t> </w:t>
      </w:r>
      <w:r>
        <w:rPr/>
        <w:t>case,</w:t>
      </w:r>
      <w:r>
        <w:rPr>
          <w:spacing w:val="-3"/>
        </w:rPr>
        <w:t> </w:t>
      </w:r>
      <w:r>
        <w:rPr/>
        <w:t>above</w:t>
      </w:r>
      <w:r>
        <w:rPr>
          <w:spacing w:val="-3"/>
        </w:rPr>
        <w:t> </w:t>
      </w:r>
      <w:r>
        <w:rPr/>
        <w:t>n.798</w:t>
      </w:r>
      <w:r>
        <w:rPr>
          <w:spacing w:val="-3"/>
        </w:rPr>
        <w:t> </w:t>
      </w:r>
      <w:r>
        <w:rPr/>
        <w:t>at</w:t>
      </w:r>
      <w:r>
        <w:rPr>
          <w:spacing w:val="-3"/>
        </w:rPr>
        <w:t> </w:t>
      </w:r>
      <w:r>
        <w:rPr/>
        <w:t>[180],</w:t>
      </w:r>
      <w:r>
        <w:rPr>
          <w:spacing w:val="-3"/>
        </w:rPr>
        <w:t> </w:t>
      </w:r>
      <w:r>
        <w:rPr/>
        <w:t>[189]</w:t>
      </w:r>
      <w:r>
        <w:rPr>
          <w:spacing w:val="-3"/>
        </w:rPr>
        <w:t> </w:t>
      </w:r>
      <w:r>
        <w:rPr/>
        <w:t>(“there</w:t>
      </w:r>
      <w:r>
        <w:rPr>
          <w:spacing w:val="-3"/>
        </w:rPr>
        <w:t> </w:t>
      </w:r>
      <w:r>
        <w:rPr/>
        <w:t>is</w:t>
      </w:r>
      <w:r>
        <w:rPr>
          <w:spacing w:val="-3"/>
        </w:rPr>
        <w:t> </w:t>
      </w:r>
      <w:r>
        <w:rPr/>
        <w:t>no</w:t>
      </w:r>
      <w:r>
        <w:rPr>
          <w:spacing w:val="-3"/>
        </w:rPr>
        <w:t> </w:t>
      </w:r>
      <w:r>
        <w:rPr/>
        <w:t>in-between</w:t>
      </w:r>
      <w:r>
        <w:rPr>
          <w:spacing w:val="-3"/>
        </w:rPr>
        <w:t> </w:t>
      </w:r>
      <w:r>
        <w:rPr/>
        <w:t>hybrid</w:t>
      </w:r>
      <w:r>
        <w:rPr>
          <w:spacing w:val="-3"/>
        </w:rPr>
        <w:t> </w:t>
      </w:r>
      <w:r>
        <w:rPr/>
        <w:t>tort</w:t>
      </w:r>
      <w:r>
        <w:rPr>
          <w:spacing w:val="-3"/>
        </w:rPr>
        <w:t> </w:t>
      </w:r>
      <w:r>
        <w:rPr/>
        <w:t>of</w:t>
      </w:r>
      <w:r>
        <w:rPr>
          <w:spacing w:val="-3"/>
        </w:rPr>
        <w:t> </w:t>
      </w:r>
      <w:r>
        <w:rPr/>
        <w:t>‘interfering with contractual relations’”).</w:t>
      </w:r>
    </w:p>
    <w:p>
      <w:pPr>
        <w:pStyle w:val="BodyText"/>
        <w:spacing w:before="9"/>
      </w:pPr>
    </w:p>
    <w:p>
      <w:pPr>
        <w:spacing w:line="235" w:lineRule="auto" w:before="0"/>
        <w:ind w:left="705" w:right="167" w:hanging="541"/>
        <w:jc w:val="both"/>
        <w:rPr>
          <w:sz w:val="20"/>
        </w:rPr>
      </w:pPr>
      <w:bookmarkStart w:name="_bookmark1635" w:id="1637"/>
      <w:bookmarkEnd w:id="1637"/>
      <w:r>
        <w:rPr/>
      </w:r>
      <w:hyperlink w:history="true" w:anchor="_bookmark1554">
        <w:r>
          <w:rPr>
            <w:color w:val="005DA1"/>
            <w:position w:val="5"/>
            <w:sz w:val="14"/>
            <w:u w:val="single" w:color="005DA1"/>
          </w:rPr>
          <w:t>831</w:t>
        </w:r>
      </w:hyperlink>
      <w:r>
        <w:rPr>
          <w:position w:val="5"/>
          <w:sz w:val="14"/>
        </w:rPr>
        <w:t>.</w:t>
      </w:r>
      <w:r>
        <w:rPr>
          <w:spacing w:val="80"/>
          <w:position w:val="5"/>
          <w:sz w:val="14"/>
        </w:rPr>
        <w:t>  </w:t>
      </w:r>
      <w:r>
        <w:rPr>
          <w:sz w:val="20"/>
        </w:rPr>
        <w:t>At nn.799, 800. For the further distinction between the requirements of the tort of </w:t>
      </w:r>
      <w:r>
        <w:rPr>
          <w:rFonts w:ascii="Arial"/>
          <w:i/>
          <w:sz w:val="20"/>
        </w:rPr>
        <w:t>causing loss</w:t>
      </w:r>
      <w:r>
        <w:rPr>
          <w:rFonts w:ascii="Arial"/>
          <w:i/>
          <w:spacing w:val="40"/>
          <w:sz w:val="20"/>
        </w:rPr>
        <w:t> </w:t>
      </w:r>
      <w:r>
        <w:rPr>
          <w:sz w:val="20"/>
        </w:rPr>
        <w:t>by unlawful means and that of </w:t>
      </w:r>
      <w:r>
        <w:rPr>
          <w:rFonts w:ascii="Arial"/>
          <w:i/>
          <w:sz w:val="20"/>
        </w:rPr>
        <w:t>conspiracy </w:t>
      </w:r>
      <w:r>
        <w:rPr>
          <w:sz w:val="20"/>
        </w:rPr>
        <w:t>to cause loss by unlawful means, see the discussion of the </w:t>
      </w:r>
      <w:r>
        <w:rPr>
          <w:rFonts w:ascii="Arial"/>
          <w:i/>
          <w:sz w:val="20"/>
        </w:rPr>
        <w:t>OBG </w:t>
      </w:r>
      <w:r>
        <w:rPr>
          <w:sz w:val="20"/>
        </w:rPr>
        <w:t>case in </w:t>
      </w:r>
      <w:r>
        <w:rPr>
          <w:rFonts w:ascii="Arial"/>
          <w:i/>
          <w:sz w:val="20"/>
        </w:rPr>
        <w:t>Revenue and Customs Commissioners v Total Networks SL [2008] </w:t>
      </w:r>
      <w:r>
        <w:rPr>
          <w:rFonts w:ascii="Arial"/>
          <w:i/>
          <w:sz w:val="20"/>
        </w:rPr>
        <w:t>UKHL 19, [2008] 2 All E.R. 143</w:t>
      </w:r>
      <w:r>
        <w:rPr>
          <w:sz w:val="20"/>
        </w:rPr>
        <w:t>.</w:t>
      </w:r>
    </w:p>
    <w:p>
      <w:pPr>
        <w:pStyle w:val="BodyText"/>
        <w:spacing w:before="4"/>
      </w:pPr>
    </w:p>
    <w:p>
      <w:pPr>
        <w:tabs>
          <w:tab w:pos="705" w:val="left" w:leader="none"/>
        </w:tabs>
        <w:spacing w:before="1"/>
        <w:ind w:left="165" w:right="0" w:firstLine="0"/>
        <w:jc w:val="left"/>
        <w:rPr>
          <w:sz w:val="20"/>
        </w:rPr>
      </w:pPr>
      <w:bookmarkStart w:name="_bookmark1636" w:id="1638"/>
      <w:bookmarkEnd w:id="1638"/>
      <w:r>
        <w:rPr/>
      </w:r>
      <w:hyperlink w:history="true" w:anchor="_bookmark1555">
        <w:r>
          <w:rPr>
            <w:color w:val="005DA1"/>
            <w:spacing w:val="-4"/>
            <w:position w:val="5"/>
            <w:sz w:val="14"/>
            <w:u w:val="single" w:color="005DA1"/>
          </w:rPr>
          <w:t>832</w:t>
        </w:r>
      </w:hyperlink>
      <w:r>
        <w:rPr>
          <w:spacing w:val="-4"/>
          <w:position w:val="5"/>
          <w:sz w:val="14"/>
        </w:rPr>
        <w:t>.</w:t>
      </w:r>
      <w:r>
        <w:rPr>
          <w:position w:val="5"/>
          <w:sz w:val="14"/>
        </w:rPr>
        <w:tab/>
      </w:r>
      <w:r>
        <w:rPr>
          <w:rFonts w:ascii="Arial"/>
          <w:i/>
          <w:sz w:val="20"/>
        </w:rPr>
        <w:t>PSM International v Whitehouse [1992] I.R.L.R. </w:t>
      </w:r>
      <w:r>
        <w:rPr>
          <w:rFonts w:ascii="Arial"/>
          <w:i/>
          <w:spacing w:val="-4"/>
          <w:sz w:val="20"/>
        </w:rPr>
        <w:t>279</w:t>
      </w:r>
      <w:r>
        <w:rPr>
          <w:spacing w:val="-4"/>
          <w:sz w:val="20"/>
        </w:rPr>
        <w:t>.</w:t>
      </w:r>
    </w:p>
    <w:p>
      <w:pPr>
        <w:pStyle w:val="BodyText"/>
        <w:spacing w:before="4"/>
      </w:pPr>
    </w:p>
    <w:p>
      <w:pPr>
        <w:pStyle w:val="BodyText"/>
        <w:tabs>
          <w:tab w:pos="705" w:val="left" w:leader="none"/>
        </w:tabs>
        <w:spacing w:before="1"/>
        <w:ind w:left="165"/>
      </w:pPr>
      <w:bookmarkStart w:name="_bookmark1637" w:id="1639"/>
      <w:bookmarkEnd w:id="1639"/>
      <w:r>
        <w:rPr/>
      </w:r>
      <w:hyperlink w:history="true" w:anchor="_bookmark1556">
        <w:r>
          <w:rPr>
            <w:color w:val="005DA1"/>
            <w:spacing w:val="-4"/>
            <w:position w:val="5"/>
            <w:sz w:val="14"/>
            <w:u w:val="single" w:color="005DA1"/>
          </w:rPr>
          <w:t>833</w:t>
        </w:r>
      </w:hyperlink>
      <w:r>
        <w:rPr>
          <w:spacing w:val="-4"/>
          <w:position w:val="5"/>
          <w:sz w:val="14"/>
        </w:rPr>
        <w:t>.</w:t>
      </w:r>
      <w:r>
        <w:rPr>
          <w:position w:val="5"/>
          <w:sz w:val="14"/>
        </w:rPr>
        <w:tab/>
      </w:r>
      <w:r>
        <w:rPr/>
        <w:t>Chafee (1928) 41 Harv.L.Rev. 945; Wade (1928) 44 L.Q.R. </w:t>
      </w:r>
      <w:r>
        <w:rPr>
          <w:spacing w:val="-5"/>
        </w:rPr>
        <w:t>51.</w:t>
      </w:r>
    </w:p>
    <w:p>
      <w:pPr>
        <w:pStyle w:val="BodyText"/>
        <w:spacing w:before="4"/>
      </w:pPr>
    </w:p>
    <w:p>
      <w:pPr>
        <w:tabs>
          <w:tab w:pos="705" w:val="left" w:leader="none"/>
        </w:tabs>
        <w:spacing w:before="1"/>
        <w:ind w:left="165" w:right="0" w:firstLine="0"/>
        <w:jc w:val="left"/>
        <w:rPr>
          <w:sz w:val="20"/>
        </w:rPr>
      </w:pPr>
      <w:bookmarkStart w:name="_bookmark1638" w:id="1640"/>
      <w:bookmarkEnd w:id="1640"/>
      <w:r>
        <w:rPr/>
      </w:r>
      <w:hyperlink w:history="true" w:anchor="_bookmark1557">
        <w:r>
          <w:rPr>
            <w:color w:val="005DA1"/>
            <w:spacing w:val="-4"/>
            <w:position w:val="5"/>
            <w:sz w:val="14"/>
            <w:u w:val="single" w:color="005DA1"/>
          </w:rPr>
          <w:t>834</w:t>
        </w:r>
      </w:hyperlink>
      <w:r>
        <w:rPr>
          <w:spacing w:val="-4"/>
          <w:position w:val="5"/>
          <w:sz w:val="14"/>
        </w:rPr>
        <w:t>.</w:t>
      </w:r>
      <w:r>
        <w:rPr>
          <w:position w:val="5"/>
          <w:sz w:val="14"/>
        </w:rPr>
        <w:tab/>
      </w:r>
      <w:r>
        <w:rPr>
          <w:rFonts w:ascii="Arial"/>
          <w:i/>
          <w:sz w:val="20"/>
        </w:rPr>
        <w:t>(1853)</w:t>
      </w:r>
      <w:r>
        <w:rPr>
          <w:rFonts w:ascii="Arial"/>
          <w:i/>
          <w:spacing w:val="-1"/>
          <w:sz w:val="20"/>
        </w:rPr>
        <w:t> </w:t>
      </w:r>
      <w:r>
        <w:rPr>
          <w:rFonts w:ascii="Arial"/>
          <w:i/>
          <w:sz w:val="20"/>
        </w:rPr>
        <w:t>2 E. &amp; B. 216</w:t>
      </w:r>
      <w:r>
        <w:rPr>
          <w:sz w:val="20"/>
        </w:rPr>
        <w:t>; above, para.18-</w:t>
      </w:r>
      <w:r>
        <w:rPr>
          <w:spacing w:val="-4"/>
          <w:sz w:val="20"/>
        </w:rPr>
        <w:t>141.</w:t>
      </w:r>
    </w:p>
    <w:p>
      <w:pPr>
        <w:spacing w:after="0"/>
        <w:jc w:val="left"/>
        <w:rPr>
          <w:sz w:val="20"/>
        </w:rPr>
        <w:sectPr>
          <w:pgSz w:w="11900" w:h="16840"/>
          <w:pgMar w:header="971" w:footer="0" w:top="1160" w:bottom="280" w:left="1275" w:right="1275"/>
        </w:sectPr>
      </w:pPr>
    </w:p>
    <w:p>
      <w:pPr>
        <w:pStyle w:val="BodyText"/>
        <w:spacing w:before="81"/>
      </w:pPr>
    </w:p>
    <w:p>
      <w:pPr>
        <w:tabs>
          <w:tab w:pos="705" w:val="left" w:leader="none"/>
        </w:tabs>
        <w:spacing w:line="227" w:lineRule="exact" w:before="0"/>
        <w:ind w:left="165" w:right="0" w:firstLine="0"/>
        <w:jc w:val="left"/>
        <w:rPr>
          <w:rFonts w:ascii="Arial"/>
          <w:i/>
          <w:sz w:val="20"/>
        </w:rPr>
      </w:pPr>
      <w:hyperlink w:history="true" w:anchor="_bookmark1558">
        <w:r>
          <w:rPr>
            <w:color w:val="005DA1"/>
            <w:spacing w:val="-4"/>
            <w:position w:val="5"/>
            <w:sz w:val="14"/>
            <w:u w:val="single" w:color="005DA1"/>
          </w:rPr>
          <w:t>835</w:t>
        </w:r>
      </w:hyperlink>
      <w:r>
        <w:rPr>
          <w:spacing w:val="-4"/>
          <w:position w:val="5"/>
          <w:sz w:val="14"/>
        </w:rPr>
        <w:t>.</w:t>
      </w:r>
      <w:r>
        <w:rPr>
          <w:position w:val="5"/>
          <w:sz w:val="14"/>
        </w:rPr>
        <w:tab/>
      </w:r>
      <w:r>
        <w:rPr>
          <w:rFonts w:ascii="Arial"/>
          <w:i/>
          <w:sz w:val="20"/>
        </w:rPr>
        <w:t>Falcke</w:t>
      </w:r>
      <w:r>
        <w:rPr>
          <w:rFonts w:ascii="Arial"/>
          <w:i/>
          <w:spacing w:val="4"/>
          <w:sz w:val="20"/>
        </w:rPr>
        <w:t> </w:t>
      </w:r>
      <w:r>
        <w:rPr>
          <w:rFonts w:ascii="Arial"/>
          <w:i/>
          <w:sz w:val="20"/>
        </w:rPr>
        <w:t>v</w:t>
      </w:r>
      <w:r>
        <w:rPr>
          <w:rFonts w:ascii="Arial"/>
          <w:i/>
          <w:spacing w:val="5"/>
          <w:sz w:val="20"/>
        </w:rPr>
        <w:t> </w:t>
      </w:r>
      <w:r>
        <w:rPr>
          <w:rFonts w:ascii="Arial"/>
          <w:i/>
          <w:sz w:val="20"/>
        </w:rPr>
        <w:t>Gray</w:t>
      </w:r>
      <w:r>
        <w:rPr>
          <w:rFonts w:ascii="Arial"/>
          <w:i/>
          <w:spacing w:val="5"/>
          <w:sz w:val="20"/>
        </w:rPr>
        <w:t> </w:t>
      </w:r>
      <w:r>
        <w:rPr>
          <w:rFonts w:ascii="Arial"/>
          <w:i/>
          <w:sz w:val="20"/>
        </w:rPr>
        <w:t>(1859)</w:t>
      </w:r>
      <w:r>
        <w:rPr>
          <w:rFonts w:ascii="Arial"/>
          <w:i/>
          <w:spacing w:val="5"/>
          <w:sz w:val="20"/>
        </w:rPr>
        <w:t> </w:t>
      </w:r>
      <w:r>
        <w:rPr>
          <w:rFonts w:ascii="Arial"/>
          <w:i/>
          <w:sz w:val="20"/>
        </w:rPr>
        <w:t>4</w:t>
      </w:r>
      <w:r>
        <w:rPr>
          <w:rFonts w:ascii="Arial"/>
          <w:i/>
          <w:spacing w:val="5"/>
          <w:sz w:val="20"/>
        </w:rPr>
        <w:t> </w:t>
      </w:r>
      <w:r>
        <w:rPr>
          <w:rFonts w:ascii="Arial"/>
          <w:i/>
          <w:sz w:val="20"/>
        </w:rPr>
        <w:t>Drew.</w:t>
      </w:r>
      <w:r>
        <w:rPr>
          <w:rFonts w:ascii="Arial"/>
          <w:i/>
          <w:spacing w:val="5"/>
          <w:sz w:val="20"/>
        </w:rPr>
        <w:t> </w:t>
      </w:r>
      <w:r>
        <w:rPr>
          <w:rFonts w:ascii="Arial"/>
          <w:i/>
          <w:sz w:val="20"/>
        </w:rPr>
        <w:t>651</w:t>
      </w:r>
      <w:r>
        <w:rPr>
          <w:sz w:val="20"/>
        </w:rPr>
        <w:t>,</w:t>
      </w:r>
      <w:r>
        <w:rPr>
          <w:spacing w:val="5"/>
          <w:sz w:val="20"/>
        </w:rPr>
        <w:t> </w:t>
      </w:r>
      <w:r>
        <w:rPr>
          <w:sz w:val="20"/>
        </w:rPr>
        <w:t>as</w:t>
      </w:r>
      <w:r>
        <w:rPr>
          <w:spacing w:val="5"/>
          <w:sz w:val="20"/>
        </w:rPr>
        <w:t> </w:t>
      </w:r>
      <w:r>
        <w:rPr>
          <w:sz w:val="20"/>
        </w:rPr>
        <w:t>explained</w:t>
      </w:r>
      <w:r>
        <w:rPr>
          <w:spacing w:val="5"/>
          <w:sz w:val="20"/>
        </w:rPr>
        <w:t> </w:t>
      </w:r>
      <w:r>
        <w:rPr>
          <w:sz w:val="20"/>
        </w:rPr>
        <w:t>in</w:t>
      </w:r>
      <w:r>
        <w:rPr>
          <w:spacing w:val="5"/>
          <w:sz w:val="20"/>
        </w:rPr>
        <w:t> </w:t>
      </w:r>
      <w:r>
        <w:rPr>
          <w:rFonts w:ascii="Arial"/>
          <w:i/>
          <w:sz w:val="20"/>
        </w:rPr>
        <w:t>Erskine</w:t>
      </w:r>
      <w:r>
        <w:rPr>
          <w:rFonts w:ascii="Arial"/>
          <w:i/>
          <w:spacing w:val="5"/>
          <w:sz w:val="20"/>
        </w:rPr>
        <w:t> </w:t>
      </w:r>
      <w:r>
        <w:rPr>
          <w:rFonts w:ascii="Arial"/>
          <w:i/>
          <w:sz w:val="20"/>
        </w:rPr>
        <w:t>Macdonald</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Eyles</w:t>
      </w:r>
      <w:r>
        <w:rPr>
          <w:rFonts w:ascii="Arial"/>
          <w:i/>
          <w:spacing w:val="5"/>
          <w:sz w:val="20"/>
        </w:rPr>
        <w:t> </w:t>
      </w:r>
      <w:r>
        <w:rPr>
          <w:rFonts w:ascii="Arial"/>
          <w:i/>
          <w:sz w:val="20"/>
        </w:rPr>
        <w:t>[1921]</w:t>
      </w:r>
      <w:r>
        <w:rPr>
          <w:rFonts w:ascii="Arial"/>
          <w:i/>
          <w:spacing w:val="5"/>
          <w:sz w:val="20"/>
        </w:rPr>
        <w:t> </w:t>
      </w:r>
      <w:r>
        <w:rPr>
          <w:rFonts w:ascii="Arial"/>
          <w:i/>
          <w:sz w:val="20"/>
        </w:rPr>
        <w:t>1</w:t>
      </w:r>
      <w:r>
        <w:rPr>
          <w:rFonts w:ascii="Arial"/>
          <w:i/>
          <w:spacing w:val="5"/>
          <w:sz w:val="20"/>
        </w:rPr>
        <w:t> </w:t>
      </w:r>
      <w:r>
        <w:rPr>
          <w:rFonts w:ascii="Arial"/>
          <w:i/>
          <w:spacing w:val="-5"/>
          <w:sz w:val="20"/>
        </w:rPr>
        <w:t>Ch.</w:t>
      </w:r>
    </w:p>
    <w:p>
      <w:pPr>
        <w:spacing w:line="227" w:lineRule="exact" w:before="0"/>
        <w:ind w:left="705" w:right="0" w:firstLine="0"/>
        <w:jc w:val="left"/>
        <w:rPr>
          <w:sz w:val="20"/>
        </w:rPr>
      </w:pPr>
      <w:r>
        <w:rPr>
          <w:rFonts w:ascii="Arial"/>
          <w:i/>
          <w:sz w:val="20"/>
        </w:rPr>
        <w:t>631,</w:t>
      </w:r>
      <w:r>
        <w:rPr>
          <w:rFonts w:ascii="Arial"/>
          <w:i/>
          <w:spacing w:val="-2"/>
          <w:sz w:val="20"/>
        </w:rPr>
        <w:t> </w:t>
      </w:r>
      <w:r>
        <w:rPr>
          <w:rFonts w:ascii="Arial"/>
          <w:i/>
          <w:spacing w:val="-4"/>
          <w:sz w:val="20"/>
        </w:rPr>
        <w:t>641</w:t>
      </w:r>
      <w:r>
        <w:rPr>
          <w:spacing w:val="-4"/>
          <w:sz w:val="20"/>
        </w:rPr>
        <w:t>.</w:t>
      </w:r>
    </w:p>
    <w:p>
      <w:pPr>
        <w:pStyle w:val="BodyText"/>
        <w:spacing w:before="9"/>
      </w:pPr>
    </w:p>
    <w:p>
      <w:pPr>
        <w:spacing w:line="235" w:lineRule="auto" w:before="0"/>
        <w:ind w:left="705" w:right="168" w:hanging="541"/>
        <w:jc w:val="both"/>
        <w:rPr>
          <w:sz w:val="20"/>
        </w:rPr>
      </w:pPr>
      <w:bookmarkStart w:name="_bookmark1639" w:id="1641"/>
      <w:bookmarkEnd w:id="1641"/>
      <w:r>
        <w:rPr/>
      </w:r>
      <w:hyperlink w:history="true" w:anchor="_bookmark1559">
        <w:r>
          <w:rPr>
            <w:color w:val="005DA1"/>
            <w:position w:val="5"/>
            <w:sz w:val="14"/>
            <w:u w:val="single" w:color="005DA1"/>
          </w:rPr>
          <w:t>836</w:t>
        </w:r>
      </w:hyperlink>
      <w:r>
        <w:rPr>
          <w:position w:val="5"/>
          <w:sz w:val="14"/>
        </w:rPr>
        <w:t>.</w:t>
      </w:r>
      <w:r>
        <w:rPr>
          <w:spacing w:val="40"/>
          <w:position w:val="5"/>
          <w:sz w:val="14"/>
        </w:rPr>
        <w:t>  </w:t>
      </w:r>
      <w:r>
        <w:rPr>
          <w:rFonts w:ascii="Arial" w:hAnsi="Arial"/>
          <w:i/>
          <w:sz w:val="20"/>
        </w:rPr>
        <w:t>Swiss Bank Corp. v Lloyd’s Bank Ltd [1982] A.C. 584, 598, 613</w:t>
      </w:r>
      <w:r>
        <w:rPr>
          <w:sz w:val="20"/>
        </w:rPr>
        <w:t>, below, para.27-008; the actual decision was that the contract of loan did </w:t>
      </w:r>
      <w:r>
        <w:rPr>
          <w:rFonts w:ascii="Arial" w:hAnsi="Arial"/>
          <w:i/>
          <w:sz w:val="20"/>
        </w:rPr>
        <w:t>not </w:t>
      </w:r>
      <w:r>
        <w:rPr>
          <w:sz w:val="20"/>
        </w:rPr>
        <w:t>create an obligation to repay out of </w:t>
      </w:r>
      <w:r>
        <w:rPr>
          <w:sz w:val="20"/>
        </w:rPr>
        <w:t>specific property and hence was not specifically enforceable. cf. also </w:t>
      </w:r>
      <w:r>
        <w:rPr>
          <w:rFonts w:ascii="Arial" w:hAnsi="Arial"/>
          <w:i/>
          <w:sz w:val="20"/>
        </w:rPr>
        <w:t>C.N. Marine Inc. v Stena Line A/B (The Stena Nautica) (No.2) [1982] 2 Lloyd’s Rep. 336 </w:t>
      </w:r>
      <w:r>
        <w:rPr>
          <w:sz w:val="20"/>
        </w:rPr>
        <w:t>(where specific performance was</w:t>
      </w:r>
      <w:r>
        <w:rPr>
          <w:spacing w:val="40"/>
          <w:sz w:val="20"/>
        </w:rPr>
        <w:t> </w:t>
      </w:r>
      <w:r>
        <w:rPr>
          <w:sz w:val="20"/>
        </w:rPr>
        <w:t>denied). For the special position of mortgages of ships, see </w:t>
      </w:r>
      <w:r>
        <w:rPr>
          <w:rFonts w:ascii="Arial" w:hAnsi="Arial"/>
          <w:i/>
          <w:sz w:val="20"/>
        </w:rPr>
        <w:t>The Shizelle [1992] 2 Lloyd’s Rep. </w:t>
      </w:r>
      <w:r>
        <w:rPr>
          <w:rFonts w:ascii="Arial" w:hAnsi="Arial"/>
          <w:i/>
          <w:spacing w:val="-4"/>
          <w:sz w:val="20"/>
        </w:rPr>
        <w:t>444</w:t>
      </w:r>
      <w:r>
        <w:rPr>
          <w:spacing w:val="-4"/>
          <w:sz w:val="20"/>
        </w:rPr>
        <w:t>.</w:t>
      </w:r>
    </w:p>
    <w:p>
      <w:pPr>
        <w:pStyle w:val="BodyText"/>
        <w:spacing w:before="4"/>
      </w:pPr>
    </w:p>
    <w:p>
      <w:pPr>
        <w:tabs>
          <w:tab w:pos="705" w:val="left" w:leader="none"/>
        </w:tabs>
        <w:spacing w:before="0"/>
        <w:ind w:left="165" w:right="0" w:firstLine="0"/>
        <w:jc w:val="left"/>
        <w:rPr>
          <w:sz w:val="20"/>
        </w:rPr>
      </w:pPr>
      <w:bookmarkStart w:name="_bookmark1640" w:id="1642"/>
      <w:bookmarkEnd w:id="1642"/>
      <w:r>
        <w:rPr/>
      </w:r>
      <w:hyperlink w:history="true" w:anchor="_bookmark1560">
        <w:r>
          <w:rPr>
            <w:color w:val="005DA1"/>
            <w:spacing w:val="-4"/>
            <w:position w:val="5"/>
            <w:sz w:val="14"/>
            <w:u w:val="single" w:color="005DA1"/>
          </w:rPr>
          <w:t>837</w:t>
        </w:r>
      </w:hyperlink>
      <w:r>
        <w:rPr>
          <w:spacing w:val="-4"/>
          <w:position w:val="5"/>
          <w:sz w:val="14"/>
        </w:rPr>
        <w:t>.</w:t>
      </w:r>
      <w:r>
        <w:rPr>
          <w:position w:val="5"/>
          <w:sz w:val="14"/>
        </w:rPr>
        <w:tab/>
      </w:r>
      <w:r>
        <w:rPr>
          <w:rFonts w:ascii="Arial"/>
          <w:i/>
          <w:sz w:val="20"/>
        </w:rPr>
        <w:t>MacJordan Construction Ltd v Brookmount Erostin Ltd [1992] B.C.L.C. </w:t>
      </w:r>
      <w:r>
        <w:rPr>
          <w:rFonts w:ascii="Arial"/>
          <w:i/>
          <w:spacing w:val="-4"/>
          <w:sz w:val="20"/>
        </w:rPr>
        <w:t>350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41" w:id="1643"/>
      <w:bookmarkEnd w:id="1643"/>
      <w:r>
        <w:rPr/>
      </w:r>
      <w:hyperlink w:history="true" w:anchor="_bookmark1561">
        <w:r>
          <w:rPr>
            <w:color w:val="005DA1"/>
            <w:spacing w:val="-4"/>
            <w:position w:val="5"/>
            <w:sz w:val="14"/>
            <w:u w:val="single" w:color="005DA1"/>
          </w:rPr>
          <w:t>838</w:t>
        </w:r>
      </w:hyperlink>
      <w:r>
        <w:rPr>
          <w:spacing w:val="-4"/>
          <w:position w:val="5"/>
          <w:sz w:val="14"/>
        </w:rPr>
        <w:t>.</w:t>
      </w:r>
      <w:r>
        <w:rPr>
          <w:position w:val="5"/>
          <w:sz w:val="14"/>
        </w:rPr>
        <w:tab/>
      </w:r>
      <w:r>
        <w:rPr>
          <w:rFonts w:ascii="Arial"/>
          <w:i/>
          <w:sz w:val="20"/>
        </w:rPr>
        <w:t>(1858) 4 D. &amp; J. 276, </w:t>
      </w:r>
      <w:r>
        <w:rPr>
          <w:rFonts w:ascii="Arial"/>
          <w:i/>
          <w:spacing w:val="-4"/>
          <w:sz w:val="20"/>
        </w:rPr>
        <w:t>282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42" w:id="1644"/>
      <w:bookmarkEnd w:id="1644"/>
      <w:r>
        <w:rPr/>
      </w:r>
      <w:hyperlink w:history="true" w:anchor="_bookmark1562">
        <w:r>
          <w:rPr>
            <w:color w:val="005DA1"/>
            <w:spacing w:val="-4"/>
            <w:position w:val="5"/>
            <w:sz w:val="14"/>
            <w:u w:val="single" w:color="005DA1"/>
          </w:rPr>
          <w:t>839</w:t>
        </w:r>
      </w:hyperlink>
      <w:r>
        <w:rPr>
          <w:spacing w:val="-4"/>
          <w:position w:val="5"/>
          <w:sz w:val="14"/>
        </w:rPr>
        <w:t>.</w:t>
      </w:r>
      <w:r>
        <w:rPr>
          <w:position w:val="5"/>
          <w:sz w:val="14"/>
        </w:rPr>
        <w:tab/>
      </w:r>
      <w:r>
        <w:rPr>
          <w:rFonts w:ascii="Arial"/>
          <w:i/>
          <w:sz w:val="20"/>
        </w:rPr>
        <w:t>(1848)</w:t>
      </w:r>
      <w:r>
        <w:rPr>
          <w:rFonts w:ascii="Arial"/>
          <w:i/>
          <w:spacing w:val="-2"/>
          <w:sz w:val="20"/>
        </w:rPr>
        <w:t> </w:t>
      </w:r>
      <w:r>
        <w:rPr>
          <w:rFonts w:ascii="Arial"/>
          <w:i/>
          <w:sz w:val="20"/>
        </w:rPr>
        <w:t>2 Ph. </w:t>
      </w:r>
      <w:r>
        <w:rPr>
          <w:rFonts w:ascii="Arial"/>
          <w:i/>
          <w:spacing w:val="-4"/>
          <w:sz w:val="20"/>
        </w:rPr>
        <w:t>774</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643" w:id="1645"/>
      <w:bookmarkEnd w:id="1645"/>
      <w:r>
        <w:rPr/>
      </w:r>
      <w:hyperlink w:history="true" w:anchor="_bookmark1563">
        <w:r>
          <w:rPr>
            <w:color w:val="005DA1"/>
            <w:spacing w:val="-4"/>
            <w:position w:val="5"/>
            <w:sz w:val="14"/>
            <w:u w:val="single" w:color="005DA1"/>
          </w:rPr>
          <w:t>840</w:t>
        </w:r>
      </w:hyperlink>
      <w:r>
        <w:rPr>
          <w:spacing w:val="-4"/>
          <w:position w:val="5"/>
          <w:sz w:val="14"/>
        </w:rPr>
        <w:t>.</w:t>
      </w:r>
      <w:r>
        <w:rPr>
          <w:position w:val="5"/>
          <w:sz w:val="14"/>
        </w:rPr>
        <w:tab/>
      </w:r>
      <w:r>
        <w:rPr>
          <w:rFonts w:ascii="Arial"/>
          <w:i/>
          <w:sz w:val="20"/>
        </w:rPr>
        <w:t>L.C.C.</w:t>
      </w:r>
      <w:r>
        <w:rPr>
          <w:rFonts w:ascii="Arial"/>
          <w:i/>
          <w:spacing w:val="21"/>
          <w:sz w:val="20"/>
        </w:rPr>
        <w:t> </w:t>
      </w:r>
      <w:r>
        <w:rPr>
          <w:rFonts w:ascii="Arial"/>
          <w:i/>
          <w:sz w:val="20"/>
        </w:rPr>
        <w:t>v</w:t>
      </w:r>
      <w:r>
        <w:rPr>
          <w:rFonts w:ascii="Arial"/>
          <w:i/>
          <w:spacing w:val="21"/>
          <w:sz w:val="20"/>
        </w:rPr>
        <w:t> </w:t>
      </w:r>
      <w:r>
        <w:rPr>
          <w:rFonts w:ascii="Arial"/>
          <w:i/>
          <w:sz w:val="20"/>
        </w:rPr>
        <w:t>Allen</w:t>
      </w:r>
      <w:r>
        <w:rPr>
          <w:rFonts w:ascii="Arial"/>
          <w:i/>
          <w:spacing w:val="21"/>
          <w:sz w:val="20"/>
        </w:rPr>
        <w:t> </w:t>
      </w:r>
      <w:r>
        <w:rPr>
          <w:rFonts w:ascii="Arial"/>
          <w:i/>
          <w:sz w:val="20"/>
        </w:rPr>
        <w:t>[1914]</w:t>
      </w:r>
      <w:r>
        <w:rPr>
          <w:rFonts w:ascii="Arial"/>
          <w:i/>
          <w:spacing w:val="21"/>
          <w:sz w:val="20"/>
        </w:rPr>
        <w:t> </w:t>
      </w:r>
      <w:r>
        <w:rPr>
          <w:rFonts w:ascii="Arial"/>
          <w:i/>
          <w:sz w:val="20"/>
        </w:rPr>
        <w:t>3</w:t>
      </w:r>
      <w:r>
        <w:rPr>
          <w:rFonts w:ascii="Arial"/>
          <w:i/>
          <w:spacing w:val="21"/>
          <w:sz w:val="20"/>
        </w:rPr>
        <w:t> </w:t>
      </w:r>
      <w:r>
        <w:rPr>
          <w:rFonts w:ascii="Arial"/>
          <w:i/>
          <w:sz w:val="20"/>
        </w:rPr>
        <w:t>K.B.</w:t>
      </w:r>
      <w:r>
        <w:rPr>
          <w:rFonts w:ascii="Arial"/>
          <w:i/>
          <w:spacing w:val="21"/>
          <w:sz w:val="20"/>
        </w:rPr>
        <w:t> </w:t>
      </w:r>
      <w:r>
        <w:rPr>
          <w:rFonts w:ascii="Arial"/>
          <w:i/>
          <w:sz w:val="20"/>
        </w:rPr>
        <w:t>642</w:t>
      </w:r>
      <w:r>
        <w:rPr>
          <w:sz w:val="20"/>
        </w:rPr>
        <w:t>;</w:t>
      </w:r>
      <w:r>
        <w:rPr>
          <w:spacing w:val="21"/>
          <w:sz w:val="20"/>
        </w:rPr>
        <w:t> </w:t>
      </w:r>
      <w:r>
        <w:rPr>
          <w:sz w:val="20"/>
        </w:rPr>
        <w:t>the</w:t>
      </w:r>
      <w:r>
        <w:rPr>
          <w:spacing w:val="21"/>
          <w:sz w:val="20"/>
        </w:rPr>
        <w:t> </w:t>
      </w:r>
      <w:r>
        <w:rPr>
          <w:sz w:val="20"/>
        </w:rPr>
        <w:t>actual</w:t>
      </w:r>
      <w:r>
        <w:rPr>
          <w:spacing w:val="21"/>
          <w:sz w:val="20"/>
        </w:rPr>
        <w:t> </w:t>
      </w:r>
      <w:r>
        <w:rPr>
          <w:sz w:val="20"/>
        </w:rPr>
        <w:t>decision</w:t>
      </w:r>
      <w:r>
        <w:rPr>
          <w:spacing w:val="21"/>
          <w:sz w:val="20"/>
        </w:rPr>
        <w:t> </w:t>
      </w:r>
      <w:r>
        <w:rPr>
          <w:sz w:val="20"/>
        </w:rPr>
        <w:t>has</w:t>
      </w:r>
      <w:r>
        <w:rPr>
          <w:spacing w:val="21"/>
          <w:sz w:val="20"/>
        </w:rPr>
        <w:t> </w:t>
      </w:r>
      <w:r>
        <w:rPr>
          <w:sz w:val="20"/>
        </w:rPr>
        <w:t>been</w:t>
      </w:r>
      <w:r>
        <w:rPr>
          <w:spacing w:val="21"/>
          <w:sz w:val="20"/>
        </w:rPr>
        <w:t> </w:t>
      </w:r>
      <w:r>
        <w:rPr>
          <w:sz w:val="20"/>
        </w:rPr>
        <w:t>reversed</w:t>
      </w:r>
      <w:r>
        <w:rPr>
          <w:spacing w:val="21"/>
          <w:sz w:val="20"/>
        </w:rPr>
        <w:t> </w:t>
      </w:r>
      <w:r>
        <w:rPr>
          <w:sz w:val="20"/>
        </w:rPr>
        <w:t>by</w:t>
      </w:r>
      <w:r>
        <w:rPr>
          <w:spacing w:val="21"/>
          <w:sz w:val="20"/>
        </w:rPr>
        <w:t> </w:t>
      </w:r>
      <w:r>
        <w:rPr>
          <w:sz w:val="20"/>
        </w:rPr>
        <w:t>statute</w:t>
      </w:r>
      <w:r>
        <w:rPr>
          <w:spacing w:val="21"/>
          <w:sz w:val="20"/>
        </w:rPr>
        <w:t> </w:t>
      </w:r>
      <w:r>
        <w:rPr>
          <w:sz w:val="20"/>
        </w:rPr>
        <w:t>(see</w:t>
      </w:r>
      <w:r>
        <w:rPr>
          <w:spacing w:val="21"/>
          <w:sz w:val="20"/>
        </w:rPr>
        <w:t> </w:t>
      </w:r>
      <w:r>
        <w:rPr>
          <w:sz w:val="20"/>
        </w:rPr>
        <w:t>now Housing Act 1985, s.609) but the principle stated in the text remains unimpaired.</w:t>
      </w:r>
    </w:p>
    <w:p>
      <w:pPr>
        <w:pStyle w:val="BodyText"/>
        <w:spacing w:before="5"/>
      </w:pPr>
    </w:p>
    <w:p>
      <w:pPr>
        <w:tabs>
          <w:tab w:pos="705" w:val="left" w:leader="none"/>
        </w:tabs>
        <w:spacing w:before="0"/>
        <w:ind w:left="165" w:right="0" w:firstLine="0"/>
        <w:jc w:val="left"/>
        <w:rPr>
          <w:sz w:val="20"/>
        </w:rPr>
      </w:pPr>
      <w:bookmarkStart w:name="_bookmark1644" w:id="1646"/>
      <w:bookmarkEnd w:id="1646"/>
      <w:r>
        <w:rPr/>
      </w:r>
      <w:hyperlink w:history="true" w:anchor="_bookmark1564">
        <w:r>
          <w:rPr>
            <w:color w:val="005DA1"/>
            <w:spacing w:val="-4"/>
            <w:position w:val="5"/>
            <w:sz w:val="14"/>
            <w:u w:val="single" w:color="005DA1"/>
          </w:rPr>
          <w:t>841</w:t>
        </w:r>
      </w:hyperlink>
      <w:r>
        <w:rPr>
          <w:spacing w:val="-4"/>
          <w:position w:val="5"/>
          <w:sz w:val="14"/>
        </w:rPr>
        <w:t>.</w:t>
      </w:r>
      <w:r>
        <w:rPr>
          <w:position w:val="5"/>
          <w:sz w:val="14"/>
        </w:rPr>
        <w:tab/>
      </w:r>
      <w:r>
        <w:rPr>
          <w:sz w:val="20"/>
        </w:rPr>
        <w:t>See</w:t>
      </w:r>
      <w:r>
        <w:rPr>
          <w:spacing w:val="-1"/>
          <w:sz w:val="20"/>
        </w:rPr>
        <w:t> </w:t>
      </w:r>
      <w:r>
        <w:rPr>
          <w:rFonts w:ascii="Arial"/>
          <w:i/>
          <w:sz w:val="20"/>
        </w:rPr>
        <w:t>Greenhalgh v Mallard [1943] 2 All E.R. 234, </w:t>
      </w:r>
      <w:r>
        <w:rPr>
          <w:rFonts w:ascii="Arial"/>
          <w:i/>
          <w:spacing w:val="-4"/>
          <w:sz w:val="20"/>
        </w:rPr>
        <w:t>249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45" w:id="1647"/>
      <w:bookmarkEnd w:id="1647"/>
      <w:r>
        <w:rPr/>
      </w:r>
      <w:hyperlink w:history="true" w:anchor="_bookmark1565">
        <w:r>
          <w:rPr>
            <w:color w:val="005DA1"/>
            <w:spacing w:val="-4"/>
            <w:position w:val="5"/>
            <w:sz w:val="14"/>
            <w:u w:val="single" w:color="005DA1"/>
          </w:rPr>
          <w:t>842</w:t>
        </w:r>
      </w:hyperlink>
      <w:r>
        <w:rPr>
          <w:spacing w:val="-4"/>
          <w:position w:val="5"/>
          <w:sz w:val="14"/>
        </w:rPr>
        <w:t>.</w:t>
      </w:r>
      <w:r>
        <w:rPr>
          <w:position w:val="5"/>
          <w:sz w:val="14"/>
        </w:rPr>
        <w:tab/>
      </w:r>
      <w:r>
        <w:rPr>
          <w:rFonts w:ascii="Arial"/>
          <w:i/>
          <w:sz w:val="20"/>
        </w:rPr>
        <w:t>[1926]</w:t>
      </w:r>
      <w:r>
        <w:rPr>
          <w:rFonts w:ascii="Arial"/>
          <w:i/>
          <w:spacing w:val="-2"/>
          <w:sz w:val="20"/>
        </w:rPr>
        <w:t> </w:t>
      </w:r>
      <w:r>
        <w:rPr>
          <w:rFonts w:ascii="Arial"/>
          <w:i/>
          <w:sz w:val="20"/>
        </w:rPr>
        <w:t>A.C. </w:t>
      </w:r>
      <w:r>
        <w:rPr>
          <w:rFonts w:ascii="Arial"/>
          <w:i/>
          <w:spacing w:val="-4"/>
          <w:sz w:val="20"/>
        </w:rPr>
        <w:t>108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46" w:id="1648"/>
      <w:bookmarkEnd w:id="1648"/>
      <w:r>
        <w:rPr/>
      </w:r>
      <w:hyperlink w:history="true" w:anchor="_bookmark1566">
        <w:r>
          <w:rPr>
            <w:color w:val="005DA1"/>
            <w:spacing w:val="-4"/>
            <w:position w:val="5"/>
            <w:sz w:val="14"/>
            <w:u w:val="single" w:color="005DA1"/>
          </w:rPr>
          <w:t>843</w:t>
        </w:r>
      </w:hyperlink>
      <w:r>
        <w:rPr>
          <w:spacing w:val="-4"/>
          <w:position w:val="5"/>
          <w:sz w:val="14"/>
        </w:rPr>
        <w:t>.</w:t>
      </w:r>
      <w:r>
        <w:rPr>
          <w:position w:val="5"/>
          <w:sz w:val="14"/>
        </w:rPr>
        <w:tab/>
      </w:r>
      <w:r>
        <w:rPr>
          <w:sz w:val="20"/>
        </w:rPr>
        <w:t>ibid., at </w:t>
      </w:r>
      <w:r>
        <w:rPr>
          <w:spacing w:val="-4"/>
          <w:sz w:val="20"/>
        </w:rPr>
        <w:t>123.</w:t>
      </w:r>
    </w:p>
    <w:p>
      <w:pPr>
        <w:pStyle w:val="BodyText"/>
        <w:spacing w:before="5"/>
      </w:pPr>
    </w:p>
    <w:p>
      <w:pPr>
        <w:tabs>
          <w:tab w:pos="705" w:val="left" w:leader="none"/>
        </w:tabs>
        <w:spacing w:before="0"/>
        <w:ind w:left="165" w:right="0" w:firstLine="0"/>
        <w:jc w:val="left"/>
        <w:rPr>
          <w:sz w:val="20"/>
        </w:rPr>
      </w:pPr>
      <w:bookmarkStart w:name="_bookmark1647" w:id="1649"/>
      <w:bookmarkEnd w:id="1649"/>
      <w:r>
        <w:rPr/>
      </w:r>
      <w:hyperlink w:history="true" w:anchor="_bookmark1567">
        <w:r>
          <w:rPr>
            <w:color w:val="005DA1"/>
            <w:spacing w:val="-4"/>
            <w:position w:val="5"/>
            <w:sz w:val="14"/>
            <w:u w:val="single" w:color="005DA1"/>
          </w:rPr>
          <w:t>844</w:t>
        </w:r>
      </w:hyperlink>
      <w:r>
        <w:rPr>
          <w:spacing w:val="-4"/>
          <w:position w:val="5"/>
          <w:sz w:val="14"/>
        </w:rPr>
        <w:t>.</w:t>
      </w:r>
      <w:r>
        <w:rPr>
          <w:position w:val="5"/>
          <w:sz w:val="14"/>
        </w:rPr>
        <w:tab/>
      </w:r>
      <w:r>
        <w:rPr>
          <w:sz w:val="20"/>
        </w:rPr>
        <w:t>ibid., at </w:t>
      </w:r>
      <w:r>
        <w:rPr>
          <w:spacing w:val="-4"/>
          <w:sz w:val="20"/>
        </w:rPr>
        <w:t>125.</w:t>
      </w:r>
    </w:p>
    <w:p>
      <w:pPr>
        <w:pStyle w:val="BodyText"/>
        <w:spacing w:before="9"/>
      </w:pPr>
    </w:p>
    <w:p>
      <w:pPr>
        <w:spacing w:line="235" w:lineRule="auto" w:before="0"/>
        <w:ind w:left="705" w:right="168" w:hanging="541"/>
        <w:jc w:val="both"/>
        <w:rPr>
          <w:sz w:val="20"/>
        </w:rPr>
      </w:pPr>
      <w:bookmarkStart w:name="_bookmark1648" w:id="1650"/>
      <w:bookmarkEnd w:id="1650"/>
      <w:r>
        <w:rPr/>
      </w:r>
      <w:hyperlink w:history="true" w:anchor="_bookmark1568">
        <w:r>
          <w:rPr>
            <w:color w:val="005DA1"/>
            <w:position w:val="5"/>
            <w:sz w:val="14"/>
            <w:u w:val="single" w:color="005DA1"/>
          </w:rPr>
          <w:t>845</w:t>
        </w:r>
      </w:hyperlink>
      <w:r>
        <w:rPr>
          <w:position w:val="5"/>
          <w:sz w:val="14"/>
        </w:rPr>
        <w:t>.</w:t>
      </w:r>
      <w:r>
        <w:rPr>
          <w:spacing w:val="80"/>
          <w:position w:val="5"/>
          <w:sz w:val="14"/>
        </w:rPr>
        <w:t>  </w:t>
      </w:r>
      <w:r>
        <w:rPr>
          <w:rFonts w:ascii="Arial" w:hAnsi="Arial"/>
          <w:i/>
          <w:sz w:val="20"/>
        </w:rPr>
        <w:t>Clore v Theatrical Properties [1936] 2 All E.R. 483, 490</w:t>
      </w:r>
      <w:r>
        <w:rPr>
          <w:sz w:val="20"/>
        </w:rPr>
        <w:t>; </w:t>
      </w:r>
      <w:r>
        <w:rPr>
          <w:rFonts w:ascii="Arial" w:hAnsi="Arial"/>
          <w:i/>
          <w:sz w:val="20"/>
        </w:rPr>
        <w:t>Greenhalgh v Mallard [1943] 2 All </w:t>
      </w:r>
      <w:r>
        <w:rPr>
          <w:rFonts w:ascii="Arial" w:hAnsi="Arial"/>
          <w:i/>
          <w:sz w:val="20"/>
        </w:rPr>
        <w:t>E.R. 234</w:t>
      </w:r>
      <w:r>
        <w:rPr>
          <w:sz w:val="20"/>
        </w:rPr>
        <w:t>; cf. the earlier criticisms of Knight Bruce L.J.’s principle in </w:t>
      </w:r>
      <w:r>
        <w:rPr>
          <w:rFonts w:ascii="Arial" w:hAnsi="Arial"/>
          <w:i/>
          <w:sz w:val="20"/>
        </w:rPr>
        <w:t>Barker v Stickney [1919] 1 K.B. 121, 132 </w:t>
      </w:r>
      <w:r>
        <w:rPr>
          <w:sz w:val="20"/>
        </w:rPr>
        <w:t>(as to which see </w:t>
      </w:r>
      <w:r>
        <w:rPr>
          <w:rFonts w:ascii="Arial" w:hAnsi="Arial"/>
          <w:i/>
          <w:sz w:val="20"/>
        </w:rPr>
        <w:t>Tito v Waddell (No.2) [1977] Ch. 106, 300</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49" w:id="1651"/>
      <w:bookmarkEnd w:id="1651"/>
      <w:r>
        <w:rPr/>
      </w:r>
      <w:hyperlink w:history="true" w:anchor="_bookmark1569">
        <w:r>
          <w:rPr>
            <w:color w:val="005DA1"/>
            <w:spacing w:val="-4"/>
            <w:position w:val="5"/>
            <w:sz w:val="14"/>
            <w:u w:val="single" w:color="005DA1"/>
          </w:rPr>
          <w:t>846</w:t>
        </w:r>
      </w:hyperlink>
      <w:r>
        <w:rPr>
          <w:spacing w:val="-4"/>
          <w:position w:val="5"/>
          <w:sz w:val="14"/>
        </w:rPr>
        <w:t>.</w:t>
      </w:r>
      <w:r>
        <w:rPr>
          <w:position w:val="5"/>
          <w:sz w:val="14"/>
        </w:rPr>
        <w:tab/>
      </w:r>
      <w:r>
        <w:rPr>
          <w:sz w:val="20"/>
        </w:rPr>
        <w:t>See</w:t>
      </w:r>
      <w:r>
        <w:rPr>
          <w:spacing w:val="50"/>
          <w:sz w:val="20"/>
        </w:rPr>
        <w:t> </w:t>
      </w:r>
      <w:r>
        <w:rPr>
          <w:rFonts w:ascii="Arial"/>
          <w:i/>
          <w:sz w:val="20"/>
        </w:rPr>
        <w:t>Manchester</w:t>
      </w:r>
      <w:r>
        <w:rPr>
          <w:rFonts w:ascii="Arial"/>
          <w:i/>
          <w:spacing w:val="53"/>
          <w:sz w:val="20"/>
        </w:rPr>
        <w:t> </w:t>
      </w:r>
      <w:r>
        <w:rPr>
          <w:rFonts w:ascii="Arial"/>
          <w:i/>
          <w:sz w:val="20"/>
        </w:rPr>
        <w:t>Trust</w:t>
      </w:r>
      <w:r>
        <w:rPr>
          <w:rFonts w:ascii="Arial"/>
          <w:i/>
          <w:spacing w:val="53"/>
          <w:sz w:val="20"/>
        </w:rPr>
        <w:t> </w:t>
      </w:r>
      <w:r>
        <w:rPr>
          <w:rFonts w:ascii="Arial"/>
          <w:i/>
          <w:sz w:val="20"/>
        </w:rPr>
        <w:t>Ltd</w:t>
      </w:r>
      <w:r>
        <w:rPr>
          <w:rFonts w:ascii="Arial"/>
          <w:i/>
          <w:spacing w:val="53"/>
          <w:sz w:val="20"/>
        </w:rPr>
        <w:t> </w:t>
      </w:r>
      <w:r>
        <w:rPr>
          <w:rFonts w:ascii="Arial"/>
          <w:i/>
          <w:sz w:val="20"/>
        </w:rPr>
        <w:t>v</w:t>
      </w:r>
      <w:r>
        <w:rPr>
          <w:rFonts w:ascii="Arial"/>
          <w:i/>
          <w:spacing w:val="53"/>
          <w:sz w:val="20"/>
        </w:rPr>
        <w:t> </w:t>
      </w:r>
      <w:r>
        <w:rPr>
          <w:rFonts w:ascii="Arial"/>
          <w:i/>
          <w:sz w:val="20"/>
        </w:rPr>
        <w:t>Furness</w:t>
      </w:r>
      <w:r>
        <w:rPr>
          <w:rFonts w:ascii="Arial"/>
          <w:i/>
          <w:spacing w:val="53"/>
          <w:sz w:val="20"/>
        </w:rPr>
        <w:t> </w:t>
      </w:r>
      <w:r>
        <w:rPr>
          <w:rFonts w:ascii="Arial"/>
          <w:i/>
          <w:sz w:val="20"/>
        </w:rPr>
        <w:t>[1895]</w:t>
      </w:r>
      <w:r>
        <w:rPr>
          <w:rFonts w:ascii="Arial"/>
          <w:i/>
          <w:spacing w:val="53"/>
          <w:sz w:val="20"/>
        </w:rPr>
        <w:t> </w:t>
      </w:r>
      <w:r>
        <w:rPr>
          <w:rFonts w:ascii="Arial"/>
          <w:i/>
          <w:sz w:val="20"/>
        </w:rPr>
        <w:t>2</w:t>
      </w:r>
      <w:r>
        <w:rPr>
          <w:rFonts w:ascii="Arial"/>
          <w:i/>
          <w:spacing w:val="53"/>
          <w:sz w:val="20"/>
        </w:rPr>
        <w:t> </w:t>
      </w:r>
      <w:r>
        <w:rPr>
          <w:rFonts w:ascii="Arial"/>
          <w:i/>
          <w:sz w:val="20"/>
        </w:rPr>
        <w:t>Q.B.</w:t>
      </w:r>
      <w:r>
        <w:rPr>
          <w:rFonts w:ascii="Arial"/>
          <w:i/>
          <w:spacing w:val="53"/>
          <w:sz w:val="20"/>
        </w:rPr>
        <w:t> </w:t>
      </w:r>
      <w:r>
        <w:rPr>
          <w:rFonts w:ascii="Arial"/>
          <w:i/>
          <w:sz w:val="20"/>
        </w:rPr>
        <w:t>539,</w:t>
      </w:r>
      <w:r>
        <w:rPr>
          <w:rFonts w:ascii="Arial"/>
          <w:i/>
          <w:spacing w:val="53"/>
          <w:sz w:val="20"/>
        </w:rPr>
        <w:t> </w:t>
      </w:r>
      <w:r>
        <w:rPr>
          <w:rFonts w:ascii="Arial"/>
          <w:i/>
          <w:sz w:val="20"/>
        </w:rPr>
        <w:t>545</w:t>
      </w:r>
      <w:r>
        <w:rPr>
          <w:sz w:val="20"/>
        </w:rPr>
        <w:t>;</w:t>
      </w:r>
      <w:r>
        <w:rPr>
          <w:spacing w:val="53"/>
          <w:sz w:val="20"/>
        </w:rPr>
        <w:t> </w:t>
      </w:r>
      <w:r>
        <w:rPr>
          <w:rFonts w:ascii="Arial"/>
          <w:i/>
          <w:sz w:val="20"/>
        </w:rPr>
        <w:t>Westdeutsche</w:t>
      </w:r>
      <w:r>
        <w:rPr>
          <w:rFonts w:ascii="Arial"/>
          <w:i/>
          <w:spacing w:val="53"/>
          <w:sz w:val="20"/>
        </w:rPr>
        <w:t> </w:t>
      </w:r>
      <w:r>
        <w:rPr>
          <w:rFonts w:ascii="Arial"/>
          <w:i/>
          <w:spacing w:val="-2"/>
          <w:sz w:val="20"/>
        </w:rPr>
        <w:t>Landesbank</w:t>
      </w:r>
    </w:p>
    <w:p>
      <w:pPr>
        <w:spacing w:line="227" w:lineRule="exact" w:before="0"/>
        <w:ind w:left="705" w:right="0" w:firstLine="0"/>
        <w:jc w:val="left"/>
        <w:rPr>
          <w:sz w:val="20"/>
        </w:rPr>
      </w:pPr>
      <w:r>
        <w:rPr>
          <w:rFonts w:ascii="Arial"/>
          <w:i/>
          <w:sz w:val="20"/>
        </w:rPr>
        <w:t>Girozentrale v Islington B.C. [1996] A.C. 669, </w:t>
      </w:r>
      <w:r>
        <w:rPr>
          <w:rFonts w:ascii="Arial"/>
          <w:i/>
          <w:spacing w:val="-4"/>
          <w:sz w:val="20"/>
        </w:rPr>
        <w:t>704</w:t>
      </w:r>
      <w:r>
        <w:rPr>
          <w:spacing w:val="-4"/>
          <w:sz w:val="20"/>
        </w:rPr>
        <w:t>.</w:t>
      </w:r>
    </w:p>
    <w:p>
      <w:pPr>
        <w:pStyle w:val="BodyText"/>
        <w:spacing w:before="9"/>
      </w:pPr>
    </w:p>
    <w:p>
      <w:pPr>
        <w:pStyle w:val="BodyText"/>
        <w:spacing w:line="235" w:lineRule="auto"/>
        <w:ind w:left="705" w:right="167" w:hanging="541"/>
        <w:jc w:val="both"/>
      </w:pPr>
      <w:bookmarkStart w:name="_bookmark1650" w:id="1652"/>
      <w:bookmarkEnd w:id="1652"/>
      <w:r>
        <w:rPr/>
      </w:r>
      <w:hyperlink w:history="true" w:anchor="_bookmark1570">
        <w:r>
          <w:rPr>
            <w:color w:val="005DA1"/>
            <w:position w:val="5"/>
            <w:sz w:val="14"/>
            <w:u w:val="single" w:color="005DA1"/>
          </w:rPr>
          <w:t>847</w:t>
        </w:r>
      </w:hyperlink>
      <w:r>
        <w:rPr>
          <w:position w:val="5"/>
          <w:sz w:val="14"/>
        </w:rPr>
        <w:t>.</w:t>
      </w:r>
      <w:r>
        <w:rPr>
          <w:spacing w:val="80"/>
          <w:w w:val="150"/>
          <w:position w:val="5"/>
          <w:sz w:val="14"/>
        </w:rPr>
        <w:t> </w:t>
      </w:r>
      <w:r>
        <w:rPr>
          <w:rFonts w:ascii="Arial" w:hAnsi="Arial"/>
          <w:i/>
        </w:rPr>
        <w:t>[1958]</w:t>
      </w:r>
      <w:r>
        <w:rPr>
          <w:rFonts w:ascii="Arial" w:hAnsi="Arial"/>
          <w:i/>
          <w:spacing w:val="40"/>
        </w:rPr>
        <w:t> </w:t>
      </w:r>
      <w:r>
        <w:rPr>
          <w:rFonts w:ascii="Arial" w:hAnsi="Arial"/>
          <w:i/>
        </w:rPr>
        <w:t>Q.B.</w:t>
      </w:r>
      <w:r>
        <w:rPr>
          <w:rFonts w:ascii="Arial" w:hAnsi="Arial"/>
          <w:i/>
          <w:spacing w:val="40"/>
        </w:rPr>
        <w:t> </w:t>
      </w:r>
      <w:r>
        <w:rPr>
          <w:rFonts w:ascii="Arial" w:hAnsi="Arial"/>
          <w:i/>
        </w:rPr>
        <w:t>146</w:t>
      </w:r>
      <w:r>
        <w:rPr/>
        <w:t>.</w:t>
      </w:r>
      <w:r>
        <w:rPr>
          <w:spacing w:val="40"/>
        </w:rPr>
        <w:t> </w:t>
      </w:r>
      <w:r>
        <w:rPr/>
        <w:t>The</w:t>
      </w:r>
      <w:r>
        <w:rPr>
          <w:spacing w:val="40"/>
        </w:rPr>
        <w:t> </w:t>
      </w:r>
      <w:r>
        <w:rPr/>
        <w:t>cases</w:t>
      </w:r>
      <w:r>
        <w:rPr>
          <w:spacing w:val="40"/>
        </w:rPr>
        <w:t> </w:t>
      </w:r>
      <w:r>
        <w:rPr/>
        <w:t>cited</w:t>
      </w:r>
      <w:r>
        <w:rPr>
          <w:spacing w:val="40"/>
        </w:rPr>
        <w:t> </w:t>
      </w:r>
      <w:r>
        <w:rPr/>
        <w:t>in</w:t>
      </w:r>
      <w:r>
        <w:rPr>
          <w:spacing w:val="40"/>
        </w:rPr>
        <w:t> </w:t>
      </w:r>
      <w:r>
        <w:rPr/>
        <w:t>para.18-141,</w:t>
      </w:r>
      <w:r>
        <w:rPr>
          <w:spacing w:val="40"/>
        </w:rPr>
        <w:t> </w:t>
      </w:r>
      <w:r>
        <w:rPr/>
        <w:t>n.790</w:t>
      </w:r>
      <w:r>
        <w:rPr>
          <w:spacing w:val="40"/>
        </w:rPr>
        <w:t> </w:t>
      </w:r>
      <w:r>
        <w:rPr/>
        <w:t>all</w:t>
      </w:r>
      <w:r>
        <w:rPr>
          <w:spacing w:val="40"/>
        </w:rPr>
        <w:t> </w:t>
      </w:r>
      <w:r>
        <w:rPr/>
        <w:t>apply</w:t>
      </w:r>
      <w:r>
        <w:rPr>
          <w:spacing w:val="40"/>
        </w:rPr>
        <w:t> </w:t>
      </w:r>
      <w:r>
        <w:rPr/>
        <w:t>the</w:t>
      </w:r>
      <w:r>
        <w:rPr>
          <w:spacing w:val="40"/>
        </w:rPr>
        <w:t> </w:t>
      </w:r>
      <w:r>
        <w:rPr/>
        <w:t>constructive</w:t>
      </w:r>
      <w:r>
        <w:rPr>
          <w:spacing w:val="40"/>
        </w:rPr>
        <w:t> </w:t>
      </w:r>
      <w:r>
        <w:rPr/>
        <w:t>trust reasoning to contracts concerning land and do not, it is submitted, undermine the rejection </w:t>
      </w:r>
      <w:r>
        <w:rPr/>
        <w:t>of that reasoning in the </w:t>
      </w:r>
      <w:r>
        <w:rPr>
          <w:rFonts w:ascii="Arial" w:hAnsi="Arial"/>
          <w:i/>
        </w:rPr>
        <w:t>Port Line </w:t>
      </w:r>
      <w:r>
        <w:rPr/>
        <w:t>case so far as contracts affecting the use or disposition of chattels are concerned. The use of the expression “constructive trustee” in the passage quoted at n.818 above also now gives rise to a further question because of the overlap (discussed in para.4-142 above) between constructive trust and proprietary estoppel. That question is</w:t>
      </w:r>
      <w:r>
        <w:rPr>
          <w:spacing w:val="40"/>
        </w:rPr>
        <w:t> </w:t>
      </w:r>
      <w:r>
        <w:rPr/>
        <w:t>whether such an estoppel might operate in a context such as that of the charterparty cases discussed in the present paragraph (18-145). The question is prompted by </w:t>
      </w:r>
      <w:r>
        <w:rPr>
          <w:rFonts w:ascii="Arial" w:hAnsi="Arial"/>
          <w:i/>
        </w:rPr>
        <w:t>Stallion v Albert Stallion (Great Britain) Ltd [2009] EWHC 1950 (Ch), [2010] F.L.R. 78 </w:t>
      </w:r>
      <w:r>
        <w:rPr/>
        <w:t>where an agreement between A and B gave rise to a proprietary estoppel between these parties and such an estoppel also arose in favour of B against C, a company controlled by A, which was not a party to the agreement between A and B. The latter estoppel was, however, based, not on that agreement, but on a representation made by or on behalf of C to B (see at [120], [122]). No such estoppel would arise against C merely because C had acquired from A a ship which, to</w:t>
      </w:r>
      <w:r>
        <w:rPr>
          <w:spacing w:val="40"/>
        </w:rPr>
        <w:t> </w:t>
      </w:r>
      <w:r>
        <w:rPr/>
        <w:t>C’s</w:t>
      </w:r>
      <w:r>
        <w:rPr>
          <w:spacing w:val="-1"/>
        </w:rPr>
        <w:t> </w:t>
      </w:r>
      <w:r>
        <w:rPr/>
        <w:t>knowledge,</w:t>
      </w:r>
      <w:r>
        <w:rPr>
          <w:spacing w:val="-1"/>
        </w:rPr>
        <w:t> </w:t>
      </w:r>
      <w:r>
        <w:rPr/>
        <w:t>had</w:t>
      </w:r>
      <w:r>
        <w:rPr>
          <w:spacing w:val="-1"/>
        </w:rPr>
        <w:t> </w:t>
      </w:r>
      <w:r>
        <w:rPr/>
        <w:t>been</w:t>
      </w:r>
      <w:r>
        <w:rPr>
          <w:spacing w:val="-1"/>
        </w:rPr>
        <w:t> </w:t>
      </w:r>
      <w:r>
        <w:rPr/>
        <w:t>time-chartered</w:t>
      </w:r>
      <w:r>
        <w:rPr>
          <w:spacing w:val="-1"/>
        </w:rPr>
        <w:t> </w:t>
      </w:r>
      <w:r>
        <w:rPr/>
        <w:t>by</w:t>
      </w:r>
      <w:r>
        <w:rPr>
          <w:spacing w:val="-1"/>
        </w:rPr>
        <w:t> </w:t>
      </w:r>
      <w:r>
        <w:rPr/>
        <w:t>A</w:t>
      </w:r>
      <w:r>
        <w:rPr>
          <w:spacing w:val="-1"/>
        </w:rPr>
        <w:t> </w:t>
      </w:r>
      <w:r>
        <w:rPr/>
        <w:t>to</w:t>
      </w:r>
      <w:r>
        <w:rPr>
          <w:spacing w:val="-1"/>
        </w:rPr>
        <w:t> </w:t>
      </w:r>
      <w:r>
        <w:rPr/>
        <w:t>B;</w:t>
      </w:r>
      <w:r>
        <w:rPr>
          <w:spacing w:val="-1"/>
        </w:rPr>
        <w:t> </w:t>
      </w:r>
      <w:r>
        <w:rPr/>
        <w:t>for</w:t>
      </w:r>
      <w:r>
        <w:rPr>
          <w:spacing w:val="-1"/>
        </w:rPr>
        <w:t> </w:t>
      </w:r>
      <w:r>
        <w:rPr/>
        <w:t>in</w:t>
      </w:r>
      <w:r>
        <w:rPr>
          <w:spacing w:val="-1"/>
        </w:rPr>
        <w:t> </w:t>
      </w:r>
      <w:r>
        <w:rPr/>
        <w:t>such</w:t>
      </w:r>
      <w:r>
        <w:rPr>
          <w:spacing w:val="-1"/>
        </w:rPr>
        <w:t> </w:t>
      </w:r>
      <w:r>
        <w:rPr/>
        <w:t>a</w:t>
      </w:r>
      <w:r>
        <w:rPr>
          <w:spacing w:val="-1"/>
        </w:rPr>
        <w:t> </w:t>
      </w:r>
      <w:r>
        <w:rPr/>
        <w:t>case</w:t>
      </w:r>
      <w:r>
        <w:rPr>
          <w:spacing w:val="-1"/>
        </w:rPr>
        <w:t> </w:t>
      </w:r>
      <w:r>
        <w:rPr/>
        <w:t>the</w:t>
      </w:r>
      <w:r>
        <w:rPr>
          <w:spacing w:val="-1"/>
        </w:rPr>
        <w:t> </w:t>
      </w:r>
      <w:r>
        <w:rPr/>
        <w:t>crucial</w:t>
      </w:r>
      <w:r>
        <w:rPr>
          <w:spacing w:val="-1"/>
        </w:rPr>
        <w:t> </w:t>
      </w:r>
      <w:r>
        <w:rPr/>
        <w:t>requirement</w:t>
      </w:r>
      <w:r>
        <w:rPr>
          <w:spacing w:val="-1"/>
        </w:rPr>
        <w:t> </w:t>
      </w:r>
      <w:r>
        <w:rPr/>
        <w:t>of an assurance given or representation made </w:t>
      </w:r>
      <w:r>
        <w:rPr>
          <w:rFonts w:ascii="Arial" w:hAnsi="Arial"/>
          <w:i/>
        </w:rPr>
        <w:t>by C to B </w:t>
      </w:r>
      <w:r>
        <w:rPr/>
        <w:t>(see above, para.4-146) would not be </w:t>
      </w:r>
      <w:r>
        <w:rPr>
          <w:spacing w:val="-2"/>
        </w:rPr>
        <w:t>satisfied.</w:t>
      </w:r>
    </w:p>
    <w:p>
      <w:pPr>
        <w:pStyle w:val="BodyText"/>
      </w:pPr>
    </w:p>
    <w:p>
      <w:pPr>
        <w:pStyle w:val="BodyText"/>
        <w:tabs>
          <w:tab w:pos="705" w:val="left" w:leader="none"/>
        </w:tabs>
        <w:spacing w:line="227" w:lineRule="exact"/>
        <w:ind w:left="165"/>
      </w:pPr>
      <w:bookmarkStart w:name="_bookmark1651" w:id="1653"/>
      <w:bookmarkEnd w:id="1653"/>
      <w:r>
        <w:rPr/>
      </w:r>
      <w:hyperlink w:history="true" w:anchor="_bookmark1571">
        <w:r>
          <w:rPr>
            <w:color w:val="005DA1"/>
            <w:spacing w:val="-4"/>
            <w:position w:val="5"/>
            <w:sz w:val="14"/>
            <w:u w:val="single" w:color="005DA1"/>
          </w:rPr>
          <w:t>848</w:t>
        </w:r>
      </w:hyperlink>
      <w:r>
        <w:rPr>
          <w:spacing w:val="-4"/>
          <w:position w:val="5"/>
          <w:sz w:val="14"/>
        </w:rPr>
        <w:t>.</w:t>
      </w:r>
      <w:r>
        <w:rPr>
          <w:position w:val="5"/>
          <w:sz w:val="14"/>
        </w:rPr>
        <w:tab/>
      </w:r>
      <w:r>
        <w:rPr/>
        <w:t>Hence</w:t>
      </w:r>
      <w:r>
        <w:rPr>
          <w:spacing w:val="41"/>
        </w:rPr>
        <w:t> </w:t>
      </w:r>
      <w:r>
        <w:rPr/>
        <w:t>the</w:t>
      </w:r>
      <w:r>
        <w:rPr>
          <w:spacing w:val="41"/>
        </w:rPr>
        <w:t> </w:t>
      </w:r>
      <w:r>
        <w:rPr/>
        <w:t>purchaser</w:t>
      </w:r>
      <w:r>
        <w:rPr>
          <w:spacing w:val="41"/>
        </w:rPr>
        <w:t> </w:t>
      </w:r>
      <w:r>
        <w:rPr/>
        <w:t>could</w:t>
      </w:r>
      <w:r>
        <w:rPr>
          <w:spacing w:val="41"/>
        </w:rPr>
        <w:t> </w:t>
      </w:r>
      <w:r>
        <w:rPr/>
        <w:t>not</w:t>
      </w:r>
      <w:r>
        <w:rPr>
          <w:spacing w:val="41"/>
        </w:rPr>
        <w:t> </w:t>
      </w:r>
      <w:r>
        <w:rPr/>
        <w:t>be</w:t>
      </w:r>
      <w:r>
        <w:rPr>
          <w:spacing w:val="41"/>
        </w:rPr>
        <w:t> </w:t>
      </w:r>
      <w:r>
        <w:rPr/>
        <w:t>held</w:t>
      </w:r>
      <w:r>
        <w:rPr>
          <w:spacing w:val="41"/>
        </w:rPr>
        <w:t> </w:t>
      </w:r>
      <w:r>
        <w:rPr/>
        <w:t>liable</w:t>
      </w:r>
      <w:r>
        <w:rPr>
          <w:spacing w:val="41"/>
        </w:rPr>
        <w:t> </w:t>
      </w:r>
      <w:r>
        <w:rPr/>
        <w:t>in</w:t>
      </w:r>
      <w:r>
        <w:rPr>
          <w:spacing w:val="41"/>
        </w:rPr>
        <w:t> </w:t>
      </w:r>
      <w:r>
        <w:rPr/>
        <w:t>tort:</w:t>
      </w:r>
      <w:r>
        <w:rPr>
          <w:spacing w:val="41"/>
        </w:rPr>
        <w:t> </w:t>
      </w:r>
      <w:r>
        <w:rPr/>
        <w:t>see</w:t>
      </w:r>
      <w:r>
        <w:rPr>
          <w:spacing w:val="41"/>
        </w:rPr>
        <w:t> </w:t>
      </w:r>
      <w:r>
        <w:rPr/>
        <w:t>above,</w:t>
      </w:r>
      <w:r>
        <w:rPr>
          <w:spacing w:val="41"/>
        </w:rPr>
        <w:t> </w:t>
      </w:r>
      <w:r>
        <w:rPr/>
        <w:t>para.18-141,</w:t>
      </w:r>
      <w:r>
        <w:rPr>
          <w:spacing w:val="41"/>
        </w:rPr>
        <w:t> </w:t>
      </w:r>
      <w:r>
        <w:rPr/>
        <w:t>below</w:t>
      </w:r>
      <w:r>
        <w:rPr>
          <w:spacing w:val="41"/>
        </w:rPr>
        <w:t> </w:t>
      </w:r>
      <w:r>
        <w:rPr>
          <w:spacing w:val="-2"/>
        </w:rPr>
        <w:t>para.</w:t>
      </w:r>
    </w:p>
    <w:p>
      <w:pPr>
        <w:pStyle w:val="BodyText"/>
        <w:spacing w:line="227" w:lineRule="exact"/>
        <w:ind w:left="705"/>
      </w:pPr>
      <w:r>
        <w:rPr/>
        <w:t>18-</w:t>
      </w:r>
      <w:r>
        <w:rPr>
          <w:spacing w:val="-2"/>
        </w:rPr>
        <w:t>147,n.828.</w:t>
      </w:r>
    </w:p>
    <w:p>
      <w:pPr>
        <w:pStyle w:val="BodyText"/>
        <w:spacing w:before="5"/>
      </w:pPr>
    </w:p>
    <w:p>
      <w:pPr>
        <w:pStyle w:val="BodyText"/>
        <w:tabs>
          <w:tab w:pos="705" w:val="left" w:leader="none"/>
        </w:tabs>
        <w:ind w:left="165"/>
      </w:pPr>
      <w:bookmarkStart w:name="_bookmark1652" w:id="1654"/>
      <w:bookmarkEnd w:id="1654"/>
      <w:r>
        <w:rPr/>
      </w:r>
      <w:hyperlink w:history="true" w:anchor="_bookmark1572">
        <w:r>
          <w:rPr>
            <w:color w:val="005DA1"/>
            <w:spacing w:val="-4"/>
            <w:position w:val="5"/>
            <w:sz w:val="14"/>
            <w:u w:val="single" w:color="005DA1"/>
          </w:rPr>
          <w:t>849</w:t>
        </w:r>
      </w:hyperlink>
      <w:r>
        <w:rPr>
          <w:spacing w:val="-4"/>
          <w:position w:val="5"/>
          <w:sz w:val="14"/>
        </w:rPr>
        <w:t>.</w:t>
      </w:r>
      <w:r>
        <w:rPr>
          <w:position w:val="5"/>
          <w:sz w:val="14"/>
        </w:rPr>
        <w:tab/>
      </w:r>
      <w:r>
        <w:rPr/>
        <w:t>Above, para.18-145, </w:t>
      </w:r>
      <w:r>
        <w:rPr>
          <w:spacing w:val="-2"/>
        </w:rPr>
        <w:t>n.812.</w:t>
      </w:r>
    </w:p>
    <w:p>
      <w:pPr>
        <w:pStyle w:val="BodyText"/>
        <w:spacing w:before="5"/>
      </w:pPr>
    </w:p>
    <w:p>
      <w:pPr>
        <w:tabs>
          <w:tab w:pos="705" w:val="left" w:leader="none"/>
        </w:tabs>
        <w:spacing w:before="0"/>
        <w:ind w:left="165" w:right="0" w:firstLine="0"/>
        <w:jc w:val="left"/>
        <w:rPr>
          <w:sz w:val="20"/>
        </w:rPr>
      </w:pPr>
      <w:bookmarkStart w:name="_bookmark1653" w:id="1655"/>
      <w:bookmarkEnd w:id="1655"/>
      <w:r>
        <w:rPr/>
      </w:r>
      <w:hyperlink w:history="true" w:anchor="_bookmark1573">
        <w:r>
          <w:rPr>
            <w:color w:val="005DA1"/>
            <w:spacing w:val="-4"/>
            <w:position w:val="5"/>
            <w:sz w:val="14"/>
            <w:u w:val="single" w:color="005DA1"/>
          </w:rPr>
          <w:t>850</w:t>
        </w:r>
      </w:hyperlink>
      <w:r>
        <w:rPr>
          <w:spacing w:val="-4"/>
          <w:position w:val="5"/>
          <w:sz w:val="14"/>
        </w:rPr>
        <w:t>.</w:t>
      </w:r>
      <w:r>
        <w:rPr>
          <w:position w:val="5"/>
          <w:sz w:val="14"/>
        </w:rPr>
        <w:tab/>
      </w:r>
      <w:r>
        <w:rPr>
          <w:rFonts w:ascii="Arial"/>
          <w:i/>
          <w:sz w:val="20"/>
        </w:rPr>
        <w:t>Swiss Bank Corp. v Lloyds Bank Ltd [1979] Ch. 574, 581</w:t>
      </w:r>
      <w:r>
        <w:rPr>
          <w:rFonts w:ascii="Arial"/>
          <w:i/>
          <w:spacing w:val="-1"/>
          <w:sz w:val="20"/>
        </w:rPr>
        <w:t> </w:t>
      </w:r>
      <w:r>
        <w:rPr>
          <w:sz w:val="20"/>
        </w:rPr>
        <w:t>(as to which see also below, </w:t>
      </w:r>
      <w:r>
        <w:rPr>
          <w:spacing w:val="-2"/>
          <w:sz w:val="20"/>
        </w:rPr>
        <w:t>n.832).</w:t>
      </w:r>
    </w:p>
    <w:p>
      <w:pPr>
        <w:pStyle w:val="BodyText"/>
        <w:spacing w:before="5"/>
      </w:pPr>
    </w:p>
    <w:p>
      <w:pPr>
        <w:tabs>
          <w:tab w:pos="705" w:val="left" w:leader="none"/>
        </w:tabs>
        <w:spacing w:before="0"/>
        <w:ind w:left="165" w:right="0" w:firstLine="0"/>
        <w:jc w:val="left"/>
        <w:rPr>
          <w:sz w:val="20"/>
        </w:rPr>
      </w:pPr>
      <w:bookmarkStart w:name="_bookmark1654" w:id="1656"/>
      <w:bookmarkEnd w:id="1656"/>
      <w:r>
        <w:rPr/>
      </w:r>
      <w:hyperlink w:history="true" w:anchor="_bookmark1574">
        <w:r>
          <w:rPr>
            <w:color w:val="005DA1"/>
            <w:spacing w:val="-4"/>
            <w:position w:val="5"/>
            <w:sz w:val="14"/>
            <w:u w:val="single" w:color="005DA1"/>
          </w:rPr>
          <w:t>851</w:t>
        </w:r>
      </w:hyperlink>
      <w:r>
        <w:rPr>
          <w:spacing w:val="-4"/>
          <w:position w:val="5"/>
          <w:sz w:val="14"/>
        </w:rPr>
        <w:t>.</w:t>
      </w:r>
      <w:r>
        <w:rPr>
          <w:position w:val="5"/>
          <w:sz w:val="14"/>
        </w:rPr>
        <w:tab/>
      </w:r>
      <w:r>
        <w:rPr>
          <w:rFonts w:ascii="Arial"/>
          <w:i/>
          <w:sz w:val="20"/>
        </w:rPr>
        <w:t>Law</w:t>
      </w:r>
      <w:r>
        <w:rPr>
          <w:rFonts w:ascii="Arial"/>
          <w:i/>
          <w:spacing w:val="29"/>
          <w:sz w:val="20"/>
        </w:rPr>
        <w:t> </w:t>
      </w:r>
      <w:r>
        <w:rPr>
          <w:rFonts w:ascii="Arial"/>
          <w:i/>
          <w:sz w:val="20"/>
        </w:rPr>
        <w:t>Debenture</w:t>
      </w:r>
      <w:r>
        <w:rPr>
          <w:rFonts w:ascii="Arial"/>
          <w:i/>
          <w:spacing w:val="30"/>
          <w:sz w:val="20"/>
        </w:rPr>
        <w:t> </w:t>
      </w:r>
      <w:r>
        <w:rPr>
          <w:rFonts w:ascii="Arial"/>
          <w:i/>
          <w:sz w:val="20"/>
        </w:rPr>
        <w:t>Trust</w:t>
      </w:r>
      <w:r>
        <w:rPr>
          <w:rFonts w:ascii="Arial"/>
          <w:i/>
          <w:spacing w:val="30"/>
          <w:sz w:val="20"/>
        </w:rPr>
        <w:t> </w:t>
      </w:r>
      <w:r>
        <w:rPr>
          <w:rFonts w:ascii="Arial"/>
          <w:i/>
          <w:sz w:val="20"/>
        </w:rPr>
        <w:t>Corp.</w:t>
      </w:r>
      <w:r>
        <w:rPr>
          <w:rFonts w:ascii="Arial"/>
          <w:i/>
          <w:spacing w:val="30"/>
          <w:sz w:val="20"/>
        </w:rPr>
        <w:t> </w:t>
      </w:r>
      <w:r>
        <w:rPr>
          <w:rFonts w:ascii="Arial"/>
          <w:i/>
          <w:sz w:val="20"/>
        </w:rPr>
        <w:t>v</w:t>
      </w:r>
      <w:r>
        <w:rPr>
          <w:rFonts w:ascii="Arial"/>
          <w:i/>
          <w:spacing w:val="30"/>
          <w:sz w:val="20"/>
        </w:rPr>
        <w:t> </w:t>
      </w:r>
      <w:r>
        <w:rPr>
          <w:rFonts w:ascii="Arial"/>
          <w:i/>
          <w:sz w:val="20"/>
        </w:rPr>
        <w:t>Ural</w:t>
      </w:r>
      <w:r>
        <w:rPr>
          <w:rFonts w:ascii="Arial"/>
          <w:i/>
          <w:spacing w:val="30"/>
          <w:sz w:val="20"/>
        </w:rPr>
        <w:t> </w:t>
      </w:r>
      <w:r>
        <w:rPr>
          <w:rFonts w:ascii="Arial"/>
          <w:i/>
          <w:sz w:val="20"/>
        </w:rPr>
        <w:t>Caspian</w:t>
      </w:r>
      <w:r>
        <w:rPr>
          <w:rFonts w:ascii="Arial"/>
          <w:i/>
          <w:spacing w:val="30"/>
          <w:sz w:val="20"/>
        </w:rPr>
        <w:t> </w:t>
      </w:r>
      <w:r>
        <w:rPr>
          <w:rFonts w:ascii="Arial"/>
          <w:i/>
          <w:sz w:val="20"/>
        </w:rPr>
        <w:t>Oil</w:t>
      </w:r>
      <w:r>
        <w:rPr>
          <w:rFonts w:ascii="Arial"/>
          <w:i/>
          <w:spacing w:val="30"/>
          <w:sz w:val="20"/>
        </w:rPr>
        <w:t> </w:t>
      </w:r>
      <w:r>
        <w:rPr>
          <w:rFonts w:ascii="Arial"/>
          <w:i/>
          <w:sz w:val="20"/>
        </w:rPr>
        <w:t>Corp.</w:t>
      </w:r>
      <w:r>
        <w:rPr>
          <w:rFonts w:ascii="Arial"/>
          <w:i/>
          <w:spacing w:val="30"/>
          <w:sz w:val="20"/>
        </w:rPr>
        <w:t> </w:t>
      </w:r>
      <w:r>
        <w:rPr>
          <w:rFonts w:ascii="Arial"/>
          <w:i/>
          <w:sz w:val="20"/>
        </w:rPr>
        <w:t>Ltd</w:t>
      </w:r>
      <w:r>
        <w:rPr>
          <w:rFonts w:ascii="Arial"/>
          <w:i/>
          <w:spacing w:val="30"/>
          <w:sz w:val="20"/>
        </w:rPr>
        <w:t> </w:t>
      </w:r>
      <w:r>
        <w:rPr>
          <w:rFonts w:ascii="Arial"/>
          <w:i/>
          <w:sz w:val="20"/>
        </w:rPr>
        <w:t>[1993]</w:t>
      </w:r>
      <w:r>
        <w:rPr>
          <w:rFonts w:ascii="Arial"/>
          <w:i/>
          <w:spacing w:val="30"/>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138</w:t>
      </w:r>
      <w:r>
        <w:rPr>
          <w:sz w:val="20"/>
        </w:rPr>
        <w:t>;</w:t>
      </w:r>
      <w:r>
        <w:rPr>
          <w:spacing w:val="30"/>
          <w:sz w:val="20"/>
        </w:rPr>
        <w:t> </w:t>
      </w:r>
      <w:r>
        <w:rPr>
          <w:sz w:val="20"/>
        </w:rPr>
        <w:t>reversed,</w:t>
      </w:r>
      <w:r>
        <w:rPr>
          <w:spacing w:val="30"/>
          <w:sz w:val="20"/>
        </w:rPr>
        <w:t> </w:t>
      </w:r>
      <w:r>
        <w:rPr>
          <w:spacing w:val="-5"/>
          <w:sz w:val="20"/>
        </w:rPr>
        <w:t>on</w:t>
      </w:r>
    </w:p>
    <w:p>
      <w:pPr>
        <w:spacing w:after="0"/>
        <w:jc w:val="left"/>
        <w:rPr>
          <w:sz w:val="20"/>
        </w:rPr>
        <w:sectPr>
          <w:pgSz w:w="11900" w:h="16840"/>
          <w:pgMar w:header="971" w:footer="0" w:top="1160" w:bottom="280" w:left="1275" w:right="1275"/>
        </w:sectPr>
      </w:pPr>
    </w:p>
    <w:p>
      <w:pPr>
        <w:pStyle w:val="BodyText"/>
        <w:spacing w:before="21"/>
      </w:pPr>
    </w:p>
    <w:p>
      <w:pPr>
        <w:spacing w:before="0"/>
        <w:ind w:left="705" w:right="0" w:firstLine="0"/>
        <w:jc w:val="left"/>
        <w:rPr>
          <w:sz w:val="20"/>
        </w:rPr>
      </w:pPr>
      <w:r>
        <w:rPr>
          <w:sz w:val="20"/>
        </w:rPr>
        <w:t>another</w:t>
      </w:r>
      <w:r>
        <w:rPr>
          <w:spacing w:val="-2"/>
          <w:sz w:val="20"/>
        </w:rPr>
        <w:t> </w:t>
      </w:r>
      <w:r>
        <w:rPr>
          <w:sz w:val="20"/>
        </w:rPr>
        <w:t>point,</w:t>
      </w:r>
      <w:r>
        <w:rPr>
          <w:spacing w:val="-1"/>
          <w:sz w:val="20"/>
        </w:rPr>
        <w:t> </w:t>
      </w:r>
      <w:r>
        <w:rPr>
          <w:rFonts w:ascii="Arial"/>
          <w:i/>
          <w:sz w:val="20"/>
        </w:rPr>
        <w:t>[1995] Ch. </w:t>
      </w:r>
      <w:r>
        <w:rPr>
          <w:rFonts w:ascii="Arial"/>
          <w:i/>
          <w:spacing w:val="-4"/>
          <w:sz w:val="20"/>
        </w:rPr>
        <w:t>152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55" w:id="1657"/>
      <w:bookmarkEnd w:id="1657"/>
      <w:r>
        <w:rPr/>
      </w:r>
      <w:hyperlink w:history="true" w:anchor="_bookmark1575">
        <w:r>
          <w:rPr>
            <w:color w:val="005DA1"/>
            <w:spacing w:val="-4"/>
            <w:position w:val="5"/>
            <w:sz w:val="14"/>
            <w:u w:val="single" w:color="005DA1"/>
          </w:rPr>
          <w:t>852</w:t>
        </w:r>
      </w:hyperlink>
      <w:r>
        <w:rPr>
          <w:spacing w:val="-4"/>
          <w:position w:val="5"/>
          <w:sz w:val="14"/>
        </w:rPr>
        <w:t>.</w:t>
      </w:r>
      <w:r>
        <w:rPr>
          <w:position w:val="5"/>
          <w:sz w:val="14"/>
        </w:rPr>
        <w:tab/>
      </w:r>
      <w:r>
        <w:rPr>
          <w:rFonts w:ascii="Arial"/>
          <w:i/>
          <w:sz w:val="20"/>
        </w:rPr>
        <w:t>[1993] 1 W.L.R. 138, </w:t>
      </w:r>
      <w:r>
        <w:rPr>
          <w:rFonts w:ascii="Arial"/>
          <w:i/>
          <w:spacing w:val="-4"/>
          <w:sz w:val="20"/>
        </w:rPr>
        <w:t>146</w:t>
      </w:r>
      <w:r>
        <w:rPr>
          <w:spacing w:val="-4"/>
          <w:sz w:val="20"/>
        </w:rPr>
        <w:t>.</w:t>
      </w:r>
    </w:p>
    <w:p>
      <w:pPr>
        <w:pStyle w:val="BodyText"/>
        <w:spacing w:before="5"/>
      </w:pPr>
    </w:p>
    <w:p>
      <w:pPr>
        <w:pStyle w:val="BodyText"/>
        <w:tabs>
          <w:tab w:pos="705" w:val="left" w:leader="none"/>
        </w:tabs>
        <w:ind w:left="165"/>
      </w:pPr>
      <w:bookmarkStart w:name="_bookmark1656" w:id="1658"/>
      <w:bookmarkEnd w:id="1658"/>
      <w:r>
        <w:rPr/>
      </w:r>
      <w:hyperlink w:history="true" w:anchor="_bookmark1576">
        <w:r>
          <w:rPr>
            <w:color w:val="005DA1"/>
            <w:spacing w:val="-4"/>
            <w:position w:val="5"/>
            <w:sz w:val="14"/>
            <w:u w:val="single" w:color="005DA1"/>
          </w:rPr>
          <w:t>853</w:t>
        </w:r>
      </w:hyperlink>
      <w:r>
        <w:rPr>
          <w:spacing w:val="-4"/>
          <w:position w:val="5"/>
          <w:sz w:val="14"/>
        </w:rPr>
        <w:t>.</w:t>
      </w:r>
      <w:r>
        <w:rPr>
          <w:position w:val="5"/>
          <w:sz w:val="14"/>
        </w:rPr>
        <w:tab/>
      </w:r>
      <w:r>
        <w:rPr/>
        <w:t>Wade</w:t>
      </w:r>
      <w:r>
        <w:rPr>
          <w:spacing w:val="-2"/>
        </w:rPr>
        <w:t> </w:t>
      </w:r>
      <w:r>
        <w:rPr/>
        <w:t>(1926) 42 L.Q.R. </w:t>
      </w:r>
      <w:r>
        <w:rPr>
          <w:spacing w:val="-4"/>
        </w:rPr>
        <w:t>139.</w:t>
      </w:r>
    </w:p>
    <w:p>
      <w:pPr>
        <w:pStyle w:val="BodyText"/>
        <w:spacing w:before="9"/>
      </w:pPr>
    </w:p>
    <w:p>
      <w:pPr>
        <w:pStyle w:val="BodyText"/>
        <w:spacing w:line="235" w:lineRule="auto"/>
        <w:ind w:left="705" w:right="167" w:hanging="541"/>
        <w:jc w:val="both"/>
      </w:pPr>
      <w:bookmarkStart w:name="_bookmark1657" w:id="1659"/>
      <w:bookmarkEnd w:id="1659"/>
      <w:r>
        <w:rPr/>
      </w:r>
      <w:hyperlink w:history="true" w:anchor="_bookmark1577">
        <w:r>
          <w:rPr>
            <w:color w:val="005DA1"/>
            <w:position w:val="5"/>
            <w:sz w:val="14"/>
            <w:u w:val="single" w:color="005DA1"/>
          </w:rPr>
          <w:t>854</w:t>
        </w:r>
      </w:hyperlink>
      <w:r>
        <w:rPr>
          <w:position w:val="5"/>
          <w:sz w:val="14"/>
        </w:rPr>
        <w:t>.</w:t>
      </w:r>
      <w:r>
        <w:rPr>
          <w:spacing w:val="80"/>
          <w:w w:val="150"/>
          <w:position w:val="5"/>
          <w:sz w:val="14"/>
        </w:rPr>
        <w:t> </w:t>
      </w:r>
      <w:r>
        <w:rPr/>
        <w:t>For the state of mind required to make a defendant liable for the tort of inducing a breach of contract, see </w:t>
      </w:r>
      <w:r>
        <w:rPr>
          <w:rFonts w:ascii="Arial" w:hAnsi="Arial"/>
          <w:i/>
        </w:rPr>
        <w:t>OBG Ltd v Allen [2007] UKHL 21, [2008] 1 A.C. 1</w:t>
      </w:r>
      <w:r>
        <w:rPr/>
        <w:t>, above para.18-141 n.792 </w:t>
      </w:r>
      <w:r>
        <w:rPr/>
        <w:t>and</w:t>
      </w:r>
      <w:r>
        <w:rPr>
          <w:spacing w:val="40"/>
        </w:rPr>
        <w:t> </w:t>
      </w:r>
      <w:r>
        <w:rPr/>
        <w:t>at n.803. Discussions of the requisite mental element of the tort in earlier cases must now be read subject to the </w:t>
      </w:r>
      <w:r>
        <w:rPr>
          <w:rFonts w:ascii="Arial" w:hAnsi="Arial"/>
          <w:i/>
        </w:rPr>
        <w:t>OBG </w:t>
      </w:r>
      <w:r>
        <w:rPr/>
        <w:t>case, above. In the </w:t>
      </w:r>
      <w:r>
        <w:rPr>
          <w:rFonts w:ascii="Arial" w:hAnsi="Arial"/>
          <w:i/>
        </w:rPr>
        <w:t>Port Line </w:t>
      </w:r>
      <w:r>
        <w:rPr/>
        <w:t>case (above, para.18-145) the third party assumed that the charterparty with which he was alleged to have interfered contained certain crucial terms to the same effect as those of another charterparty which he had made with one</w:t>
      </w:r>
      <w:r>
        <w:rPr>
          <w:spacing w:val="40"/>
        </w:rPr>
        <w:t> </w:t>
      </w:r>
      <w:r>
        <w:rPr/>
        <w:t>of the parties to the original contract. He therefore honestly and genuinely believed that his conduct would not induce a breach of the charterparty; and such a belief would exonerate him from liability for the tort: see the </w:t>
      </w:r>
      <w:r>
        <w:rPr>
          <w:rFonts w:ascii="Arial" w:hAnsi="Arial"/>
          <w:i/>
        </w:rPr>
        <w:t>OBG </w:t>
      </w:r>
      <w:r>
        <w:rPr/>
        <w:t>case, above, at [68]–[70], [200]–[202] and the </w:t>
      </w:r>
      <w:r>
        <w:rPr>
          <w:rFonts w:ascii="Arial" w:hAnsi="Arial"/>
          <w:i/>
        </w:rPr>
        <w:t>Meretz </w:t>
      </w:r>
      <w:r>
        <w:rPr/>
        <w:t>case, above para.18-141 n.792 at [124], [180].</w:t>
      </w:r>
    </w:p>
    <w:p>
      <w:pPr>
        <w:pStyle w:val="BodyText"/>
        <w:spacing w:before="2"/>
      </w:pPr>
    </w:p>
    <w:p>
      <w:pPr>
        <w:tabs>
          <w:tab w:pos="705" w:val="left" w:leader="none"/>
        </w:tabs>
        <w:spacing w:before="0"/>
        <w:ind w:left="165" w:right="0" w:firstLine="0"/>
        <w:jc w:val="left"/>
        <w:rPr>
          <w:sz w:val="20"/>
        </w:rPr>
      </w:pPr>
      <w:bookmarkStart w:name="_bookmark1658" w:id="1660"/>
      <w:bookmarkEnd w:id="1660"/>
      <w:r>
        <w:rPr/>
      </w:r>
      <w:hyperlink w:history="true" w:anchor="_bookmark1578">
        <w:r>
          <w:rPr>
            <w:color w:val="005DA1"/>
            <w:spacing w:val="-4"/>
            <w:position w:val="5"/>
            <w:sz w:val="14"/>
            <w:u w:val="single" w:color="005DA1"/>
          </w:rPr>
          <w:t>855</w:t>
        </w:r>
      </w:hyperlink>
      <w:r>
        <w:rPr>
          <w:spacing w:val="-4"/>
          <w:position w:val="5"/>
          <w:sz w:val="14"/>
        </w:rPr>
        <w:t>.</w:t>
      </w:r>
      <w:r>
        <w:rPr>
          <w:position w:val="5"/>
          <w:sz w:val="14"/>
        </w:rPr>
        <w:tab/>
      </w:r>
      <w:r>
        <w:rPr>
          <w:sz w:val="20"/>
        </w:rPr>
        <w:t>Above, para.18-</w:t>
      </w:r>
      <w:r>
        <w:rPr>
          <w:spacing w:val="-4"/>
          <w:sz w:val="20"/>
        </w:rPr>
        <w:t>141.</w:t>
      </w:r>
    </w:p>
    <w:p>
      <w:pPr>
        <w:pStyle w:val="BodyText"/>
        <w:spacing w:before="9"/>
      </w:pPr>
    </w:p>
    <w:p>
      <w:pPr>
        <w:spacing w:line="235" w:lineRule="auto" w:before="0"/>
        <w:ind w:left="705" w:right="167" w:hanging="541"/>
        <w:jc w:val="both"/>
        <w:rPr>
          <w:sz w:val="20"/>
        </w:rPr>
      </w:pPr>
      <w:bookmarkStart w:name="_bookmark1659" w:id="1661"/>
      <w:bookmarkEnd w:id="1661"/>
      <w:r>
        <w:rPr/>
      </w:r>
      <w:hyperlink w:history="true" w:anchor="_bookmark1578">
        <w:r>
          <w:rPr>
            <w:color w:val="005DA1"/>
            <w:position w:val="5"/>
            <w:sz w:val="14"/>
            <w:u w:val="single" w:color="005DA1"/>
          </w:rPr>
          <w:t>856</w:t>
        </w:r>
      </w:hyperlink>
      <w:r>
        <w:rPr>
          <w:position w:val="5"/>
          <w:sz w:val="14"/>
        </w:rPr>
        <w:t>.</w:t>
      </w:r>
      <w:r>
        <w:rPr>
          <w:spacing w:val="80"/>
          <w:w w:val="150"/>
          <w:position w:val="5"/>
          <w:sz w:val="14"/>
        </w:rPr>
        <w:t> </w:t>
      </w:r>
      <w:r>
        <w:rPr>
          <w:rFonts w:ascii="Arial" w:hAnsi="Arial"/>
          <w:i/>
          <w:sz w:val="20"/>
        </w:rPr>
        <w:t>[1949] Ch. 556</w:t>
      </w:r>
      <w:r>
        <w:rPr>
          <w:sz w:val="20"/>
        </w:rPr>
        <w:t>; semble, that in such circumstances the agreement would now be likely to be exempted under Competition Act 1998, s.4 from potential invalidity under s.2 of that Act; </w:t>
      </w:r>
      <w:r>
        <w:rPr>
          <w:rFonts w:ascii="Arial" w:hAnsi="Arial"/>
          <w:i/>
          <w:sz w:val="20"/>
        </w:rPr>
        <w:t>Rickless v United Artists Corp. [1988] Q.B. 40, 58–59</w:t>
      </w:r>
      <w:r>
        <w:rPr>
          <w:sz w:val="20"/>
        </w:rPr>
        <w:t>; cf. </w:t>
      </w:r>
      <w:r>
        <w:rPr>
          <w:rFonts w:ascii="Arial" w:hAnsi="Arial"/>
          <w:i/>
          <w:sz w:val="20"/>
        </w:rPr>
        <w:t>Law Debenture Corp. v Ural Caspian Oil Corp. Ltd [1993] 1 W.L.R. 138 </w:t>
      </w:r>
      <w:r>
        <w:rPr>
          <w:sz w:val="20"/>
        </w:rPr>
        <w:t>(where the fifth defendant admitted liability on this </w:t>
      </w:r>
      <w:r>
        <w:rPr>
          <w:sz w:val="20"/>
        </w:rPr>
        <w:t>ground); reversed on another point </w:t>
      </w:r>
      <w:r>
        <w:rPr>
          <w:rFonts w:ascii="Arial" w:hAnsi="Arial"/>
          <w:i/>
          <w:sz w:val="20"/>
        </w:rPr>
        <w:t>[1995] Ch. 152</w:t>
      </w:r>
      <w:r>
        <w:rPr>
          <w:sz w:val="20"/>
        </w:rPr>
        <w:t>.</w:t>
      </w:r>
    </w:p>
    <w:p>
      <w:pPr>
        <w:pStyle w:val="BodyText"/>
        <w:spacing w:before="4"/>
      </w:pPr>
    </w:p>
    <w:p>
      <w:pPr>
        <w:tabs>
          <w:tab w:pos="705" w:val="left" w:leader="none"/>
        </w:tabs>
        <w:spacing w:before="0"/>
        <w:ind w:left="165" w:right="0" w:firstLine="0"/>
        <w:jc w:val="left"/>
        <w:rPr>
          <w:sz w:val="20"/>
        </w:rPr>
      </w:pPr>
      <w:bookmarkStart w:name="_bookmark1660" w:id="1662"/>
      <w:bookmarkEnd w:id="1662"/>
      <w:r>
        <w:rPr/>
      </w:r>
      <w:hyperlink w:history="true" w:anchor="_bookmark1579">
        <w:r>
          <w:rPr>
            <w:color w:val="005DA1"/>
            <w:spacing w:val="-4"/>
            <w:position w:val="5"/>
            <w:sz w:val="14"/>
            <w:u w:val="single" w:color="005DA1"/>
          </w:rPr>
          <w:t>857</w:t>
        </w:r>
      </w:hyperlink>
      <w:r>
        <w:rPr>
          <w:spacing w:val="-4"/>
          <w:position w:val="5"/>
          <w:sz w:val="14"/>
        </w:rPr>
        <w:t>.</w:t>
      </w:r>
      <w:r>
        <w:rPr>
          <w:position w:val="5"/>
          <w:sz w:val="14"/>
        </w:rPr>
        <w:tab/>
      </w:r>
      <w:r>
        <w:rPr>
          <w:rFonts w:ascii="Arial"/>
          <w:i/>
          <w:sz w:val="20"/>
        </w:rPr>
        <w:t>[1926]</w:t>
      </w:r>
      <w:r>
        <w:rPr>
          <w:rFonts w:ascii="Arial"/>
          <w:i/>
          <w:spacing w:val="-1"/>
          <w:sz w:val="20"/>
        </w:rPr>
        <w:t> </w:t>
      </w:r>
      <w:r>
        <w:rPr>
          <w:rFonts w:ascii="Arial"/>
          <w:i/>
          <w:sz w:val="20"/>
        </w:rPr>
        <w:t>A.C. 108</w:t>
      </w:r>
      <w:r>
        <w:rPr>
          <w:sz w:val="20"/>
        </w:rPr>
        <w:t>, above, para.18-</w:t>
      </w:r>
      <w:r>
        <w:rPr>
          <w:spacing w:val="-4"/>
          <w:sz w:val="20"/>
        </w:rPr>
        <w:t>145.</w:t>
      </w:r>
    </w:p>
    <w:p>
      <w:pPr>
        <w:pStyle w:val="BodyText"/>
        <w:spacing w:before="9"/>
      </w:pPr>
    </w:p>
    <w:p>
      <w:pPr>
        <w:spacing w:line="235" w:lineRule="auto" w:before="0"/>
        <w:ind w:left="705" w:right="168" w:hanging="541"/>
        <w:jc w:val="both"/>
        <w:rPr>
          <w:sz w:val="20"/>
        </w:rPr>
      </w:pPr>
      <w:bookmarkStart w:name="_bookmark1661" w:id="1663"/>
      <w:bookmarkEnd w:id="1663"/>
      <w:r>
        <w:rPr/>
      </w:r>
      <w:hyperlink w:history="true" w:anchor="_bookmark1580">
        <w:r>
          <w:rPr>
            <w:color w:val="005DA1"/>
            <w:position w:val="5"/>
            <w:sz w:val="14"/>
            <w:u w:val="single" w:color="005DA1"/>
          </w:rPr>
          <w:t>858</w:t>
        </w:r>
      </w:hyperlink>
      <w:r>
        <w:rPr>
          <w:position w:val="5"/>
          <w:sz w:val="14"/>
        </w:rPr>
        <w:t>.</w:t>
      </w:r>
      <w:r>
        <w:rPr>
          <w:spacing w:val="40"/>
          <w:position w:val="5"/>
          <w:sz w:val="14"/>
        </w:rPr>
        <w:t>  </w:t>
      </w:r>
      <w:r>
        <w:rPr>
          <w:rFonts w:ascii="Arial" w:hAnsi="Arial"/>
          <w:i/>
          <w:sz w:val="20"/>
        </w:rPr>
        <w:t>Swiss Bank Corp. v Lloyds Bank Ltd [1979] Ch. 581, 574</w:t>
      </w:r>
      <w:r>
        <w:rPr>
          <w:sz w:val="20"/>
        </w:rPr>
        <w:t>; in the Court of Appeal it was</w:t>
      </w:r>
      <w:r>
        <w:rPr>
          <w:spacing w:val="80"/>
          <w:sz w:val="20"/>
        </w:rPr>
        <w:t> </w:t>
      </w:r>
      <w:r>
        <w:rPr>
          <w:sz w:val="20"/>
        </w:rPr>
        <w:t>conceded</w:t>
      </w:r>
      <w:r>
        <w:rPr>
          <w:spacing w:val="40"/>
          <w:sz w:val="20"/>
        </w:rPr>
        <w:t> </w:t>
      </w:r>
      <w:r>
        <w:rPr>
          <w:sz w:val="20"/>
        </w:rPr>
        <w:t>that</w:t>
      </w:r>
      <w:r>
        <w:rPr>
          <w:spacing w:val="40"/>
          <w:sz w:val="20"/>
        </w:rPr>
        <w:t> </w:t>
      </w:r>
      <w:r>
        <w:rPr>
          <w:sz w:val="20"/>
        </w:rPr>
        <w:t>there</w:t>
      </w:r>
      <w:r>
        <w:rPr>
          <w:spacing w:val="40"/>
          <w:sz w:val="20"/>
        </w:rPr>
        <w:t> </w:t>
      </w:r>
      <w:r>
        <w:rPr>
          <w:sz w:val="20"/>
        </w:rPr>
        <w:t>was</w:t>
      </w:r>
      <w:r>
        <w:rPr>
          <w:spacing w:val="40"/>
          <w:sz w:val="20"/>
        </w:rPr>
        <w:t> </w:t>
      </w:r>
      <w:r>
        <w:rPr>
          <w:sz w:val="20"/>
        </w:rPr>
        <w:t>“no</w:t>
      </w:r>
      <w:r>
        <w:rPr>
          <w:spacing w:val="40"/>
          <w:sz w:val="20"/>
        </w:rPr>
        <w:t> </w:t>
      </w:r>
      <w:r>
        <w:rPr>
          <w:sz w:val="20"/>
        </w:rPr>
        <w:t>substance”</w:t>
      </w:r>
      <w:r>
        <w:rPr>
          <w:spacing w:val="40"/>
          <w:sz w:val="20"/>
        </w:rPr>
        <w:t> </w:t>
      </w:r>
      <w:r>
        <w:rPr>
          <w:sz w:val="20"/>
        </w:rPr>
        <w:t>in</w:t>
      </w:r>
      <w:r>
        <w:rPr>
          <w:spacing w:val="40"/>
          <w:sz w:val="20"/>
        </w:rPr>
        <w:t> </w:t>
      </w:r>
      <w:r>
        <w:rPr>
          <w:sz w:val="20"/>
        </w:rPr>
        <w:t>the</w:t>
      </w:r>
      <w:r>
        <w:rPr>
          <w:spacing w:val="40"/>
          <w:sz w:val="20"/>
        </w:rPr>
        <w:t> </w:t>
      </w:r>
      <w:r>
        <w:rPr>
          <w:sz w:val="20"/>
        </w:rPr>
        <w:t>point:</w:t>
      </w:r>
      <w:r>
        <w:rPr>
          <w:spacing w:val="40"/>
          <w:sz w:val="20"/>
        </w:rPr>
        <w:t> </w:t>
      </w:r>
      <w:r>
        <w:rPr>
          <w:sz w:val="20"/>
        </w:rPr>
        <w:t>see</w:t>
      </w:r>
      <w:r>
        <w:rPr>
          <w:spacing w:val="40"/>
          <w:sz w:val="20"/>
        </w:rPr>
        <w:t> </w:t>
      </w:r>
      <w:r>
        <w:rPr>
          <w:rFonts w:ascii="Arial" w:hAnsi="Arial"/>
          <w:i/>
          <w:sz w:val="20"/>
        </w:rPr>
        <w:t>[1982]</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584,</w:t>
      </w:r>
      <w:r>
        <w:rPr>
          <w:rFonts w:ascii="Arial" w:hAnsi="Arial"/>
          <w:i/>
          <w:spacing w:val="40"/>
          <w:sz w:val="20"/>
        </w:rPr>
        <w:t> </w:t>
      </w:r>
      <w:r>
        <w:rPr>
          <w:rFonts w:ascii="Arial" w:hAnsi="Arial"/>
          <w:i/>
          <w:sz w:val="20"/>
        </w:rPr>
        <w:t>598</w:t>
      </w:r>
      <w:r>
        <w:rPr>
          <w:rFonts w:ascii="Arial" w:hAnsi="Arial"/>
          <w:i/>
          <w:spacing w:val="40"/>
          <w:sz w:val="20"/>
        </w:rPr>
        <w:t> </w:t>
      </w:r>
      <w:r>
        <w:rPr>
          <w:sz w:val="20"/>
        </w:rPr>
        <w:t>and para.18-151, below, at n.849.</w:t>
      </w:r>
    </w:p>
    <w:p>
      <w:pPr>
        <w:pStyle w:val="BodyText"/>
        <w:spacing w:before="5"/>
      </w:pPr>
    </w:p>
    <w:p>
      <w:pPr>
        <w:spacing w:line="227" w:lineRule="exact" w:before="0"/>
        <w:ind w:left="165" w:right="0" w:firstLine="0"/>
        <w:jc w:val="both"/>
        <w:rPr>
          <w:sz w:val="20"/>
        </w:rPr>
      </w:pPr>
      <w:bookmarkStart w:name="_bookmark1662" w:id="1664"/>
      <w:bookmarkEnd w:id="1664"/>
      <w:r>
        <w:rPr/>
      </w:r>
      <w:hyperlink w:history="true" w:anchor="_bookmark1581">
        <w:r>
          <w:rPr>
            <w:color w:val="005DA1"/>
            <w:position w:val="5"/>
            <w:sz w:val="14"/>
            <w:u w:val="single" w:color="005DA1"/>
          </w:rPr>
          <w:t>859</w:t>
        </w:r>
      </w:hyperlink>
      <w:r>
        <w:rPr>
          <w:position w:val="5"/>
          <w:sz w:val="14"/>
        </w:rPr>
        <w:t>.</w:t>
      </w:r>
      <w:r>
        <w:rPr>
          <w:spacing w:val="75"/>
          <w:w w:val="150"/>
          <w:position w:val="5"/>
          <w:sz w:val="14"/>
        </w:rPr>
        <w:t>  </w:t>
      </w:r>
      <w:r>
        <w:rPr>
          <w:rFonts w:ascii="Arial"/>
          <w:i/>
          <w:sz w:val="20"/>
        </w:rPr>
        <w:t>Sefton</w:t>
      </w:r>
      <w:r>
        <w:rPr>
          <w:rFonts w:ascii="Arial"/>
          <w:i/>
          <w:spacing w:val="6"/>
          <w:sz w:val="20"/>
        </w:rPr>
        <w:t> </w:t>
      </w:r>
      <w:r>
        <w:rPr>
          <w:rFonts w:ascii="Arial"/>
          <w:i/>
          <w:sz w:val="20"/>
        </w:rPr>
        <w:t>v</w:t>
      </w:r>
      <w:r>
        <w:rPr>
          <w:rFonts w:ascii="Arial"/>
          <w:i/>
          <w:spacing w:val="6"/>
          <w:sz w:val="20"/>
        </w:rPr>
        <w:t> </w:t>
      </w:r>
      <w:r>
        <w:rPr>
          <w:rFonts w:ascii="Arial"/>
          <w:i/>
          <w:sz w:val="20"/>
        </w:rPr>
        <w:t>Tophams</w:t>
      </w:r>
      <w:r>
        <w:rPr>
          <w:rFonts w:ascii="Arial"/>
          <w:i/>
          <w:spacing w:val="6"/>
          <w:sz w:val="20"/>
        </w:rPr>
        <w:t> </w:t>
      </w:r>
      <w:r>
        <w:rPr>
          <w:rFonts w:ascii="Arial"/>
          <w:i/>
          <w:sz w:val="20"/>
        </w:rPr>
        <w:t>[1965]</w:t>
      </w:r>
      <w:r>
        <w:rPr>
          <w:rFonts w:ascii="Arial"/>
          <w:i/>
          <w:spacing w:val="6"/>
          <w:sz w:val="20"/>
        </w:rPr>
        <w:t> </w:t>
      </w:r>
      <w:r>
        <w:rPr>
          <w:rFonts w:ascii="Arial"/>
          <w:i/>
          <w:sz w:val="20"/>
        </w:rPr>
        <w:t>Ch.</w:t>
      </w:r>
      <w:r>
        <w:rPr>
          <w:rFonts w:ascii="Arial"/>
          <w:i/>
          <w:spacing w:val="6"/>
          <w:sz w:val="20"/>
        </w:rPr>
        <w:t> </w:t>
      </w:r>
      <w:r>
        <w:rPr>
          <w:rFonts w:ascii="Arial"/>
          <w:i/>
          <w:sz w:val="20"/>
        </w:rPr>
        <w:t>1140,</w:t>
      </w:r>
      <w:r>
        <w:rPr>
          <w:rFonts w:ascii="Arial"/>
          <w:i/>
          <w:spacing w:val="6"/>
          <w:sz w:val="20"/>
        </w:rPr>
        <w:t> </w:t>
      </w:r>
      <w:r>
        <w:rPr>
          <w:rFonts w:ascii="Arial"/>
          <w:i/>
          <w:sz w:val="20"/>
        </w:rPr>
        <w:t>1161,</w:t>
      </w:r>
      <w:r>
        <w:rPr>
          <w:rFonts w:ascii="Arial"/>
          <w:i/>
          <w:spacing w:val="5"/>
          <w:sz w:val="20"/>
        </w:rPr>
        <w:t> </w:t>
      </w:r>
      <w:r>
        <w:rPr>
          <w:rFonts w:ascii="Arial"/>
          <w:i/>
          <w:sz w:val="20"/>
        </w:rPr>
        <w:t>1187</w:t>
      </w:r>
      <w:r>
        <w:rPr>
          <w:sz w:val="20"/>
        </w:rPr>
        <w:t>;</w:t>
      </w:r>
      <w:r>
        <w:rPr>
          <w:spacing w:val="6"/>
          <w:sz w:val="20"/>
        </w:rPr>
        <w:t> </w:t>
      </w:r>
      <w:r>
        <w:rPr>
          <w:sz w:val="20"/>
        </w:rPr>
        <w:t>reversed</w:t>
      </w:r>
      <w:r>
        <w:rPr>
          <w:spacing w:val="6"/>
          <w:sz w:val="20"/>
        </w:rPr>
        <w:t> </w:t>
      </w:r>
      <w:r>
        <w:rPr>
          <w:sz w:val="20"/>
        </w:rPr>
        <w:t>without</w:t>
      </w:r>
      <w:r>
        <w:rPr>
          <w:spacing w:val="6"/>
          <w:sz w:val="20"/>
        </w:rPr>
        <w:t> </w:t>
      </w:r>
      <w:r>
        <w:rPr>
          <w:sz w:val="20"/>
        </w:rPr>
        <w:t>reference</w:t>
      </w:r>
      <w:r>
        <w:rPr>
          <w:spacing w:val="6"/>
          <w:sz w:val="20"/>
        </w:rPr>
        <w:t> </w:t>
      </w:r>
      <w:r>
        <w:rPr>
          <w:sz w:val="20"/>
        </w:rPr>
        <w:t>to</w:t>
      </w:r>
      <w:r>
        <w:rPr>
          <w:spacing w:val="6"/>
          <w:sz w:val="20"/>
        </w:rPr>
        <w:t> </w:t>
      </w:r>
      <w:r>
        <w:rPr>
          <w:sz w:val="20"/>
        </w:rPr>
        <w:t>this</w:t>
      </w:r>
      <w:r>
        <w:rPr>
          <w:spacing w:val="6"/>
          <w:sz w:val="20"/>
        </w:rPr>
        <w:t> </w:t>
      </w:r>
      <w:r>
        <w:rPr>
          <w:sz w:val="20"/>
        </w:rPr>
        <w:t>point</w:t>
      </w:r>
      <w:r>
        <w:rPr>
          <w:spacing w:val="6"/>
          <w:sz w:val="20"/>
        </w:rPr>
        <w:t> </w:t>
      </w:r>
      <w:r>
        <w:rPr>
          <w:spacing w:val="-2"/>
          <w:sz w:val="20"/>
        </w:rPr>
        <w:t>[1967]</w:t>
      </w:r>
    </w:p>
    <w:p>
      <w:pPr>
        <w:spacing w:line="235" w:lineRule="auto" w:before="2"/>
        <w:ind w:left="705" w:right="167" w:firstLine="0"/>
        <w:jc w:val="both"/>
        <w:rPr>
          <w:sz w:val="20"/>
        </w:rPr>
      </w:pPr>
      <w:r>
        <w:rPr>
          <w:sz w:val="20"/>
        </w:rPr>
        <w:t>A.C. 50. And see </w:t>
      </w:r>
      <w:r>
        <w:rPr>
          <w:rFonts w:ascii="Arial" w:hAnsi="Arial"/>
          <w:i/>
          <w:sz w:val="20"/>
        </w:rPr>
        <w:t>Lictor Anstalt v MIR Steel UK Ltd [2011] EWHC 3310 (Ch), [2012] 1 All E.R. (Comm) 592 </w:t>
      </w:r>
      <w:r>
        <w:rPr>
          <w:sz w:val="20"/>
        </w:rPr>
        <w:t>at [53] (“persuasion [by C of B] is not required” in order to make C liable to A </w:t>
      </w:r>
      <w:r>
        <w:rPr>
          <w:sz w:val="20"/>
        </w:rPr>
        <w:t>for inducing B to break his contract with A). For further proceedings in this case, in which C were held liable to A for knowingly procuring a breach of A’s contract with B, see </w:t>
      </w:r>
      <w:r>
        <w:rPr>
          <w:rFonts w:ascii="Arial" w:hAnsi="Arial"/>
          <w:i/>
          <w:sz w:val="20"/>
        </w:rPr>
        <w:t>[2014] EWHC 3316 (Ch) </w:t>
      </w:r>
      <w:r>
        <w:rPr>
          <w:sz w:val="20"/>
        </w:rPr>
        <w:t>at [260].</w:t>
      </w:r>
    </w:p>
    <w:p>
      <w:pPr>
        <w:pStyle w:val="BodyText"/>
        <w:spacing w:before="4"/>
      </w:pPr>
    </w:p>
    <w:p>
      <w:pPr>
        <w:tabs>
          <w:tab w:pos="705" w:val="left" w:leader="none"/>
        </w:tabs>
        <w:spacing w:before="0"/>
        <w:ind w:left="165" w:right="0" w:firstLine="0"/>
        <w:jc w:val="left"/>
        <w:rPr>
          <w:sz w:val="20"/>
        </w:rPr>
      </w:pPr>
      <w:bookmarkStart w:name="_bookmark1663" w:id="1665"/>
      <w:bookmarkEnd w:id="1665"/>
      <w:r>
        <w:rPr/>
      </w:r>
      <w:hyperlink w:history="true" w:anchor="_bookmark1582">
        <w:r>
          <w:rPr>
            <w:color w:val="005DA1"/>
            <w:spacing w:val="-4"/>
            <w:position w:val="5"/>
            <w:sz w:val="14"/>
            <w:u w:val="single" w:color="005DA1"/>
          </w:rPr>
          <w:t>860</w:t>
        </w:r>
      </w:hyperlink>
      <w:r>
        <w:rPr>
          <w:spacing w:val="-4"/>
          <w:position w:val="5"/>
          <w:sz w:val="14"/>
        </w:rPr>
        <w:t>.</w:t>
      </w:r>
      <w:r>
        <w:rPr>
          <w:position w:val="5"/>
          <w:sz w:val="14"/>
        </w:rPr>
        <w:tab/>
      </w:r>
      <w:r>
        <w:rPr>
          <w:rFonts w:ascii="Arial"/>
          <w:i/>
          <w:sz w:val="20"/>
        </w:rPr>
        <w:t>Esso Petroleum Co Ltd v Kingswood Motors (Addlestone) Ltd [1974] Q.B. </w:t>
      </w:r>
      <w:r>
        <w:rPr>
          <w:rFonts w:ascii="Arial"/>
          <w:i/>
          <w:spacing w:val="-4"/>
          <w:sz w:val="20"/>
        </w:rPr>
        <w:t>142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64" w:id="1666"/>
      <w:bookmarkEnd w:id="1666"/>
      <w:r>
        <w:rPr/>
      </w:r>
      <w:hyperlink w:history="true" w:anchor="_bookmark1583">
        <w:r>
          <w:rPr>
            <w:color w:val="005DA1"/>
            <w:spacing w:val="-4"/>
            <w:position w:val="5"/>
            <w:sz w:val="14"/>
            <w:u w:val="single" w:color="005DA1"/>
          </w:rPr>
          <w:t>861</w:t>
        </w:r>
      </w:hyperlink>
      <w:r>
        <w:rPr>
          <w:spacing w:val="-4"/>
          <w:position w:val="5"/>
          <w:sz w:val="14"/>
        </w:rPr>
        <w:t>.</w:t>
      </w:r>
      <w:r>
        <w:rPr>
          <w:position w:val="5"/>
          <w:sz w:val="14"/>
        </w:rPr>
        <w:tab/>
      </w:r>
      <w:r>
        <w:rPr>
          <w:rFonts w:ascii="Arial"/>
          <w:i/>
          <w:sz w:val="20"/>
        </w:rPr>
        <w:t>[1926]</w:t>
      </w:r>
      <w:r>
        <w:rPr>
          <w:rFonts w:ascii="Arial"/>
          <w:i/>
          <w:spacing w:val="-1"/>
          <w:sz w:val="20"/>
        </w:rPr>
        <w:t> </w:t>
      </w:r>
      <w:r>
        <w:rPr>
          <w:rFonts w:ascii="Arial"/>
          <w:i/>
          <w:sz w:val="20"/>
        </w:rPr>
        <w:t>A.C. 108</w:t>
      </w:r>
      <w:r>
        <w:rPr>
          <w:sz w:val="20"/>
        </w:rPr>
        <w:t>; above, para.18-</w:t>
      </w:r>
      <w:r>
        <w:rPr>
          <w:spacing w:val="-4"/>
          <w:sz w:val="20"/>
        </w:rPr>
        <w:t>145.</w:t>
      </w:r>
    </w:p>
    <w:p>
      <w:pPr>
        <w:pStyle w:val="BodyText"/>
        <w:spacing w:before="9"/>
      </w:pPr>
    </w:p>
    <w:p>
      <w:pPr>
        <w:spacing w:line="235" w:lineRule="auto" w:before="0"/>
        <w:ind w:left="705" w:right="168" w:hanging="541"/>
        <w:jc w:val="both"/>
        <w:rPr>
          <w:sz w:val="20"/>
        </w:rPr>
      </w:pPr>
      <w:bookmarkStart w:name="_bookmark1665" w:id="1667"/>
      <w:bookmarkEnd w:id="1667"/>
      <w:r>
        <w:rPr/>
      </w:r>
      <w:hyperlink w:history="true" w:anchor="_bookmark1584">
        <w:r>
          <w:rPr>
            <w:color w:val="005DA1"/>
            <w:position w:val="5"/>
            <w:sz w:val="14"/>
            <w:u w:val="single" w:color="005DA1"/>
          </w:rPr>
          <w:t>862</w:t>
        </w:r>
      </w:hyperlink>
      <w:r>
        <w:rPr>
          <w:position w:val="5"/>
          <w:sz w:val="14"/>
        </w:rPr>
        <w:t>.</w:t>
      </w:r>
      <w:r>
        <w:rPr>
          <w:spacing w:val="40"/>
          <w:position w:val="5"/>
          <w:sz w:val="14"/>
        </w:rPr>
        <w:t>  </w:t>
      </w:r>
      <w:r>
        <w:rPr>
          <w:rFonts w:ascii="Arial" w:hAnsi="Arial"/>
          <w:i/>
          <w:sz w:val="20"/>
        </w:rPr>
        <w:t>The Lord Strathcona [1925] P. 143</w:t>
      </w:r>
      <w:r>
        <w:rPr>
          <w:sz w:val="20"/>
        </w:rPr>
        <w:t>; judgment in these proceedings was given four months</w:t>
      </w:r>
      <w:r>
        <w:rPr>
          <w:spacing w:val="80"/>
          <w:sz w:val="20"/>
        </w:rPr>
        <w:t> </w:t>
      </w:r>
      <w:r>
        <w:rPr>
          <w:sz w:val="20"/>
        </w:rPr>
        <w:t>earlier than that in the Privy Council proceedings. cf. also </w:t>
      </w:r>
      <w:r>
        <w:rPr>
          <w:rFonts w:ascii="Arial" w:hAnsi="Arial"/>
          <w:i/>
          <w:sz w:val="20"/>
        </w:rPr>
        <w:t>De Mattos v Gibson (1858) 4 D. &amp; J. 276 </w:t>
      </w:r>
      <w:r>
        <w:rPr>
          <w:sz w:val="20"/>
        </w:rPr>
        <w:t>where the charterer’s claim eventually failed on a similar ground; and </w:t>
      </w:r>
      <w:r>
        <w:rPr>
          <w:rFonts w:ascii="Arial" w:hAnsi="Arial"/>
          <w:i/>
          <w:sz w:val="20"/>
        </w:rPr>
        <w:t>The Myrto [1977] </w:t>
      </w:r>
      <w:r>
        <w:rPr>
          <w:rFonts w:ascii="Arial" w:hAnsi="Arial"/>
          <w:i/>
          <w:sz w:val="20"/>
        </w:rPr>
        <w:t>2 Lloyd’s Rep. 243 </w:t>
      </w:r>
      <w:r>
        <w:rPr>
          <w:sz w:val="20"/>
        </w:rPr>
        <w:t>(followed in </w:t>
      </w:r>
      <w:r>
        <w:rPr>
          <w:rFonts w:ascii="Arial" w:hAnsi="Arial"/>
          <w:i/>
          <w:sz w:val="20"/>
        </w:rPr>
        <w:t>Anton Durbeck GmbH v Den Norske Bank ASA [2005] EWHC 2497</w:t>
      </w:r>
      <w:r>
        <w:rPr>
          <w:rFonts w:ascii="Arial" w:hAnsi="Arial"/>
          <w:i/>
          <w:spacing w:val="20"/>
          <w:sz w:val="20"/>
        </w:rPr>
        <w:t> </w:t>
      </w:r>
      <w:r>
        <w:rPr>
          <w:rFonts w:ascii="Arial" w:hAnsi="Arial"/>
          <w:i/>
          <w:sz w:val="20"/>
        </w:rPr>
        <w:t>(Comm),</w:t>
      </w:r>
      <w:r>
        <w:rPr>
          <w:rFonts w:ascii="Arial" w:hAnsi="Arial"/>
          <w:i/>
          <w:spacing w:val="20"/>
          <w:sz w:val="20"/>
        </w:rPr>
        <w:t> </w:t>
      </w:r>
      <w:r>
        <w:rPr>
          <w:rFonts w:ascii="Arial" w:hAnsi="Arial"/>
          <w:i/>
          <w:sz w:val="20"/>
        </w:rPr>
        <w:t>[2006]</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93</w:t>
      </w:r>
      <w:r>
        <w:rPr>
          <w:rFonts w:ascii="Arial" w:hAnsi="Arial"/>
          <w:i/>
          <w:spacing w:val="19"/>
          <w:sz w:val="20"/>
        </w:rPr>
        <w:t> </w:t>
      </w:r>
      <w:r>
        <w:rPr>
          <w:sz w:val="20"/>
        </w:rPr>
        <w:t>at</w:t>
      </w:r>
      <w:r>
        <w:rPr>
          <w:spacing w:val="20"/>
          <w:sz w:val="20"/>
        </w:rPr>
        <w:t> </w:t>
      </w:r>
      <w:r>
        <w:rPr>
          <w:sz w:val="20"/>
        </w:rPr>
        <w:t>[50]–[64],</w:t>
      </w:r>
      <w:r>
        <w:rPr>
          <w:spacing w:val="20"/>
          <w:sz w:val="20"/>
        </w:rPr>
        <w:t> </w:t>
      </w:r>
      <w:r>
        <w:rPr>
          <w:sz w:val="20"/>
        </w:rPr>
        <w:t>though</w:t>
      </w:r>
      <w:r>
        <w:rPr>
          <w:spacing w:val="20"/>
          <w:sz w:val="20"/>
        </w:rPr>
        <w:t> </w:t>
      </w:r>
      <w:r>
        <w:rPr>
          <w:sz w:val="20"/>
        </w:rPr>
        <w:t>in</w:t>
      </w:r>
      <w:r>
        <w:rPr>
          <w:spacing w:val="20"/>
          <w:sz w:val="20"/>
        </w:rPr>
        <w:t> </w:t>
      </w:r>
      <w:r>
        <w:rPr>
          <w:sz w:val="20"/>
        </w:rPr>
        <w:t>a</w:t>
      </w:r>
      <w:r>
        <w:rPr>
          <w:spacing w:val="20"/>
          <w:sz w:val="20"/>
        </w:rPr>
        <w:t> </w:t>
      </w:r>
      <w:r>
        <w:rPr>
          <w:sz w:val="20"/>
        </w:rPr>
        <w:t>part</w:t>
      </w:r>
      <w:r>
        <w:rPr>
          <w:spacing w:val="20"/>
          <w:sz w:val="20"/>
        </w:rPr>
        <w:t> </w:t>
      </w:r>
      <w:r>
        <w:rPr>
          <w:sz w:val="20"/>
        </w:rPr>
        <w:t>of</w:t>
      </w:r>
      <w:r>
        <w:rPr>
          <w:spacing w:val="20"/>
          <w:sz w:val="20"/>
        </w:rPr>
        <w:t> </w:t>
      </w:r>
      <w:r>
        <w:rPr>
          <w:sz w:val="20"/>
        </w:rPr>
        <w:t>the</w:t>
      </w:r>
      <w:r>
        <w:rPr>
          <w:spacing w:val="20"/>
          <w:sz w:val="20"/>
        </w:rPr>
        <w:t> </w:t>
      </w:r>
      <w:r>
        <w:rPr>
          <w:sz w:val="20"/>
        </w:rPr>
        <w:t>judgment</w:t>
      </w:r>
      <w:r>
        <w:rPr>
          <w:spacing w:val="20"/>
          <w:sz w:val="20"/>
        </w:rPr>
        <w:t> </w:t>
      </w:r>
      <w:r>
        <w:rPr>
          <w:sz w:val="20"/>
        </w:rPr>
        <w:t>said</w:t>
      </w:r>
      <w:r>
        <w:rPr>
          <w:spacing w:val="20"/>
          <w:sz w:val="20"/>
        </w:rPr>
        <w:t> </w:t>
      </w:r>
      <w:r>
        <w:rPr>
          <w:spacing w:val="-5"/>
          <w:sz w:val="20"/>
        </w:rPr>
        <w:t>at</w:t>
      </w:r>
    </w:p>
    <w:p>
      <w:pPr>
        <w:spacing w:line="235" w:lineRule="auto" w:before="0"/>
        <w:ind w:left="705" w:right="168" w:firstLine="0"/>
        <w:jc w:val="both"/>
        <w:rPr>
          <w:sz w:val="20"/>
        </w:rPr>
      </w:pPr>
      <w:r>
        <w:rPr>
          <w:sz w:val="20"/>
        </w:rPr>
        <w:t>[50] to be “obiter”); </w:t>
      </w:r>
      <w:r>
        <w:rPr>
          <w:rFonts w:ascii="Arial" w:hAnsi="Arial"/>
          <w:i/>
          <w:sz w:val="20"/>
        </w:rPr>
        <w:t>Lyus v Prowsa Developments Ltd [1982] 1 W.L.R. 1044, 1049 </w:t>
      </w:r>
      <w:r>
        <w:rPr>
          <w:sz w:val="20"/>
        </w:rPr>
        <w:t>(as to </w:t>
      </w:r>
      <w:r>
        <w:rPr>
          <w:sz w:val="20"/>
        </w:rPr>
        <w:t>which see also above paras 18-082 and 18-141, n.790).</w:t>
      </w:r>
    </w:p>
    <w:p>
      <w:pPr>
        <w:pStyle w:val="BodyText"/>
        <w:spacing w:before="7"/>
      </w:pPr>
    </w:p>
    <w:p>
      <w:pPr>
        <w:spacing w:line="235" w:lineRule="auto" w:before="0"/>
        <w:ind w:left="705" w:right="167" w:hanging="541"/>
        <w:jc w:val="both"/>
        <w:rPr>
          <w:sz w:val="20"/>
        </w:rPr>
      </w:pPr>
      <w:bookmarkStart w:name="_bookmark1666" w:id="1668"/>
      <w:bookmarkEnd w:id="1668"/>
      <w:r>
        <w:rPr/>
      </w:r>
      <w:hyperlink w:history="true" w:anchor="_bookmark1585">
        <w:r>
          <w:rPr>
            <w:color w:val="005DA1"/>
            <w:position w:val="5"/>
            <w:sz w:val="14"/>
            <w:u w:val="single" w:color="005DA1"/>
          </w:rPr>
          <w:t>863</w:t>
        </w:r>
      </w:hyperlink>
      <w:r>
        <w:rPr>
          <w:position w:val="5"/>
          <w:sz w:val="14"/>
        </w:rPr>
        <w:t>.</w:t>
      </w:r>
      <w:r>
        <w:rPr>
          <w:spacing w:val="40"/>
          <w:position w:val="5"/>
          <w:sz w:val="14"/>
        </w:rPr>
        <w:t>  </w:t>
      </w:r>
      <w:r>
        <w:rPr>
          <w:sz w:val="20"/>
        </w:rPr>
        <w:t>cf. </w:t>
      </w:r>
      <w:r>
        <w:rPr>
          <w:rFonts w:ascii="Arial"/>
          <w:i/>
          <w:sz w:val="20"/>
        </w:rPr>
        <w:t>Den Norske Bank ASA v Acemex Management Co [2003] EWCA Civ 1559, [2004] 1 All </w:t>
      </w:r>
      <w:r>
        <w:rPr>
          <w:rFonts w:ascii="Arial"/>
          <w:i/>
          <w:sz w:val="20"/>
        </w:rPr>
        <w:t>E.R. (Comm) 904 </w:t>
      </w:r>
      <w:r>
        <w:rPr>
          <w:sz w:val="20"/>
        </w:rPr>
        <w:t>(mortgagee of ship not obliged to defer the exercise of power of sale under the mortgage by reason of the fact that such exercise interferes with contracts for the carriage of goods in the ship made between the mortgagor and shippers of the goods).</w:t>
      </w:r>
    </w:p>
    <w:p>
      <w:pPr>
        <w:pStyle w:val="BodyText"/>
        <w:spacing w:before="8"/>
      </w:pPr>
    </w:p>
    <w:p>
      <w:pPr>
        <w:tabs>
          <w:tab w:pos="705" w:val="left" w:leader="none"/>
        </w:tabs>
        <w:spacing w:line="235" w:lineRule="auto" w:before="1"/>
        <w:ind w:left="705" w:right="168" w:hanging="541"/>
        <w:jc w:val="left"/>
        <w:rPr>
          <w:sz w:val="20"/>
        </w:rPr>
      </w:pPr>
      <w:bookmarkStart w:name="_bookmark1667" w:id="1669"/>
      <w:bookmarkEnd w:id="1669"/>
      <w:r>
        <w:rPr/>
      </w:r>
      <w:hyperlink w:history="true" w:anchor="_bookmark1586">
        <w:r>
          <w:rPr>
            <w:color w:val="005DA1"/>
            <w:spacing w:val="-4"/>
            <w:position w:val="5"/>
            <w:sz w:val="14"/>
            <w:u w:val="single" w:color="005DA1"/>
          </w:rPr>
          <w:t>864</w:t>
        </w:r>
      </w:hyperlink>
      <w:r>
        <w:rPr>
          <w:spacing w:val="-4"/>
          <w:position w:val="5"/>
          <w:sz w:val="14"/>
        </w:rPr>
        <w:t>.</w:t>
      </w:r>
      <w:r>
        <w:rPr>
          <w:position w:val="5"/>
          <w:sz w:val="14"/>
        </w:rPr>
        <w:tab/>
      </w:r>
      <w:r>
        <w:rPr>
          <w:rFonts w:ascii="Arial"/>
          <w:i/>
          <w:sz w:val="20"/>
        </w:rPr>
        <w:t>Law</w:t>
      </w:r>
      <w:r>
        <w:rPr>
          <w:rFonts w:ascii="Arial"/>
          <w:i/>
          <w:spacing w:val="24"/>
          <w:sz w:val="20"/>
        </w:rPr>
        <w:t> </w:t>
      </w:r>
      <w:r>
        <w:rPr>
          <w:rFonts w:ascii="Arial"/>
          <w:i/>
          <w:sz w:val="20"/>
        </w:rPr>
        <w:t>Debenture</w:t>
      </w:r>
      <w:r>
        <w:rPr>
          <w:rFonts w:ascii="Arial"/>
          <w:i/>
          <w:spacing w:val="24"/>
          <w:sz w:val="20"/>
        </w:rPr>
        <w:t> </w:t>
      </w:r>
      <w:r>
        <w:rPr>
          <w:rFonts w:ascii="Arial"/>
          <w:i/>
          <w:sz w:val="20"/>
        </w:rPr>
        <w:t>Trust</w:t>
      </w:r>
      <w:r>
        <w:rPr>
          <w:rFonts w:ascii="Arial"/>
          <w:i/>
          <w:spacing w:val="24"/>
          <w:sz w:val="20"/>
        </w:rPr>
        <w:t> </w:t>
      </w:r>
      <w:r>
        <w:rPr>
          <w:rFonts w:ascii="Arial"/>
          <w:i/>
          <w:sz w:val="20"/>
        </w:rPr>
        <w:t>Corp.</w:t>
      </w:r>
      <w:r>
        <w:rPr>
          <w:rFonts w:ascii="Arial"/>
          <w:i/>
          <w:spacing w:val="24"/>
          <w:sz w:val="20"/>
        </w:rPr>
        <w:t> </w:t>
      </w:r>
      <w:r>
        <w:rPr>
          <w:rFonts w:ascii="Arial"/>
          <w:i/>
          <w:sz w:val="20"/>
        </w:rPr>
        <w:t>v</w:t>
      </w:r>
      <w:r>
        <w:rPr>
          <w:rFonts w:ascii="Arial"/>
          <w:i/>
          <w:spacing w:val="24"/>
          <w:sz w:val="20"/>
        </w:rPr>
        <w:t> </w:t>
      </w:r>
      <w:r>
        <w:rPr>
          <w:rFonts w:ascii="Arial"/>
          <w:i/>
          <w:sz w:val="20"/>
        </w:rPr>
        <w:t>Ural</w:t>
      </w:r>
      <w:r>
        <w:rPr>
          <w:rFonts w:ascii="Arial"/>
          <w:i/>
          <w:spacing w:val="24"/>
          <w:sz w:val="20"/>
        </w:rPr>
        <w:t> </w:t>
      </w:r>
      <w:r>
        <w:rPr>
          <w:rFonts w:ascii="Arial"/>
          <w:i/>
          <w:sz w:val="20"/>
        </w:rPr>
        <w:t>Caspian</w:t>
      </w:r>
      <w:r>
        <w:rPr>
          <w:rFonts w:ascii="Arial"/>
          <w:i/>
          <w:spacing w:val="24"/>
          <w:sz w:val="20"/>
        </w:rPr>
        <w:t> </w:t>
      </w:r>
      <w:r>
        <w:rPr>
          <w:rFonts w:ascii="Arial"/>
          <w:i/>
          <w:sz w:val="20"/>
        </w:rPr>
        <w:t>Oil</w:t>
      </w:r>
      <w:r>
        <w:rPr>
          <w:rFonts w:ascii="Arial"/>
          <w:i/>
          <w:spacing w:val="24"/>
          <w:sz w:val="20"/>
        </w:rPr>
        <w:t> </w:t>
      </w:r>
      <w:r>
        <w:rPr>
          <w:rFonts w:ascii="Arial"/>
          <w:i/>
          <w:sz w:val="20"/>
        </w:rPr>
        <w:t>Corp.</w:t>
      </w:r>
      <w:r>
        <w:rPr>
          <w:rFonts w:ascii="Arial"/>
          <w:i/>
          <w:spacing w:val="24"/>
          <w:sz w:val="20"/>
        </w:rPr>
        <w:t> </w:t>
      </w:r>
      <w:r>
        <w:rPr>
          <w:rFonts w:ascii="Arial"/>
          <w:i/>
          <w:sz w:val="20"/>
        </w:rPr>
        <w:t>Ltd</w:t>
      </w:r>
      <w:r>
        <w:rPr>
          <w:rFonts w:ascii="Arial"/>
          <w:i/>
          <w:spacing w:val="24"/>
          <w:sz w:val="20"/>
        </w:rPr>
        <w:t> </w:t>
      </w:r>
      <w:r>
        <w:rPr>
          <w:rFonts w:ascii="Arial"/>
          <w:i/>
          <w:sz w:val="20"/>
        </w:rPr>
        <w:t>[1993]</w:t>
      </w:r>
      <w:r>
        <w:rPr>
          <w:rFonts w:ascii="Arial"/>
          <w:i/>
          <w:spacing w:val="24"/>
          <w:sz w:val="20"/>
        </w:rPr>
        <w:t> </w:t>
      </w:r>
      <w:r>
        <w:rPr>
          <w:rFonts w:ascii="Arial"/>
          <w:i/>
          <w:sz w:val="20"/>
        </w:rPr>
        <w:t>1</w:t>
      </w:r>
      <w:r>
        <w:rPr>
          <w:rFonts w:ascii="Arial"/>
          <w:i/>
          <w:spacing w:val="24"/>
          <w:sz w:val="20"/>
        </w:rPr>
        <w:t> </w:t>
      </w:r>
      <w:r>
        <w:rPr>
          <w:rFonts w:ascii="Arial"/>
          <w:i/>
          <w:sz w:val="20"/>
        </w:rPr>
        <w:t>W.L.R.</w:t>
      </w:r>
      <w:r>
        <w:rPr>
          <w:rFonts w:ascii="Arial"/>
          <w:i/>
          <w:spacing w:val="24"/>
          <w:sz w:val="20"/>
        </w:rPr>
        <w:t> </w:t>
      </w:r>
      <w:r>
        <w:rPr>
          <w:rFonts w:ascii="Arial"/>
          <w:i/>
          <w:sz w:val="20"/>
        </w:rPr>
        <w:t>138</w:t>
      </w:r>
      <w:r>
        <w:rPr>
          <w:sz w:val="20"/>
        </w:rPr>
        <w:t>,</w:t>
      </w:r>
      <w:r>
        <w:rPr>
          <w:spacing w:val="24"/>
          <w:sz w:val="20"/>
        </w:rPr>
        <w:t> </w:t>
      </w:r>
      <w:r>
        <w:rPr>
          <w:sz w:val="20"/>
        </w:rPr>
        <w:t>and</w:t>
      </w:r>
      <w:r>
        <w:rPr>
          <w:spacing w:val="24"/>
          <w:sz w:val="20"/>
        </w:rPr>
        <w:t> </w:t>
      </w:r>
      <w:r>
        <w:rPr>
          <w:sz w:val="20"/>
        </w:rPr>
        <w:t>see</w:t>
      </w:r>
      <w:r>
        <w:rPr>
          <w:spacing w:val="24"/>
          <w:sz w:val="20"/>
        </w:rPr>
        <w:t> </w:t>
      </w:r>
      <w:r>
        <w:rPr>
          <w:sz w:val="20"/>
        </w:rPr>
        <w:t>next </w:t>
      </w:r>
      <w:r>
        <w:rPr>
          <w:spacing w:val="-2"/>
          <w:sz w:val="20"/>
        </w:rPr>
        <w:t>note.</w:t>
      </w:r>
    </w:p>
    <w:p>
      <w:pPr>
        <w:pStyle w:val="BodyText"/>
        <w:spacing w:before="9"/>
      </w:pPr>
    </w:p>
    <w:p>
      <w:pPr>
        <w:tabs>
          <w:tab w:pos="705" w:val="left" w:leader="none"/>
        </w:tabs>
        <w:spacing w:line="235" w:lineRule="auto" w:before="0"/>
        <w:ind w:left="705" w:right="168" w:hanging="541"/>
        <w:jc w:val="left"/>
        <w:rPr>
          <w:sz w:val="20"/>
        </w:rPr>
      </w:pPr>
      <w:bookmarkStart w:name="_bookmark1668" w:id="1670"/>
      <w:bookmarkEnd w:id="1670"/>
      <w:r>
        <w:rPr/>
      </w:r>
      <w:hyperlink w:history="true" w:anchor="_bookmark1587">
        <w:r>
          <w:rPr>
            <w:color w:val="005DA1"/>
            <w:spacing w:val="-4"/>
            <w:position w:val="5"/>
            <w:sz w:val="14"/>
            <w:u w:val="single" w:color="005DA1"/>
          </w:rPr>
          <w:t>865</w:t>
        </w:r>
      </w:hyperlink>
      <w:r>
        <w:rPr>
          <w:spacing w:val="-4"/>
          <w:position w:val="5"/>
          <w:sz w:val="14"/>
        </w:rPr>
        <w:t>.</w:t>
      </w:r>
      <w:r>
        <w:rPr>
          <w:position w:val="5"/>
          <w:sz w:val="14"/>
        </w:rPr>
        <w:tab/>
      </w:r>
      <w:r>
        <w:rPr>
          <w:rFonts w:ascii="Arial"/>
          <w:i/>
          <w:sz w:val="20"/>
        </w:rPr>
        <w:t>Law Debenture Trust Corp. v Ural Caspian Oil Corp., [1995] Ch. 152</w:t>
      </w:r>
      <w:r>
        <w:rPr>
          <w:sz w:val="20"/>
        </w:rPr>
        <w:t>, reversing the decision at first instance (above, n.838) on this point.</w:t>
      </w:r>
    </w:p>
    <w:p>
      <w:pPr>
        <w:spacing w:after="0" w:line="235" w:lineRule="auto"/>
        <w:jc w:val="left"/>
        <w:rPr>
          <w:sz w:val="20"/>
        </w:rPr>
        <w:sectPr>
          <w:pgSz w:w="11900" w:h="16840"/>
          <w:pgMar w:header="971" w:footer="0" w:top="1160" w:bottom="280" w:left="1275" w:right="1275"/>
        </w:sectPr>
      </w:pPr>
    </w:p>
    <w:p>
      <w:pPr>
        <w:pStyle w:val="BodyText"/>
        <w:spacing w:before="81"/>
      </w:pPr>
    </w:p>
    <w:p>
      <w:pPr>
        <w:pStyle w:val="BodyText"/>
        <w:tabs>
          <w:tab w:pos="705" w:val="left" w:leader="none"/>
        </w:tabs>
        <w:ind w:left="165"/>
      </w:pPr>
      <w:hyperlink w:history="true" w:anchor="_bookmark1588">
        <w:r>
          <w:rPr>
            <w:color w:val="005DA1"/>
            <w:spacing w:val="-4"/>
            <w:position w:val="5"/>
            <w:sz w:val="14"/>
            <w:u w:val="single" w:color="005DA1"/>
          </w:rPr>
          <w:t>866</w:t>
        </w:r>
      </w:hyperlink>
      <w:r>
        <w:rPr>
          <w:spacing w:val="-4"/>
          <w:position w:val="5"/>
          <w:sz w:val="14"/>
        </w:rPr>
        <w:t>.</w:t>
      </w:r>
      <w:r>
        <w:rPr>
          <w:position w:val="5"/>
          <w:sz w:val="14"/>
        </w:rPr>
        <w:tab/>
      </w:r>
      <w:r>
        <w:rPr/>
        <w:t>See above, para.18-141 </w:t>
      </w:r>
      <w:r>
        <w:rPr>
          <w:spacing w:val="-2"/>
        </w:rPr>
        <w:t>n.792.</w:t>
      </w:r>
    </w:p>
    <w:p>
      <w:pPr>
        <w:pStyle w:val="BodyText"/>
        <w:spacing w:before="5"/>
      </w:pPr>
    </w:p>
    <w:p>
      <w:pPr>
        <w:tabs>
          <w:tab w:pos="705" w:val="left" w:leader="none"/>
        </w:tabs>
        <w:spacing w:before="0"/>
        <w:ind w:left="165" w:right="0" w:firstLine="0"/>
        <w:jc w:val="left"/>
        <w:rPr>
          <w:sz w:val="20"/>
        </w:rPr>
      </w:pPr>
      <w:bookmarkStart w:name="_bookmark1669" w:id="1671"/>
      <w:bookmarkEnd w:id="1671"/>
      <w:r>
        <w:rPr/>
      </w:r>
      <w:hyperlink w:history="true" w:anchor="_bookmark1589">
        <w:r>
          <w:rPr>
            <w:color w:val="005DA1"/>
            <w:spacing w:val="-4"/>
            <w:position w:val="5"/>
            <w:sz w:val="14"/>
            <w:u w:val="single" w:color="005DA1"/>
          </w:rPr>
          <w:t>867</w:t>
        </w:r>
      </w:hyperlink>
      <w:r>
        <w:rPr>
          <w:spacing w:val="-4"/>
          <w:position w:val="5"/>
          <w:sz w:val="14"/>
        </w:rPr>
        <w:t>.</w:t>
      </w:r>
      <w:r>
        <w:rPr>
          <w:position w:val="5"/>
          <w:sz w:val="14"/>
        </w:rPr>
        <w:tab/>
      </w:r>
      <w:r>
        <w:rPr>
          <w:rFonts w:ascii="Arial"/>
          <w:i/>
          <w:sz w:val="20"/>
        </w:rPr>
        <w:t>Candlewood Navigation Corp. v Mitsui O.S.K. Lines (The Mineral Transporter) [1986] A.C. </w:t>
      </w:r>
      <w:r>
        <w:rPr>
          <w:rFonts w:ascii="Arial"/>
          <w:i/>
          <w:spacing w:val="-5"/>
          <w:sz w:val="20"/>
        </w:rPr>
        <w:t>1</w:t>
      </w:r>
      <w:r>
        <w:rPr>
          <w:spacing w:val="-5"/>
          <w:sz w:val="20"/>
        </w:rPr>
        <w:t>.</w:t>
      </w:r>
    </w:p>
    <w:p>
      <w:pPr>
        <w:pStyle w:val="BodyText"/>
        <w:spacing w:before="5"/>
      </w:pPr>
    </w:p>
    <w:p>
      <w:pPr>
        <w:pStyle w:val="BodyText"/>
        <w:tabs>
          <w:tab w:pos="705" w:val="left" w:leader="none"/>
        </w:tabs>
        <w:ind w:left="165"/>
      </w:pPr>
      <w:bookmarkStart w:name="_bookmark1670" w:id="1672"/>
      <w:bookmarkEnd w:id="1672"/>
      <w:r>
        <w:rPr/>
      </w:r>
      <w:hyperlink w:history="true" w:anchor="_bookmark1590">
        <w:r>
          <w:rPr>
            <w:color w:val="005DA1"/>
            <w:spacing w:val="-4"/>
            <w:position w:val="5"/>
            <w:sz w:val="14"/>
            <w:u w:val="single" w:color="005DA1"/>
          </w:rPr>
          <w:t>868</w:t>
        </w:r>
      </w:hyperlink>
      <w:r>
        <w:rPr>
          <w:spacing w:val="-4"/>
          <w:position w:val="5"/>
          <w:sz w:val="14"/>
        </w:rPr>
        <w:t>.</w:t>
      </w:r>
      <w:r>
        <w:rPr>
          <w:position w:val="5"/>
          <w:sz w:val="14"/>
        </w:rPr>
        <w:tab/>
      </w:r>
      <w:r>
        <w:rPr/>
        <w:t>Above,</w:t>
      </w:r>
      <w:r>
        <w:rPr>
          <w:spacing w:val="-2"/>
        </w:rPr>
        <w:t> </w:t>
      </w:r>
      <w:r>
        <w:rPr/>
        <w:t>paras 18-141 et </w:t>
      </w:r>
      <w:r>
        <w:rPr>
          <w:spacing w:val="-4"/>
        </w:rPr>
        <w:t>seq.</w:t>
      </w:r>
    </w:p>
    <w:p>
      <w:pPr>
        <w:pStyle w:val="BodyText"/>
        <w:spacing w:before="5"/>
      </w:pPr>
    </w:p>
    <w:p>
      <w:pPr>
        <w:pStyle w:val="BodyText"/>
        <w:tabs>
          <w:tab w:pos="705" w:val="left" w:leader="none"/>
        </w:tabs>
        <w:ind w:left="165"/>
      </w:pPr>
      <w:bookmarkStart w:name="_bookmark1671" w:id="1673"/>
      <w:bookmarkEnd w:id="1673"/>
      <w:r>
        <w:rPr/>
      </w:r>
      <w:hyperlink w:history="true" w:anchor="_bookmark1591">
        <w:r>
          <w:rPr>
            <w:color w:val="005DA1"/>
            <w:spacing w:val="-4"/>
            <w:position w:val="5"/>
            <w:sz w:val="14"/>
            <w:u w:val="single" w:color="005DA1"/>
          </w:rPr>
          <w:t>869</w:t>
        </w:r>
      </w:hyperlink>
      <w:r>
        <w:rPr>
          <w:spacing w:val="-4"/>
          <w:position w:val="5"/>
          <w:sz w:val="14"/>
        </w:rPr>
        <w:t>.</w:t>
      </w:r>
      <w:r>
        <w:rPr>
          <w:position w:val="5"/>
          <w:sz w:val="14"/>
        </w:rPr>
        <w:tab/>
      </w:r>
      <w:r>
        <w:rPr/>
        <w:t>Above, paras 18-141; 18-</w:t>
      </w:r>
      <w:r>
        <w:rPr>
          <w:spacing w:val="-4"/>
        </w:rPr>
        <w:t>147.</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72" w:id="1674"/>
      <w:bookmarkEnd w:id="1674"/>
      <w:r>
        <w:rPr/>
      </w:r>
      <w:hyperlink w:history="true" w:anchor="_bookmark1592">
        <w:r>
          <w:rPr>
            <w:color w:val="005DA1"/>
            <w:spacing w:val="-4"/>
            <w:position w:val="5"/>
            <w:sz w:val="14"/>
            <w:u w:val="single" w:color="005DA1"/>
          </w:rPr>
          <w:t>870</w:t>
        </w:r>
      </w:hyperlink>
      <w:r>
        <w:rPr>
          <w:spacing w:val="-4"/>
          <w:position w:val="5"/>
          <w:sz w:val="14"/>
        </w:rPr>
        <w:t>.</w:t>
      </w:r>
      <w:r>
        <w:rPr>
          <w:position w:val="5"/>
          <w:sz w:val="14"/>
        </w:rPr>
        <w:tab/>
      </w:r>
      <w:r>
        <w:rPr>
          <w:sz w:val="20"/>
        </w:rPr>
        <w:t>This</w:t>
      </w:r>
      <w:r>
        <w:rPr>
          <w:spacing w:val="14"/>
          <w:sz w:val="20"/>
        </w:rPr>
        <w:t> </w:t>
      </w:r>
      <w:r>
        <w:rPr>
          <w:sz w:val="20"/>
        </w:rPr>
        <w:t>was</w:t>
      </w:r>
      <w:r>
        <w:rPr>
          <w:spacing w:val="15"/>
          <w:sz w:val="20"/>
        </w:rPr>
        <w:t> </w:t>
      </w:r>
      <w:r>
        <w:rPr>
          <w:sz w:val="20"/>
        </w:rPr>
        <w:t>the</w:t>
      </w:r>
      <w:r>
        <w:rPr>
          <w:spacing w:val="15"/>
          <w:sz w:val="20"/>
        </w:rPr>
        <w:t> </w:t>
      </w:r>
      <w:r>
        <w:rPr>
          <w:sz w:val="20"/>
        </w:rPr>
        <w:t>position</w:t>
      </w:r>
      <w:r>
        <w:rPr>
          <w:spacing w:val="15"/>
          <w:sz w:val="20"/>
        </w:rPr>
        <w:t> </w:t>
      </w:r>
      <w:r>
        <w:rPr>
          <w:sz w:val="20"/>
        </w:rPr>
        <w:t>in</w:t>
      </w:r>
      <w:r>
        <w:rPr>
          <w:spacing w:val="15"/>
          <w:sz w:val="20"/>
        </w:rPr>
        <w:t> </w:t>
      </w:r>
      <w:r>
        <w:rPr>
          <w:rFonts w:ascii="Arial"/>
          <w:i/>
          <w:sz w:val="20"/>
        </w:rPr>
        <w:t>Swiss</w:t>
      </w:r>
      <w:r>
        <w:rPr>
          <w:rFonts w:ascii="Arial"/>
          <w:i/>
          <w:spacing w:val="15"/>
          <w:sz w:val="20"/>
        </w:rPr>
        <w:t> </w:t>
      </w:r>
      <w:r>
        <w:rPr>
          <w:rFonts w:ascii="Arial"/>
          <w:i/>
          <w:sz w:val="20"/>
        </w:rPr>
        <w:t>Bank</w:t>
      </w:r>
      <w:r>
        <w:rPr>
          <w:rFonts w:ascii="Arial"/>
          <w:i/>
          <w:spacing w:val="15"/>
          <w:sz w:val="20"/>
        </w:rPr>
        <w:t> </w:t>
      </w:r>
      <w:r>
        <w:rPr>
          <w:rFonts w:ascii="Arial"/>
          <w:i/>
          <w:sz w:val="20"/>
        </w:rPr>
        <w:t>Corp.</w:t>
      </w:r>
      <w:r>
        <w:rPr>
          <w:rFonts w:ascii="Arial"/>
          <w:i/>
          <w:spacing w:val="15"/>
          <w:sz w:val="20"/>
        </w:rPr>
        <w:t> </w:t>
      </w:r>
      <w:r>
        <w:rPr>
          <w:rFonts w:ascii="Arial"/>
          <w:i/>
          <w:sz w:val="20"/>
        </w:rPr>
        <w:t>v</w:t>
      </w:r>
      <w:r>
        <w:rPr>
          <w:rFonts w:ascii="Arial"/>
          <w:i/>
          <w:spacing w:val="15"/>
          <w:sz w:val="20"/>
        </w:rPr>
        <w:t> </w:t>
      </w:r>
      <w:r>
        <w:rPr>
          <w:rFonts w:ascii="Arial"/>
          <w:i/>
          <w:sz w:val="20"/>
        </w:rPr>
        <w:t>Lloyds</w:t>
      </w:r>
      <w:r>
        <w:rPr>
          <w:rFonts w:ascii="Arial"/>
          <w:i/>
          <w:spacing w:val="15"/>
          <w:sz w:val="20"/>
        </w:rPr>
        <w:t> </w:t>
      </w:r>
      <w:r>
        <w:rPr>
          <w:rFonts w:ascii="Arial"/>
          <w:i/>
          <w:sz w:val="20"/>
        </w:rPr>
        <w:t>Bank</w:t>
      </w:r>
      <w:r>
        <w:rPr>
          <w:rFonts w:ascii="Arial"/>
          <w:i/>
          <w:spacing w:val="15"/>
          <w:sz w:val="20"/>
        </w:rPr>
        <w:t> </w:t>
      </w:r>
      <w:r>
        <w:rPr>
          <w:rFonts w:ascii="Arial"/>
          <w:i/>
          <w:sz w:val="20"/>
        </w:rPr>
        <w:t>Ltd</w:t>
      </w:r>
      <w:r>
        <w:rPr>
          <w:rFonts w:ascii="Arial"/>
          <w:i/>
          <w:spacing w:val="15"/>
          <w:sz w:val="20"/>
        </w:rPr>
        <w:t> </w:t>
      </w:r>
      <w:r>
        <w:rPr>
          <w:rFonts w:ascii="Arial"/>
          <w:i/>
          <w:sz w:val="20"/>
        </w:rPr>
        <w:t>[1982]</w:t>
      </w:r>
      <w:r>
        <w:rPr>
          <w:rFonts w:ascii="Arial"/>
          <w:i/>
          <w:spacing w:val="15"/>
          <w:sz w:val="20"/>
        </w:rPr>
        <w:t> </w:t>
      </w:r>
      <w:r>
        <w:rPr>
          <w:rFonts w:ascii="Arial"/>
          <w:i/>
          <w:sz w:val="20"/>
        </w:rPr>
        <w:t>A.C.</w:t>
      </w:r>
      <w:r>
        <w:rPr>
          <w:rFonts w:ascii="Arial"/>
          <w:i/>
          <w:spacing w:val="15"/>
          <w:sz w:val="20"/>
        </w:rPr>
        <w:t> </w:t>
      </w:r>
      <w:r>
        <w:rPr>
          <w:rFonts w:ascii="Arial"/>
          <w:i/>
          <w:sz w:val="20"/>
        </w:rPr>
        <w:t>854</w:t>
      </w:r>
      <w:r>
        <w:rPr>
          <w:sz w:val="20"/>
        </w:rPr>
        <w:t>;</w:t>
      </w:r>
      <w:r>
        <w:rPr>
          <w:spacing w:val="15"/>
          <w:sz w:val="20"/>
        </w:rPr>
        <w:t> </w:t>
      </w:r>
      <w:r>
        <w:rPr>
          <w:sz w:val="20"/>
        </w:rPr>
        <w:t>see</w:t>
      </w:r>
      <w:r>
        <w:rPr>
          <w:spacing w:val="15"/>
          <w:sz w:val="20"/>
        </w:rPr>
        <w:t> </w:t>
      </w:r>
      <w:r>
        <w:rPr>
          <w:rFonts w:ascii="Arial"/>
          <w:i/>
          <w:sz w:val="20"/>
        </w:rPr>
        <w:t>[1979]</w:t>
      </w:r>
      <w:r>
        <w:rPr>
          <w:rFonts w:ascii="Arial"/>
          <w:i/>
          <w:spacing w:val="15"/>
          <w:sz w:val="20"/>
        </w:rPr>
        <w:t> </w:t>
      </w:r>
      <w:r>
        <w:rPr>
          <w:rFonts w:ascii="Arial"/>
          <w:i/>
          <w:spacing w:val="-5"/>
          <w:sz w:val="20"/>
        </w:rPr>
        <w:t>Ch.</w:t>
      </w:r>
    </w:p>
    <w:p>
      <w:pPr>
        <w:spacing w:line="227" w:lineRule="exact" w:before="0"/>
        <w:ind w:left="705" w:right="0" w:firstLine="0"/>
        <w:jc w:val="left"/>
        <w:rPr>
          <w:sz w:val="20"/>
        </w:rPr>
      </w:pPr>
      <w:r>
        <w:rPr>
          <w:rFonts w:ascii="Arial" w:hAnsi="Arial"/>
          <w:i/>
          <w:sz w:val="20"/>
        </w:rPr>
        <w:t>548, 568–596</w:t>
      </w:r>
      <w:r>
        <w:rPr>
          <w:rFonts w:ascii="Arial" w:hAnsi="Arial"/>
          <w:i/>
          <w:spacing w:val="-1"/>
          <w:sz w:val="20"/>
        </w:rPr>
        <w:t> </w:t>
      </w:r>
      <w:r>
        <w:rPr>
          <w:sz w:val="20"/>
        </w:rPr>
        <w:t>and below, </w:t>
      </w:r>
      <w:r>
        <w:rPr>
          <w:spacing w:val="-2"/>
          <w:sz w:val="20"/>
        </w:rPr>
        <w:t>n.848.</w:t>
      </w:r>
    </w:p>
    <w:p>
      <w:pPr>
        <w:pStyle w:val="BodyText"/>
        <w:spacing w:before="9"/>
        <w:rPr>
          <w:sz w:val="12"/>
        </w:rPr>
      </w:pPr>
    </w:p>
    <w:p>
      <w:pPr>
        <w:pStyle w:val="BodyText"/>
        <w:spacing w:after="0"/>
        <w:rPr>
          <w:sz w:val="12"/>
        </w:rPr>
        <w:sectPr>
          <w:pgSz w:w="11900" w:h="16840"/>
          <w:pgMar w:header="971" w:footer="0" w:top="116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87008">
            <wp:simplePos x="0" y="0"/>
            <wp:positionH relativeFrom="page">
              <wp:posOffset>1257846</wp:posOffset>
            </wp:positionH>
            <wp:positionV relativeFrom="paragraph">
              <wp:posOffset>160287</wp:posOffset>
            </wp:positionV>
            <wp:extent cx="107988" cy="107988"/>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673" w:id="1675"/>
      <w:bookmarkEnd w:id="1675"/>
      <w:r>
        <w:rPr/>
      </w:r>
      <w:hyperlink w:history="true" w:anchor="_bookmark1593">
        <w:r>
          <w:rPr>
            <w:color w:val="005DA1"/>
            <w:spacing w:val="-4"/>
            <w:sz w:val="14"/>
            <w:u w:val="single" w:color="005DA1"/>
          </w:rPr>
          <w:t>871</w:t>
        </w:r>
      </w:hyperlink>
      <w:r>
        <w:rPr>
          <w:spacing w:val="-4"/>
          <w:sz w:val="14"/>
        </w:rPr>
        <w:t>.</w:t>
      </w:r>
    </w:p>
    <w:p>
      <w:pPr>
        <w:spacing w:line="235" w:lineRule="auto" w:before="212"/>
        <w:ind w:left="165" w:right="168" w:firstLine="170"/>
        <w:jc w:val="both"/>
        <w:rPr>
          <w:sz w:val="20"/>
        </w:rPr>
      </w:pPr>
      <w:r>
        <w:rPr/>
        <w:br w:type="column"/>
      </w:r>
      <w:r>
        <w:rPr>
          <w:sz w:val="20"/>
        </w:rPr>
        <w:t>See </w:t>
      </w:r>
      <w:r>
        <w:rPr>
          <w:rFonts w:ascii="Arial" w:hAnsi="Arial"/>
          <w:i/>
          <w:sz w:val="20"/>
        </w:rPr>
        <w:t>OBG Ltd v Allan [2007] UKHL 21, [2008] 1 A.C. 1 </w:t>
      </w:r>
      <w:r>
        <w:rPr>
          <w:sz w:val="20"/>
        </w:rPr>
        <w:t>at [193]. For the defence of “justification” to the tort of inducing a breach of contract, see also </w:t>
      </w:r>
      <w:r>
        <w:rPr>
          <w:rFonts w:ascii="Arial" w:hAnsi="Arial"/>
          <w:i/>
          <w:sz w:val="20"/>
        </w:rPr>
        <w:t>Royal Bank of Scotland Plc </w:t>
      </w:r>
      <w:r>
        <w:rPr>
          <w:rFonts w:ascii="Arial" w:hAnsi="Arial"/>
          <w:i/>
          <w:sz w:val="20"/>
        </w:rPr>
        <w:t>v McCarthy [2015] EWHC 3626 (QB) </w:t>
      </w:r>
      <w:r>
        <w:rPr>
          <w:sz w:val="20"/>
        </w:rPr>
        <w:t>at [107], [114], [115]. The tort claim was also rejected on</w:t>
      </w:r>
      <w:r>
        <w:rPr>
          <w:spacing w:val="40"/>
          <w:sz w:val="20"/>
        </w:rPr>
        <w:t> </w:t>
      </w:r>
      <w:r>
        <w:rPr>
          <w:sz w:val="20"/>
        </w:rPr>
        <w:t>the ground that there had been no “inducement” of any breach (at [105]).</w:t>
      </w:r>
    </w:p>
    <w:p>
      <w:pPr>
        <w:spacing w:after="0" w:line="235" w:lineRule="auto"/>
        <w:jc w:val="both"/>
        <w:rPr>
          <w:sz w:val="20"/>
        </w:rPr>
        <w:sectPr>
          <w:type w:val="continuous"/>
          <w:pgSz w:w="11900" w:h="16840"/>
          <w:pgMar w:header="971" w:footer="0" w:top="1160" w:bottom="280" w:left="1275" w:right="1275"/>
          <w:cols w:num="2" w:equalWidth="0">
            <w:col w:w="478" w:space="63"/>
            <w:col w:w="8809"/>
          </w:cols>
        </w:sectPr>
      </w:pPr>
    </w:p>
    <w:p>
      <w:pPr>
        <w:pStyle w:val="BodyText"/>
        <w:spacing w:before="8"/>
      </w:pPr>
    </w:p>
    <w:p>
      <w:pPr>
        <w:spacing w:line="235" w:lineRule="auto" w:before="0"/>
        <w:ind w:left="705" w:right="168" w:hanging="541"/>
        <w:jc w:val="both"/>
        <w:rPr>
          <w:sz w:val="20"/>
        </w:rPr>
      </w:pPr>
      <w:bookmarkStart w:name="_bookmark1674" w:id="1676"/>
      <w:bookmarkEnd w:id="1676"/>
      <w:r>
        <w:rPr/>
      </w:r>
      <w:hyperlink w:history="true" w:anchor="_bookmark1594">
        <w:r>
          <w:rPr>
            <w:color w:val="005DA1"/>
            <w:position w:val="5"/>
            <w:sz w:val="14"/>
            <w:u w:val="single" w:color="005DA1"/>
          </w:rPr>
          <w:t>872</w:t>
        </w:r>
      </w:hyperlink>
      <w:r>
        <w:rPr>
          <w:position w:val="5"/>
          <w:sz w:val="14"/>
        </w:rPr>
        <w:t>.</w:t>
      </w:r>
      <w:r>
        <w:rPr>
          <w:spacing w:val="80"/>
          <w:position w:val="5"/>
          <w:sz w:val="14"/>
        </w:rPr>
        <w:t> </w:t>
      </w:r>
      <w:r>
        <w:rPr>
          <w:rFonts w:ascii="Arial" w:hAnsi="Arial"/>
          <w:i/>
          <w:sz w:val="20"/>
        </w:rPr>
        <w:t>Smithies v National Association of Operative Plasterers [1909] 1 K.B. 310, 337</w:t>
      </w:r>
      <w:r>
        <w:rPr>
          <w:sz w:val="20"/>
        </w:rPr>
        <w:t>; </w:t>
      </w:r>
      <w:r>
        <w:rPr>
          <w:rFonts w:ascii="Arial" w:hAnsi="Arial"/>
          <w:i/>
          <w:sz w:val="20"/>
        </w:rPr>
        <w:t>Edwin Hill &amp; Partners v First National Finance Corp. plc [1989] 1 W.L.R. 225, 230</w:t>
      </w:r>
      <w:r>
        <w:rPr>
          <w:sz w:val="20"/>
        </w:rPr>
        <w:t>; </w:t>
      </w:r>
      <w:r>
        <w:rPr>
          <w:rFonts w:ascii="Arial" w:hAnsi="Arial"/>
          <w:i/>
          <w:sz w:val="20"/>
        </w:rPr>
        <w:t>Meretz Investments NV v ACP Ltd [2007] EWCA Civ 1303 </w:t>
      </w:r>
      <w:r>
        <w:rPr>
          <w:sz w:val="20"/>
        </w:rPr>
        <w:t>at [42], [142], [179]. For terms which may be imposed on C </w:t>
      </w:r>
      <w:r>
        <w:rPr>
          <w:sz w:val="20"/>
        </w:rPr>
        <w:t>as a condition of obtaining relief against B, see </w:t>
      </w:r>
      <w:r>
        <w:rPr>
          <w:rFonts w:ascii="Arial" w:hAnsi="Arial"/>
          <w:i/>
          <w:sz w:val="20"/>
        </w:rPr>
        <w:t>Guiness Peat Aviation (Belgium) N.V. v Hispania Lineas Aereas SA [1992] 1 Lloyd’s Rep. 190</w:t>
      </w:r>
      <w:r>
        <w:rPr>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675" w:id="1677"/>
      <w:bookmarkEnd w:id="1677"/>
      <w:r>
        <w:rPr/>
      </w:r>
      <w:hyperlink w:history="true" w:anchor="_bookmark1594">
        <w:r>
          <w:rPr>
            <w:color w:val="005DA1"/>
            <w:spacing w:val="-4"/>
            <w:position w:val="5"/>
            <w:sz w:val="14"/>
            <w:u w:val="single" w:color="005DA1"/>
          </w:rPr>
          <w:t>873</w:t>
        </w:r>
      </w:hyperlink>
      <w:r>
        <w:rPr>
          <w:spacing w:val="-4"/>
          <w:position w:val="5"/>
          <w:sz w:val="14"/>
        </w:rPr>
        <w:t>.</w:t>
      </w:r>
      <w:r>
        <w:rPr>
          <w:position w:val="5"/>
          <w:sz w:val="14"/>
        </w:rPr>
        <w:tab/>
      </w:r>
      <w:r>
        <w:rPr>
          <w:rFonts w:ascii="Arial" w:hAnsi="Arial"/>
          <w:i/>
          <w:sz w:val="20"/>
        </w:rPr>
        <w:t>Glamorgan</w:t>
      </w:r>
      <w:r>
        <w:rPr>
          <w:rFonts w:ascii="Arial" w:hAnsi="Arial"/>
          <w:i/>
          <w:spacing w:val="17"/>
          <w:sz w:val="20"/>
        </w:rPr>
        <w:t> </w:t>
      </w:r>
      <w:r>
        <w:rPr>
          <w:rFonts w:ascii="Arial" w:hAnsi="Arial"/>
          <w:i/>
          <w:sz w:val="20"/>
        </w:rPr>
        <w:t>Coal</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South</w:t>
      </w:r>
      <w:r>
        <w:rPr>
          <w:rFonts w:ascii="Arial" w:hAnsi="Arial"/>
          <w:i/>
          <w:spacing w:val="18"/>
          <w:sz w:val="20"/>
        </w:rPr>
        <w:t> </w:t>
      </w:r>
      <w:r>
        <w:rPr>
          <w:rFonts w:ascii="Arial" w:hAnsi="Arial"/>
          <w:i/>
          <w:sz w:val="20"/>
        </w:rPr>
        <w:t>Wales</w:t>
      </w:r>
      <w:r>
        <w:rPr>
          <w:rFonts w:ascii="Arial" w:hAnsi="Arial"/>
          <w:i/>
          <w:spacing w:val="18"/>
          <w:sz w:val="20"/>
        </w:rPr>
        <w:t> </w:t>
      </w:r>
      <w:r>
        <w:rPr>
          <w:rFonts w:ascii="Arial" w:hAnsi="Arial"/>
          <w:i/>
          <w:sz w:val="20"/>
        </w:rPr>
        <w:t>Miners’</w:t>
      </w:r>
      <w:r>
        <w:rPr>
          <w:rFonts w:ascii="Arial" w:hAnsi="Arial"/>
          <w:i/>
          <w:spacing w:val="18"/>
          <w:sz w:val="20"/>
        </w:rPr>
        <w:t> </w:t>
      </w:r>
      <w:r>
        <w:rPr>
          <w:rFonts w:ascii="Arial" w:hAnsi="Arial"/>
          <w:i/>
          <w:sz w:val="20"/>
        </w:rPr>
        <w:t>Federation</w:t>
      </w:r>
      <w:r>
        <w:rPr>
          <w:rFonts w:ascii="Arial" w:hAnsi="Arial"/>
          <w:i/>
          <w:spacing w:val="17"/>
          <w:sz w:val="20"/>
        </w:rPr>
        <w:t> </w:t>
      </w:r>
      <w:r>
        <w:rPr>
          <w:rFonts w:ascii="Arial" w:hAnsi="Arial"/>
          <w:i/>
          <w:sz w:val="20"/>
        </w:rPr>
        <w:t>[1903]</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z w:val="20"/>
        </w:rPr>
        <w:t>K.B.</w:t>
      </w:r>
      <w:r>
        <w:rPr>
          <w:rFonts w:ascii="Arial" w:hAnsi="Arial"/>
          <w:i/>
          <w:spacing w:val="18"/>
          <w:sz w:val="20"/>
        </w:rPr>
        <w:t> </w:t>
      </w:r>
      <w:r>
        <w:rPr>
          <w:rFonts w:ascii="Arial" w:hAnsi="Arial"/>
          <w:i/>
          <w:sz w:val="20"/>
        </w:rPr>
        <w:t>545,</w:t>
      </w:r>
      <w:r>
        <w:rPr>
          <w:rFonts w:ascii="Arial" w:hAnsi="Arial"/>
          <w:i/>
          <w:spacing w:val="18"/>
          <w:sz w:val="20"/>
        </w:rPr>
        <w:t> </w:t>
      </w:r>
      <w:r>
        <w:rPr>
          <w:rFonts w:ascii="Arial" w:hAnsi="Arial"/>
          <w:i/>
          <w:sz w:val="20"/>
        </w:rPr>
        <w:t>574–575</w:t>
      </w:r>
      <w:r>
        <w:rPr>
          <w:sz w:val="20"/>
        </w:rPr>
        <w:t>;</w:t>
      </w:r>
      <w:r>
        <w:rPr>
          <w:spacing w:val="18"/>
          <w:sz w:val="20"/>
        </w:rPr>
        <w:t> </w:t>
      </w:r>
      <w:r>
        <w:rPr>
          <w:sz w:val="20"/>
        </w:rPr>
        <w:t>cf.</w:t>
      </w:r>
      <w:r>
        <w:rPr>
          <w:spacing w:val="18"/>
          <w:sz w:val="20"/>
        </w:rPr>
        <w:t> </w:t>
      </w:r>
      <w:r>
        <w:rPr>
          <w:rFonts w:ascii="Arial" w:hAnsi="Arial"/>
          <w:i/>
          <w:spacing w:val="-2"/>
          <w:sz w:val="20"/>
        </w:rPr>
        <w:t>Anton</w:t>
      </w:r>
    </w:p>
    <w:p>
      <w:pPr>
        <w:pStyle w:val="BodyText"/>
        <w:spacing w:line="235" w:lineRule="auto" w:before="1"/>
        <w:ind w:left="705" w:right="167"/>
        <w:jc w:val="both"/>
      </w:pPr>
      <w:r>
        <w:rPr>
          <w:rFonts w:ascii="Arial" w:hAnsi="Arial"/>
          <w:i/>
        </w:rPr>
        <w:t>Durbeck</w:t>
      </w:r>
      <w:r>
        <w:rPr>
          <w:rFonts w:ascii="Arial" w:hAnsi="Arial"/>
          <w:i/>
          <w:spacing w:val="-3"/>
        </w:rPr>
        <w:t> </w:t>
      </w:r>
      <w:r>
        <w:rPr>
          <w:rFonts w:ascii="Arial" w:hAnsi="Arial"/>
          <w:i/>
        </w:rPr>
        <w:t>GmbH</w:t>
      </w:r>
      <w:r>
        <w:rPr>
          <w:rFonts w:ascii="Arial" w:hAnsi="Arial"/>
          <w:i/>
          <w:spacing w:val="-3"/>
        </w:rPr>
        <w:t> </w:t>
      </w:r>
      <w:r>
        <w:rPr>
          <w:rFonts w:ascii="Arial" w:hAnsi="Arial"/>
          <w:i/>
        </w:rPr>
        <w:t>v</w:t>
      </w:r>
      <w:r>
        <w:rPr>
          <w:rFonts w:ascii="Arial" w:hAnsi="Arial"/>
          <w:i/>
          <w:spacing w:val="-3"/>
        </w:rPr>
        <w:t> </w:t>
      </w:r>
      <w:r>
        <w:rPr>
          <w:rFonts w:ascii="Arial" w:hAnsi="Arial"/>
          <w:i/>
        </w:rPr>
        <w:t>Den</w:t>
      </w:r>
      <w:r>
        <w:rPr>
          <w:rFonts w:ascii="Arial" w:hAnsi="Arial"/>
          <w:i/>
          <w:spacing w:val="-3"/>
        </w:rPr>
        <w:t> </w:t>
      </w:r>
      <w:r>
        <w:rPr>
          <w:rFonts w:ascii="Arial" w:hAnsi="Arial"/>
          <w:i/>
        </w:rPr>
        <w:t>Norske</w:t>
      </w:r>
      <w:r>
        <w:rPr>
          <w:rFonts w:ascii="Arial" w:hAnsi="Arial"/>
          <w:i/>
          <w:spacing w:val="-3"/>
        </w:rPr>
        <w:t> </w:t>
      </w:r>
      <w:r>
        <w:rPr>
          <w:rFonts w:ascii="Arial" w:hAnsi="Arial"/>
          <w:i/>
        </w:rPr>
        <w:t>Bank</w:t>
      </w:r>
      <w:r>
        <w:rPr>
          <w:rFonts w:ascii="Arial" w:hAnsi="Arial"/>
          <w:i/>
          <w:spacing w:val="-3"/>
        </w:rPr>
        <w:t> </w:t>
      </w:r>
      <w:r>
        <w:rPr>
          <w:rFonts w:ascii="Arial" w:hAnsi="Arial"/>
          <w:i/>
        </w:rPr>
        <w:t>[2005]</w:t>
      </w:r>
      <w:r>
        <w:rPr>
          <w:rFonts w:ascii="Arial" w:hAnsi="Arial"/>
          <w:i/>
          <w:spacing w:val="-3"/>
        </w:rPr>
        <w:t> </w:t>
      </w:r>
      <w:r>
        <w:rPr>
          <w:rFonts w:ascii="Arial" w:hAnsi="Arial"/>
          <w:i/>
        </w:rPr>
        <w:t>EWHC</w:t>
      </w:r>
      <w:r>
        <w:rPr>
          <w:rFonts w:ascii="Arial" w:hAnsi="Arial"/>
          <w:i/>
          <w:spacing w:val="-3"/>
        </w:rPr>
        <w:t> </w:t>
      </w:r>
      <w:r>
        <w:rPr>
          <w:rFonts w:ascii="Arial" w:hAnsi="Arial"/>
          <w:i/>
        </w:rPr>
        <w:t>2497</w:t>
      </w:r>
      <w:r>
        <w:rPr>
          <w:rFonts w:ascii="Arial" w:hAnsi="Arial"/>
          <w:i/>
          <w:spacing w:val="-3"/>
        </w:rPr>
        <w:t> </w:t>
      </w:r>
      <w:r>
        <w:rPr>
          <w:rFonts w:ascii="Arial" w:hAnsi="Arial"/>
          <w:i/>
        </w:rPr>
        <w:t>(Comm),</w:t>
      </w:r>
      <w:r>
        <w:rPr>
          <w:rFonts w:ascii="Arial" w:hAnsi="Arial"/>
          <w:i/>
          <w:spacing w:val="-3"/>
        </w:rPr>
        <w:t> </w:t>
      </w:r>
      <w:r>
        <w:rPr>
          <w:rFonts w:ascii="Arial" w:hAnsi="Arial"/>
          <w:i/>
        </w:rPr>
        <w:t>[2006]</w:t>
      </w:r>
      <w:r>
        <w:rPr>
          <w:rFonts w:ascii="Arial" w:hAnsi="Arial"/>
          <w:i/>
          <w:spacing w:val="-3"/>
        </w:rPr>
        <w:t> </w:t>
      </w:r>
      <w:r>
        <w:rPr>
          <w:rFonts w:ascii="Arial" w:hAnsi="Arial"/>
          <w:i/>
        </w:rPr>
        <w:t>1</w:t>
      </w:r>
      <w:r>
        <w:rPr>
          <w:rFonts w:ascii="Arial" w:hAnsi="Arial"/>
          <w:i/>
          <w:spacing w:val="-3"/>
        </w:rPr>
        <w:t> </w:t>
      </w:r>
      <w:r>
        <w:rPr>
          <w:rFonts w:ascii="Arial" w:hAnsi="Arial"/>
          <w:i/>
        </w:rPr>
        <w:t>Lloyd’s</w:t>
      </w:r>
      <w:r>
        <w:rPr>
          <w:rFonts w:ascii="Arial" w:hAnsi="Arial"/>
          <w:i/>
          <w:spacing w:val="-3"/>
        </w:rPr>
        <w:t> </w:t>
      </w:r>
      <w:r>
        <w:rPr>
          <w:rFonts w:ascii="Arial" w:hAnsi="Arial"/>
          <w:i/>
        </w:rPr>
        <w:t>Rep.</w:t>
      </w:r>
      <w:r>
        <w:rPr>
          <w:rFonts w:ascii="Arial" w:hAnsi="Arial"/>
          <w:i/>
          <w:spacing w:val="-3"/>
        </w:rPr>
        <w:t> </w:t>
      </w:r>
      <w:r>
        <w:rPr>
          <w:rFonts w:ascii="Arial" w:hAnsi="Arial"/>
          <w:i/>
        </w:rPr>
        <w:t>93</w:t>
      </w:r>
      <w:r>
        <w:rPr/>
        <w:t>,</w:t>
      </w:r>
      <w:r>
        <w:rPr>
          <w:spacing w:val="-3"/>
        </w:rPr>
        <w:t> </w:t>
      </w:r>
      <w:r>
        <w:rPr/>
        <w:t>esp. at [68], [71]. In that case, A (a cargo-owner) contracted with B (a shipowner) for the carriage of goods which deteriorated and were lost when C (a bank) arrested and detained A’s ship as security for a loan made by C to B before the contract of carriage between A and B had been made. It was held that C was not liable to A for the tort here under discussion.</w:t>
      </w:r>
    </w:p>
    <w:p>
      <w:pPr>
        <w:pStyle w:val="BodyText"/>
        <w:spacing w:before="8"/>
      </w:pPr>
    </w:p>
    <w:p>
      <w:pPr>
        <w:tabs>
          <w:tab w:pos="705" w:val="left" w:leader="none"/>
        </w:tabs>
        <w:spacing w:line="235" w:lineRule="auto" w:before="0"/>
        <w:ind w:left="705" w:right="168" w:hanging="541"/>
        <w:jc w:val="left"/>
        <w:rPr>
          <w:sz w:val="20"/>
        </w:rPr>
      </w:pPr>
      <w:bookmarkStart w:name="_bookmark1676" w:id="1678"/>
      <w:bookmarkEnd w:id="1678"/>
      <w:r>
        <w:rPr/>
      </w:r>
      <w:hyperlink w:history="true" w:anchor="_bookmark1595">
        <w:r>
          <w:rPr>
            <w:color w:val="005DA1"/>
            <w:spacing w:val="-4"/>
            <w:position w:val="5"/>
            <w:sz w:val="14"/>
            <w:u w:val="single" w:color="005DA1"/>
          </w:rPr>
          <w:t>874</w:t>
        </w:r>
      </w:hyperlink>
      <w:r>
        <w:rPr>
          <w:spacing w:val="-4"/>
          <w:position w:val="5"/>
          <w:sz w:val="14"/>
        </w:rPr>
        <w:t>.</w:t>
      </w:r>
      <w:r>
        <w:rPr>
          <w:position w:val="5"/>
          <w:sz w:val="14"/>
        </w:rPr>
        <w:tab/>
      </w:r>
      <w:r>
        <w:rPr>
          <w:sz w:val="20"/>
        </w:rPr>
        <w:t>This was admitted in </w:t>
      </w:r>
      <w:r>
        <w:rPr>
          <w:rFonts w:ascii="Arial" w:hAnsi="Arial"/>
          <w:i/>
          <w:sz w:val="20"/>
        </w:rPr>
        <w:t>Swiss Bank Corp. v Lloyds Bank Ltd</w:t>
      </w:r>
      <w:r>
        <w:rPr>
          <w:sz w:val="20"/>
        </w:rPr>
        <w:t>, above, n.844: see </w:t>
      </w:r>
      <w:r>
        <w:rPr>
          <w:rFonts w:ascii="Arial" w:hAnsi="Arial"/>
          <w:i/>
          <w:sz w:val="20"/>
        </w:rPr>
        <w:t>[1979] Ch. </w:t>
      </w:r>
      <w:r>
        <w:rPr>
          <w:rFonts w:ascii="Arial" w:hAnsi="Arial"/>
          <w:i/>
          <w:sz w:val="20"/>
        </w:rPr>
        <w:t>548,</w:t>
      </w:r>
      <w:r>
        <w:rPr>
          <w:rFonts w:ascii="Arial" w:hAnsi="Arial"/>
          <w:i/>
          <w:spacing w:val="40"/>
          <w:sz w:val="20"/>
        </w:rPr>
        <w:t> </w:t>
      </w:r>
      <w:r>
        <w:rPr>
          <w:rFonts w:ascii="Arial" w:hAnsi="Arial"/>
          <w:i/>
          <w:spacing w:val="-2"/>
          <w:sz w:val="20"/>
        </w:rPr>
        <w:t>569–573</w:t>
      </w:r>
      <w:r>
        <w:rPr>
          <w:spacing w:val="-2"/>
          <w:sz w:val="20"/>
        </w:rPr>
        <w:t>.</w:t>
      </w:r>
    </w:p>
    <w:p>
      <w:pPr>
        <w:pStyle w:val="BodyText"/>
        <w:spacing w:before="9"/>
      </w:pPr>
    </w:p>
    <w:p>
      <w:pPr>
        <w:spacing w:line="235" w:lineRule="auto" w:before="0"/>
        <w:ind w:left="705" w:right="167" w:hanging="541"/>
        <w:jc w:val="both"/>
        <w:rPr>
          <w:sz w:val="20"/>
        </w:rPr>
      </w:pPr>
      <w:bookmarkStart w:name="_bookmark1677" w:id="1679"/>
      <w:bookmarkEnd w:id="1679"/>
      <w:r>
        <w:rPr/>
      </w:r>
      <w:hyperlink w:history="true" w:anchor="_bookmark1596">
        <w:r>
          <w:rPr>
            <w:color w:val="005DA1"/>
            <w:position w:val="5"/>
            <w:sz w:val="14"/>
            <w:u w:val="single" w:color="005DA1"/>
          </w:rPr>
          <w:t>875</w:t>
        </w:r>
      </w:hyperlink>
      <w:r>
        <w:rPr>
          <w:position w:val="5"/>
          <w:sz w:val="14"/>
        </w:rPr>
        <w:t>.</w:t>
      </w:r>
      <w:r>
        <w:rPr>
          <w:spacing w:val="80"/>
          <w:position w:val="5"/>
          <w:sz w:val="14"/>
        </w:rPr>
        <w:t>  </w:t>
      </w:r>
      <w:r>
        <w:rPr>
          <w:rFonts w:ascii="Arial"/>
          <w:i/>
          <w:sz w:val="20"/>
        </w:rPr>
        <w:t>Swiss Bank Corp. v Lloyds Bank Ltd [1982] A.C. 584, 598</w:t>
      </w:r>
      <w:r>
        <w:rPr>
          <w:sz w:val="20"/>
        </w:rPr>
        <w:t>, where it was held, on </w:t>
      </w:r>
      <w:r>
        <w:rPr>
          <w:sz w:val="20"/>
        </w:rPr>
        <w:t>construction, that the contract did </w:t>
      </w:r>
      <w:r>
        <w:rPr>
          <w:rFonts w:ascii="Arial"/>
          <w:i/>
          <w:sz w:val="20"/>
        </w:rPr>
        <w:t>not </w:t>
      </w:r>
      <w:r>
        <w:rPr>
          <w:sz w:val="20"/>
        </w:rPr>
        <w:t>impose an obligation to use the specific property for its performance and was </w:t>
      </w:r>
      <w:r>
        <w:rPr>
          <w:rFonts w:ascii="Arial"/>
          <w:i/>
          <w:sz w:val="20"/>
        </w:rPr>
        <w:t>not </w:t>
      </w:r>
      <w:r>
        <w:rPr>
          <w:sz w:val="20"/>
        </w:rPr>
        <w:t>specifically enforceable: see below, para.27-008, n.37.</w:t>
      </w:r>
    </w:p>
    <w:p>
      <w:pPr>
        <w:pStyle w:val="BodyText"/>
        <w:spacing w:before="5"/>
      </w:pPr>
    </w:p>
    <w:p>
      <w:pPr>
        <w:tabs>
          <w:tab w:pos="705" w:val="left" w:leader="none"/>
        </w:tabs>
        <w:spacing w:before="0"/>
        <w:ind w:left="165" w:right="0" w:firstLine="0"/>
        <w:jc w:val="left"/>
        <w:rPr>
          <w:sz w:val="20"/>
        </w:rPr>
      </w:pPr>
      <w:bookmarkStart w:name="_bookmark1678" w:id="1680"/>
      <w:bookmarkEnd w:id="1680"/>
      <w:r>
        <w:rPr/>
      </w:r>
      <w:hyperlink w:history="true" w:anchor="_bookmark1597">
        <w:r>
          <w:rPr>
            <w:color w:val="005DA1"/>
            <w:spacing w:val="-4"/>
            <w:position w:val="5"/>
            <w:sz w:val="14"/>
            <w:u w:val="single" w:color="005DA1"/>
          </w:rPr>
          <w:t>876</w:t>
        </w:r>
      </w:hyperlink>
      <w:r>
        <w:rPr>
          <w:spacing w:val="-4"/>
          <w:position w:val="5"/>
          <w:sz w:val="14"/>
        </w:rPr>
        <w:t>.</w:t>
      </w:r>
      <w:r>
        <w:rPr>
          <w:position w:val="5"/>
          <w:sz w:val="14"/>
        </w:rPr>
        <w:tab/>
      </w:r>
      <w:r>
        <w:rPr>
          <w:rFonts w:ascii="Arial"/>
          <w:i/>
          <w:sz w:val="20"/>
        </w:rPr>
        <w:t>[1982]</w:t>
      </w:r>
      <w:r>
        <w:rPr>
          <w:rFonts w:ascii="Arial"/>
          <w:i/>
          <w:spacing w:val="-2"/>
          <w:sz w:val="20"/>
        </w:rPr>
        <w:t> </w:t>
      </w:r>
      <w:r>
        <w:rPr>
          <w:rFonts w:ascii="Arial"/>
          <w:i/>
          <w:sz w:val="20"/>
        </w:rPr>
        <w:t>A.C. 584, </w:t>
      </w:r>
      <w:r>
        <w:rPr>
          <w:rFonts w:ascii="Arial"/>
          <w:i/>
          <w:spacing w:val="-4"/>
          <w:sz w:val="20"/>
        </w:rPr>
        <w:t>598</w:t>
      </w:r>
      <w:r>
        <w:rPr>
          <w:spacing w:val="-4"/>
          <w:sz w:val="20"/>
        </w:rPr>
        <w:t>.</w:t>
      </w:r>
    </w:p>
    <w:p>
      <w:pPr>
        <w:pStyle w:val="BodyText"/>
        <w:spacing w:before="9"/>
      </w:pPr>
    </w:p>
    <w:p>
      <w:pPr>
        <w:spacing w:line="235" w:lineRule="auto" w:before="0"/>
        <w:ind w:left="705" w:right="167" w:hanging="541"/>
        <w:jc w:val="both"/>
        <w:rPr>
          <w:sz w:val="20"/>
        </w:rPr>
      </w:pPr>
      <w:bookmarkStart w:name="_bookmark1679" w:id="1681"/>
      <w:bookmarkEnd w:id="1681"/>
      <w:r>
        <w:rPr/>
      </w:r>
      <w:hyperlink w:history="true" w:anchor="_bookmark1598">
        <w:r>
          <w:rPr>
            <w:color w:val="005DA1"/>
            <w:position w:val="5"/>
            <w:sz w:val="14"/>
            <w:u w:val="single" w:color="005DA1"/>
          </w:rPr>
          <w:t>877</w:t>
        </w:r>
      </w:hyperlink>
      <w:r>
        <w:rPr>
          <w:position w:val="5"/>
          <w:sz w:val="14"/>
        </w:rPr>
        <w:t>.</w:t>
      </w:r>
      <w:r>
        <w:rPr>
          <w:spacing w:val="80"/>
          <w:position w:val="5"/>
          <w:sz w:val="14"/>
        </w:rPr>
        <w:t> </w:t>
      </w:r>
      <w:r>
        <w:rPr>
          <w:rFonts w:ascii="Arial" w:hAnsi="Arial"/>
          <w:i/>
          <w:sz w:val="20"/>
        </w:rPr>
        <w:t>Ellerman Lines v Lancaster Maritime Co (The Lancaster) [1980] 2 Lloyd’s Rep. 497, 500</w:t>
      </w:r>
      <w:r>
        <w:rPr>
          <w:sz w:val="20"/>
        </w:rPr>
        <w:t>; </w:t>
      </w:r>
      <w:r>
        <w:rPr>
          <w:rFonts w:ascii="Arial" w:hAnsi="Arial"/>
          <w:i/>
          <w:sz w:val="20"/>
        </w:rPr>
        <w:t>Scandinavian Trading Co AB v Flota Petrolera Ecuatoriana (The Scaptrade) [1983] A.C. 694, 702</w:t>
      </w:r>
      <w:r>
        <w:rPr>
          <w:sz w:val="20"/>
        </w:rPr>
        <w:t>; </w:t>
      </w:r>
      <w:r>
        <w:rPr>
          <w:rFonts w:ascii="Arial" w:hAnsi="Arial"/>
          <w:i/>
          <w:sz w:val="20"/>
        </w:rPr>
        <w:t>Hyundai Merchant Marine Co Ltd v Karander Maritime Co Ltd (The Niizura) [1996] 2 Lloyd’s Rep. 66, 72</w:t>
      </w:r>
      <w:r>
        <w:rPr>
          <w:sz w:val="20"/>
        </w:rPr>
        <w:t>; </w:t>
      </w:r>
      <w:r>
        <w:rPr>
          <w:rFonts w:ascii="Arial" w:hAnsi="Arial"/>
          <w:i/>
          <w:sz w:val="20"/>
        </w:rPr>
        <w:t>Homburg Houtimport BV v Agrosin Private Ltd (The Starsin) [2003] UKHL 12, [2004] 1 A.C. 715 </w:t>
      </w:r>
      <w:r>
        <w:rPr>
          <w:sz w:val="20"/>
        </w:rPr>
        <w:t>at [119].</w:t>
      </w:r>
    </w:p>
    <w:p>
      <w:pPr>
        <w:pStyle w:val="BodyText"/>
        <w:spacing w:before="4"/>
      </w:pPr>
    </w:p>
    <w:p>
      <w:pPr>
        <w:tabs>
          <w:tab w:pos="540" w:val="left" w:leader="none"/>
        </w:tabs>
        <w:spacing w:line="227" w:lineRule="exact" w:before="1"/>
        <w:ind w:left="0" w:right="168" w:firstLine="0"/>
        <w:jc w:val="right"/>
        <w:rPr>
          <w:rFonts w:ascii="Arial" w:hAnsi="Arial"/>
          <w:i/>
          <w:sz w:val="20"/>
        </w:rPr>
      </w:pPr>
      <w:bookmarkStart w:name="_bookmark1680" w:id="1682"/>
      <w:bookmarkEnd w:id="1682"/>
      <w:r>
        <w:rPr/>
      </w:r>
      <w:hyperlink w:history="true" w:anchor="_bookmark1599">
        <w:r>
          <w:rPr>
            <w:color w:val="005DA1"/>
            <w:spacing w:val="-4"/>
            <w:position w:val="5"/>
            <w:sz w:val="14"/>
            <w:u w:val="single" w:color="005DA1"/>
          </w:rPr>
          <w:t>878</w:t>
        </w:r>
      </w:hyperlink>
      <w:r>
        <w:rPr>
          <w:spacing w:val="-4"/>
          <w:position w:val="5"/>
          <w:sz w:val="14"/>
        </w:rPr>
        <w:t>.</w:t>
      </w:r>
      <w:r>
        <w:rPr>
          <w:position w:val="5"/>
          <w:sz w:val="14"/>
        </w:rPr>
        <w:tab/>
      </w:r>
      <w:r>
        <w:rPr>
          <w:rFonts w:ascii="Arial" w:hAnsi="Arial"/>
          <w:i/>
          <w:sz w:val="20"/>
        </w:rPr>
        <w:t>Baumwoll Manufacturer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Furness</w:t>
      </w:r>
      <w:r>
        <w:rPr>
          <w:rFonts w:ascii="Arial" w:hAnsi="Arial"/>
          <w:i/>
          <w:spacing w:val="1"/>
          <w:sz w:val="20"/>
        </w:rPr>
        <w:t> </w:t>
      </w:r>
      <w:r>
        <w:rPr>
          <w:rFonts w:ascii="Arial" w:hAnsi="Arial"/>
          <w:i/>
          <w:sz w:val="20"/>
        </w:rPr>
        <w:t>[1893]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8</w:t>
      </w:r>
      <w:r>
        <w:rPr>
          <w:sz w:val="20"/>
        </w:rPr>
        <w:t>;</w:t>
      </w:r>
      <w:r>
        <w:rPr>
          <w:spacing w:val="1"/>
          <w:sz w:val="20"/>
        </w:rPr>
        <w:t> </w:t>
      </w:r>
      <w:r>
        <w:rPr>
          <w:rFonts w:ascii="Arial" w:hAnsi="Arial"/>
          <w:i/>
          <w:sz w:val="20"/>
        </w:rPr>
        <w:t>The</w:t>
      </w:r>
      <w:r>
        <w:rPr>
          <w:rFonts w:ascii="Arial" w:hAnsi="Arial"/>
          <w:i/>
          <w:spacing w:val="1"/>
          <w:sz w:val="20"/>
        </w:rPr>
        <w:t> </w:t>
      </w:r>
      <w:r>
        <w:rPr>
          <w:rFonts w:ascii="Arial" w:hAnsi="Arial"/>
          <w:i/>
          <w:sz w:val="20"/>
        </w:rPr>
        <w:t>Guiseppe</w:t>
      </w:r>
      <w:r>
        <w:rPr>
          <w:rFonts w:ascii="Arial" w:hAnsi="Arial"/>
          <w:i/>
          <w:spacing w:val="1"/>
          <w:sz w:val="20"/>
        </w:rPr>
        <w:t> </w:t>
      </w:r>
      <w:r>
        <w:rPr>
          <w:rFonts w:ascii="Arial" w:hAnsi="Arial"/>
          <w:i/>
          <w:sz w:val="20"/>
        </w:rPr>
        <w:t>di</w:t>
      </w:r>
      <w:r>
        <w:rPr>
          <w:rFonts w:ascii="Arial" w:hAnsi="Arial"/>
          <w:i/>
          <w:spacing w:val="1"/>
          <w:sz w:val="20"/>
        </w:rPr>
        <w:t> </w:t>
      </w:r>
      <w:r>
        <w:rPr>
          <w:rFonts w:ascii="Arial" w:hAnsi="Arial"/>
          <w:i/>
          <w:sz w:val="20"/>
        </w:rPr>
        <w:t>Vittorio</w:t>
      </w:r>
      <w:r>
        <w:rPr>
          <w:rFonts w:ascii="Arial" w:hAnsi="Arial"/>
          <w:i/>
          <w:spacing w:val="1"/>
          <w:sz w:val="20"/>
        </w:rPr>
        <w:t> </w:t>
      </w:r>
      <w:r>
        <w:rPr>
          <w:rFonts w:ascii="Arial" w:hAnsi="Arial"/>
          <w:i/>
          <w:sz w:val="20"/>
        </w:rPr>
        <w:t>[1998]</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pacing w:val="-4"/>
          <w:sz w:val="20"/>
        </w:rPr>
        <w:t>Rep.</w:t>
      </w:r>
    </w:p>
    <w:p>
      <w:pPr>
        <w:spacing w:line="225" w:lineRule="exact" w:before="0"/>
        <w:ind w:left="0" w:right="167" w:firstLine="0"/>
        <w:jc w:val="right"/>
        <w:rPr>
          <w:rFonts w:ascii="Arial"/>
          <w:i/>
          <w:sz w:val="20"/>
        </w:rPr>
      </w:pPr>
      <w:r>
        <w:rPr>
          <w:rFonts w:ascii="Arial"/>
          <w:i/>
          <w:sz w:val="20"/>
        </w:rPr>
        <w:t>136,</w:t>
      </w:r>
      <w:r>
        <w:rPr>
          <w:rFonts w:ascii="Arial"/>
          <w:i/>
          <w:spacing w:val="15"/>
          <w:sz w:val="20"/>
        </w:rPr>
        <w:t> </w:t>
      </w:r>
      <w:r>
        <w:rPr>
          <w:rFonts w:ascii="Arial"/>
          <w:i/>
          <w:sz w:val="20"/>
        </w:rPr>
        <w:t>156</w:t>
      </w:r>
      <w:r>
        <w:rPr>
          <w:sz w:val="20"/>
        </w:rPr>
        <w:t>;</w:t>
      </w:r>
      <w:r>
        <w:rPr>
          <w:spacing w:val="16"/>
          <w:sz w:val="20"/>
        </w:rPr>
        <w:t> </w:t>
      </w:r>
      <w:r>
        <w:rPr>
          <w:rFonts w:ascii="Arial"/>
          <w:i/>
          <w:sz w:val="20"/>
        </w:rPr>
        <w:t>BP</w:t>
      </w:r>
      <w:r>
        <w:rPr>
          <w:rFonts w:ascii="Arial"/>
          <w:i/>
          <w:spacing w:val="16"/>
          <w:sz w:val="20"/>
        </w:rPr>
        <w:t> </w:t>
      </w:r>
      <w:r>
        <w:rPr>
          <w:rFonts w:ascii="Arial"/>
          <w:i/>
          <w:sz w:val="20"/>
        </w:rPr>
        <w:t>Operating</w:t>
      </w:r>
      <w:r>
        <w:rPr>
          <w:rFonts w:ascii="Arial"/>
          <w:i/>
          <w:spacing w:val="16"/>
          <w:sz w:val="20"/>
        </w:rPr>
        <w:t> </w:t>
      </w:r>
      <w:r>
        <w:rPr>
          <w:rFonts w:ascii="Arial"/>
          <w:i/>
          <w:sz w:val="20"/>
        </w:rPr>
        <w:t>Co</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Chevron</w:t>
      </w:r>
      <w:r>
        <w:rPr>
          <w:rFonts w:ascii="Arial"/>
          <w:i/>
          <w:spacing w:val="16"/>
          <w:sz w:val="20"/>
        </w:rPr>
        <w:t> </w:t>
      </w:r>
      <w:r>
        <w:rPr>
          <w:rFonts w:ascii="Arial"/>
          <w:i/>
          <w:sz w:val="20"/>
        </w:rPr>
        <w:t>Transport</w:t>
      </w:r>
      <w:r>
        <w:rPr>
          <w:rFonts w:ascii="Arial"/>
          <w:i/>
          <w:spacing w:val="16"/>
          <w:sz w:val="20"/>
        </w:rPr>
        <w:t> </w:t>
      </w:r>
      <w:r>
        <w:rPr>
          <w:rFonts w:ascii="Arial"/>
          <w:i/>
          <w:sz w:val="20"/>
        </w:rPr>
        <w:t>(Scotland)</w:t>
      </w:r>
      <w:r>
        <w:rPr>
          <w:rFonts w:ascii="Arial"/>
          <w:i/>
          <w:spacing w:val="16"/>
          <w:sz w:val="20"/>
        </w:rPr>
        <w:t> </w:t>
      </w:r>
      <w:r>
        <w:rPr>
          <w:rFonts w:ascii="Arial"/>
          <w:i/>
          <w:sz w:val="20"/>
        </w:rPr>
        <w:t>Ltd</w:t>
      </w:r>
      <w:r>
        <w:rPr>
          <w:rFonts w:ascii="Arial"/>
          <w:i/>
          <w:spacing w:val="16"/>
          <w:sz w:val="20"/>
        </w:rPr>
        <w:t> </w:t>
      </w:r>
      <w:r>
        <w:rPr>
          <w:rFonts w:ascii="Arial"/>
          <w:i/>
          <w:sz w:val="20"/>
        </w:rPr>
        <w:t>[2001]</w:t>
      </w:r>
      <w:r>
        <w:rPr>
          <w:rFonts w:ascii="Arial"/>
          <w:i/>
          <w:spacing w:val="16"/>
          <w:sz w:val="20"/>
        </w:rPr>
        <w:t> </w:t>
      </w:r>
      <w:r>
        <w:rPr>
          <w:rFonts w:ascii="Arial"/>
          <w:i/>
          <w:sz w:val="20"/>
        </w:rPr>
        <w:t>UKHL</w:t>
      </w:r>
      <w:r>
        <w:rPr>
          <w:rFonts w:ascii="Arial"/>
          <w:i/>
          <w:spacing w:val="16"/>
          <w:sz w:val="20"/>
        </w:rPr>
        <w:t> </w:t>
      </w:r>
      <w:r>
        <w:rPr>
          <w:rFonts w:ascii="Arial"/>
          <w:i/>
          <w:sz w:val="20"/>
        </w:rPr>
        <w:t>50;</w:t>
      </w:r>
      <w:r>
        <w:rPr>
          <w:rFonts w:ascii="Arial"/>
          <w:i/>
          <w:spacing w:val="16"/>
          <w:sz w:val="20"/>
        </w:rPr>
        <w:t> </w:t>
      </w:r>
      <w:r>
        <w:rPr>
          <w:rFonts w:ascii="Arial"/>
          <w:i/>
          <w:sz w:val="20"/>
        </w:rPr>
        <w:t>[2003]</w:t>
      </w:r>
      <w:r>
        <w:rPr>
          <w:rFonts w:ascii="Arial"/>
          <w:i/>
          <w:spacing w:val="16"/>
          <w:sz w:val="20"/>
        </w:rPr>
        <w:t> </w:t>
      </w:r>
      <w:r>
        <w:rPr>
          <w:rFonts w:ascii="Arial"/>
          <w:i/>
          <w:spacing w:val="-10"/>
          <w:sz w:val="20"/>
        </w:rPr>
        <w:t>1</w:t>
      </w:r>
    </w:p>
    <w:p>
      <w:pPr>
        <w:spacing w:line="227" w:lineRule="exact" w:before="0"/>
        <w:ind w:left="705" w:right="0" w:firstLine="0"/>
        <w:jc w:val="left"/>
        <w:rPr>
          <w:sz w:val="20"/>
        </w:rPr>
      </w:pPr>
      <w:r>
        <w:rPr>
          <w:rFonts w:ascii="Arial"/>
          <w:i/>
          <w:sz w:val="20"/>
        </w:rPr>
        <w:t>A.C. 197</w:t>
      </w:r>
      <w:r>
        <w:rPr>
          <w:rFonts w:ascii="Arial"/>
          <w:i/>
          <w:spacing w:val="-1"/>
          <w:sz w:val="20"/>
        </w:rPr>
        <w:t> </w:t>
      </w:r>
      <w:r>
        <w:rPr>
          <w:sz w:val="20"/>
        </w:rPr>
        <w:t>at [78], </w:t>
      </w:r>
      <w:r>
        <w:rPr>
          <w:spacing w:val="-2"/>
          <w:sz w:val="20"/>
        </w:rPr>
        <w:t>[79].</w:t>
      </w:r>
    </w:p>
    <w:p>
      <w:pPr>
        <w:pStyle w:val="BodyText"/>
        <w:spacing w:before="4"/>
      </w:pPr>
    </w:p>
    <w:p>
      <w:pPr>
        <w:tabs>
          <w:tab w:pos="705" w:val="left" w:leader="none"/>
        </w:tabs>
        <w:spacing w:before="1"/>
        <w:ind w:left="165" w:right="0" w:firstLine="0"/>
        <w:jc w:val="left"/>
        <w:rPr>
          <w:sz w:val="20"/>
        </w:rPr>
      </w:pPr>
      <w:bookmarkStart w:name="_bookmark1681" w:id="1683"/>
      <w:bookmarkEnd w:id="1683"/>
      <w:r>
        <w:rPr/>
      </w:r>
      <w:hyperlink w:history="true" w:anchor="_bookmark1600">
        <w:r>
          <w:rPr>
            <w:color w:val="005DA1"/>
            <w:spacing w:val="-4"/>
            <w:position w:val="5"/>
            <w:sz w:val="14"/>
            <w:u w:val="single" w:color="005DA1"/>
          </w:rPr>
          <w:t>879</w:t>
        </w:r>
      </w:hyperlink>
      <w:r>
        <w:rPr>
          <w:spacing w:val="-4"/>
          <w:position w:val="5"/>
          <w:sz w:val="14"/>
        </w:rPr>
        <w:t>.</w:t>
      </w:r>
      <w:r>
        <w:rPr>
          <w:position w:val="5"/>
          <w:sz w:val="14"/>
        </w:rPr>
        <w:tab/>
      </w:r>
      <w:r>
        <w:rPr>
          <w:rFonts w:ascii="Arial"/>
          <w:i/>
          <w:sz w:val="20"/>
        </w:rPr>
        <w:t>[1958] 2 Q.B. 146, 166</w:t>
      </w:r>
      <w:r>
        <w:rPr>
          <w:rFonts w:ascii="Arial"/>
          <w:i/>
          <w:spacing w:val="-1"/>
          <w:sz w:val="20"/>
        </w:rPr>
        <w:t> </w:t>
      </w:r>
      <w:r>
        <w:rPr>
          <w:sz w:val="20"/>
        </w:rPr>
        <w:t>(italics </w:t>
      </w:r>
      <w:r>
        <w:rPr>
          <w:spacing w:val="-2"/>
          <w:sz w:val="20"/>
        </w:rPr>
        <w:t>supplied).</w:t>
      </w:r>
    </w:p>
    <w:p>
      <w:pPr>
        <w:pStyle w:val="BodyText"/>
        <w:spacing w:before="5"/>
      </w:pPr>
    </w:p>
    <w:p>
      <w:pPr>
        <w:pStyle w:val="BodyText"/>
        <w:tabs>
          <w:tab w:pos="705" w:val="left" w:leader="none"/>
        </w:tabs>
        <w:ind w:left="165"/>
      </w:pPr>
      <w:bookmarkStart w:name="_bookmark1682" w:id="1684"/>
      <w:bookmarkEnd w:id="1684"/>
      <w:r>
        <w:rPr/>
      </w:r>
      <w:hyperlink w:history="true" w:anchor="_bookmark1601">
        <w:r>
          <w:rPr>
            <w:color w:val="005DA1"/>
            <w:spacing w:val="-4"/>
            <w:position w:val="5"/>
            <w:sz w:val="14"/>
            <w:u w:val="single" w:color="005DA1"/>
          </w:rPr>
          <w:t>880</w:t>
        </w:r>
      </w:hyperlink>
      <w:r>
        <w:rPr>
          <w:spacing w:val="-4"/>
          <w:position w:val="5"/>
          <w:sz w:val="14"/>
        </w:rPr>
        <w:t>.</w:t>
      </w:r>
      <w:r>
        <w:rPr>
          <w:position w:val="5"/>
          <w:sz w:val="14"/>
        </w:rPr>
        <w:tab/>
      </w:r>
      <w:r>
        <w:rPr/>
        <w:t>Above, para.18-152 at </w:t>
      </w:r>
      <w:r>
        <w:rPr>
          <w:spacing w:val="-2"/>
        </w:rPr>
        <w:t>n.853.</w:t>
      </w:r>
    </w:p>
    <w:p>
      <w:pPr>
        <w:pStyle w:val="BodyText"/>
        <w:spacing w:before="5"/>
      </w:pPr>
    </w:p>
    <w:p>
      <w:pPr>
        <w:tabs>
          <w:tab w:pos="705" w:val="left" w:leader="none"/>
        </w:tabs>
        <w:spacing w:before="0"/>
        <w:ind w:left="165" w:right="0" w:firstLine="0"/>
        <w:jc w:val="left"/>
        <w:rPr>
          <w:sz w:val="20"/>
        </w:rPr>
      </w:pPr>
      <w:bookmarkStart w:name="_bookmark1683" w:id="1685"/>
      <w:bookmarkEnd w:id="1685"/>
      <w:r>
        <w:rPr/>
      </w:r>
      <w:hyperlink w:history="true" w:anchor="_bookmark1602">
        <w:r>
          <w:rPr>
            <w:color w:val="005DA1"/>
            <w:spacing w:val="-4"/>
            <w:position w:val="5"/>
            <w:sz w:val="14"/>
            <w:u w:val="single" w:color="005DA1"/>
          </w:rPr>
          <w:t>881</w:t>
        </w:r>
      </w:hyperlink>
      <w:r>
        <w:rPr>
          <w:spacing w:val="-4"/>
          <w:position w:val="5"/>
          <w:sz w:val="14"/>
        </w:rPr>
        <w:t>.</w:t>
      </w:r>
      <w:r>
        <w:rPr>
          <w:position w:val="5"/>
          <w:sz w:val="14"/>
        </w:rPr>
        <w:tab/>
      </w:r>
      <w:r>
        <w:rPr>
          <w:rFonts w:ascii="Arial" w:hAnsi="Arial"/>
          <w:i/>
          <w:sz w:val="20"/>
        </w:rPr>
        <w:t>C.N. Marine Inc. v Stena Line A/B (The Stena Nautica) (No.2) [1982] 2 Lloyd’s Rep. </w:t>
      </w:r>
      <w:r>
        <w:rPr>
          <w:rFonts w:ascii="Arial" w:hAnsi="Arial"/>
          <w:i/>
          <w:spacing w:val="-4"/>
          <w:sz w:val="20"/>
        </w:rPr>
        <w:t>336</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684" w:id="1686"/>
      <w:bookmarkEnd w:id="1686"/>
      <w:r>
        <w:rPr/>
      </w:r>
      <w:hyperlink w:history="true" w:anchor="_bookmark1603">
        <w:r>
          <w:rPr>
            <w:color w:val="005DA1"/>
            <w:spacing w:val="-4"/>
            <w:position w:val="5"/>
            <w:sz w:val="14"/>
            <w:u w:val="single" w:color="005DA1"/>
          </w:rPr>
          <w:t>882</w:t>
        </w:r>
      </w:hyperlink>
      <w:r>
        <w:rPr>
          <w:spacing w:val="-4"/>
          <w:position w:val="5"/>
          <w:sz w:val="14"/>
        </w:rPr>
        <w:t>.</w:t>
      </w:r>
      <w:r>
        <w:rPr>
          <w:position w:val="5"/>
          <w:sz w:val="14"/>
        </w:rPr>
        <w:tab/>
      </w:r>
      <w:r>
        <w:rPr>
          <w:sz w:val="20"/>
        </w:rPr>
        <w:t>Below, para.27-012, n.61. A licence to occupy </w:t>
      </w:r>
      <w:r>
        <w:rPr>
          <w:rFonts w:ascii="Arial"/>
          <w:i/>
          <w:sz w:val="20"/>
        </w:rPr>
        <w:t>land </w:t>
      </w:r>
      <w:r>
        <w:rPr>
          <w:sz w:val="20"/>
        </w:rPr>
        <w:t>can be enforced against a trespasser even by a licensee not yet in possession: </w:t>
      </w:r>
      <w:r>
        <w:rPr>
          <w:rFonts w:ascii="Arial"/>
          <w:i/>
          <w:sz w:val="20"/>
        </w:rPr>
        <w:t>Dutton v Manchester Airport plc [1999] 2 All E.R. 675</w:t>
      </w:r>
      <w:r>
        <w:rPr>
          <w:sz w:val="20"/>
        </w:rPr>
        <w:t>.</w:t>
      </w:r>
    </w:p>
    <w:p>
      <w:pPr>
        <w:pStyle w:val="BodyText"/>
        <w:spacing w:before="5"/>
      </w:pPr>
    </w:p>
    <w:p>
      <w:pPr>
        <w:tabs>
          <w:tab w:pos="705" w:val="left" w:leader="none"/>
        </w:tabs>
        <w:spacing w:before="0"/>
        <w:ind w:left="165" w:right="0" w:firstLine="0"/>
        <w:jc w:val="left"/>
        <w:rPr>
          <w:sz w:val="20"/>
        </w:rPr>
      </w:pPr>
      <w:bookmarkStart w:name="_bookmark1685" w:id="1687"/>
      <w:bookmarkEnd w:id="1687"/>
      <w:r>
        <w:rPr/>
      </w:r>
      <w:hyperlink w:history="true" w:anchor="_bookmark1604">
        <w:r>
          <w:rPr>
            <w:color w:val="005DA1"/>
            <w:spacing w:val="-4"/>
            <w:position w:val="5"/>
            <w:sz w:val="14"/>
            <w:u w:val="single" w:color="005DA1"/>
          </w:rPr>
          <w:t>883</w:t>
        </w:r>
      </w:hyperlink>
      <w:r>
        <w:rPr>
          <w:spacing w:val="-4"/>
          <w:position w:val="5"/>
          <w:sz w:val="14"/>
        </w:rPr>
        <w:t>.</w:t>
      </w:r>
      <w:r>
        <w:rPr>
          <w:position w:val="5"/>
          <w:sz w:val="14"/>
        </w:rPr>
        <w:tab/>
      </w:r>
      <w:r>
        <w:rPr>
          <w:sz w:val="20"/>
        </w:rPr>
        <w:t>Above, para.18-</w:t>
      </w:r>
      <w:r>
        <w:rPr>
          <w:spacing w:val="-4"/>
          <w:sz w:val="20"/>
        </w:rPr>
        <w:t>144.</w:t>
      </w:r>
    </w:p>
    <w:p>
      <w:pPr>
        <w:spacing w:after="0"/>
        <w:jc w:val="left"/>
        <w:rPr>
          <w:sz w:val="20"/>
        </w:rPr>
        <w:sectPr>
          <w:type w:val="continuous"/>
          <w:pgSz w:w="11900" w:h="16840"/>
          <w:pgMar w:header="971" w:footer="0" w:top="1160" w:bottom="280" w:left="1275" w:right="1275"/>
        </w:sectPr>
      </w:pPr>
    </w:p>
    <w:p>
      <w:pPr>
        <w:pStyle w:val="BodyText"/>
        <w:spacing w:before="81"/>
      </w:pPr>
    </w:p>
    <w:p>
      <w:pPr>
        <w:tabs>
          <w:tab w:pos="705" w:val="left" w:leader="none"/>
        </w:tabs>
        <w:spacing w:before="0"/>
        <w:ind w:left="165" w:right="0" w:firstLine="0"/>
        <w:jc w:val="left"/>
        <w:rPr>
          <w:sz w:val="20"/>
        </w:rPr>
      </w:pPr>
      <w:hyperlink w:history="true" w:anchor="_bookmark1605">
        <w:r>
          <w:rPr>
            <w:color w:val="005DA1"/>
            <w:spacing w:val="-4"/>
            <w:position w:val="5"/>
            <w:sz w:val="14"/>
            <w:u w:val="single" w:color="005DA1"/>
          </w:rPr>
          <w:t>884</w:t>
        </w:r>
      </w:hyperlink>
      <w:r>
        <w:rPr>
          <w:spacing w:val="-4"/>
          <w:position w:val="5"/>
          <w:sz w:val="14"/>
        </w:rPr>
        <w:t>.</w:t>
      </w:r>
      <w:r>
        <w:rPr>
          <w:position w:val="5"/>
          <w:sz w:val="14"/>
        </w:rPr>
        <w:tab/>
      </w:r>
      <w:r>
        <w:rPr>
          <w:sz w:val="20"/>
        </w:rPr>
        <w:t>Above, para.18-</w:t>
      </w:r>
      <w:r>
        <w:rPr>
          <w:spacing w:val="-4"/>
          <w:sz w:val="20"/>
        </w:rPr>
        <w:t>145.</w:t>
      </w:r>
    </w:p>
    <w:p>
      <w:pPr>
        <w:pStyle w:val="BodyText"/>
        <w:spacing w:before="5"/>
      </w:pPr>
    </w:p>
    <w:p>
      <w:pPr>
        <w:pStyle w:val="BodyText"/>
        <w:tabs>
          <w:tab w:pos="705" w:val="left" w:leader="none"/>
        </w:tabs>
        <w:ind w:left="165"/>
      </w:pPr>
      <w:bookmarkStart w:name="_bookmark1686" w:id="1688"/>
      <w:bookmarkEnd w:id="1688"/>
      <w:r>
        <w:rPr/>
      </w:r>
      <w:hyperlink w:history="true" w:anchor="_bookmark1606">
        <w:r>
          <w:rPr>
            <w:color w:val="005DA1"/>
            <w:spacing w:val="-4"/>
            <w:position w:val="5"/>
            <w:sz w:val="14"/>
            <w:u w:val="single" w:color="005DA1"/>
          </w:rPr>
          <w:t>885</w:t>
        </w:r>
      </w:hyperlink>
      <w:r>
        <w:rPr>
          <w:spacing w:val="-4"/>
          <w:position w:val="5"/>
          <w:sz w:val="14"/>
        </w:rPr>
        <w:t>.</w:t>
      </w:r>
      <w:r>
        <w:rPr>
          <w:position w:val="5"/>
          <w:sz w:val="14"/>
        </w:rPr>
        <w:tab/>
      </w:r>
      <w:r>
        <w:rPr/>
        <w:t>Above, paras 18-147 to 18-</w:t>
      </w:r>
      <w:r>
        <w:rPr>
          <w:spacing w:val="-4"/>
        </w:rPr>
        <w:t>150.</w:t>
      </w:r>
    </w:p>
    <w:p>
      <w:pPr>
        <w:pStyle w:val="BodyText"/>
        <w:rPr>
          <w:sz w:val="14"/>
        </w:rPr>
      </w:pPr>
    </w:p>
    <w:p>
      <w:pPr>
        <w:pStyle w:val="BodyText"/>
        <w:spacing w:before="100"/>
        <w:rPr>
          <w:sz w:val="14"/>
        </w:rPr>
      </w:pPr>
    </w:p>
    <w:p>
      <w:pPr>
        <w:spacing w:before="0"/>
        <w:ind w:left="1073" w:right="1076"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46720">
            <wp:simplePos x="0" y="0"/>
            <wp:positionH relativeFrom="page">
              <wp:posOffset>3077972</wp:posOffset>
            </wp:positionH>
            <wp:positionV relativeFrom="paragraph">
              <wp:posOffset>192392</wp:posOffset>
            </wp:positionV>
            <wp:extent cx="1393507" cy="329374"/>
            <wp:effectExtent l="0" t="0" r="0" b="0"/>
            <wp:wrapTopAndBottom/>
            <wp:docPr id="214" name="Image 214"/>
            <wp:cNvGraphicFramePr>
              <a:graphicFrameLocks/>
            </wp:cNvGraphicFramePr>
            <a:graphic>
              <a:graphicData uri="http://schemas.openxmlformats.org/drawingml/2006/picture">
                <pic:pic>
                  <pic:nvPicPr>
                    <pic:cNvPr id="214" name="Image 214"/>
                    <pic:cNvPicPr/>
                  </pic:nvPicPr>
                  <pic:blipFill>
                    <a:blip r:embed="rId23" cstate="print"/>
                    <a:stretch>
                      <a:fillRect/>
                    </a:stretch>
                  </pic:blipFill>
                  <pic:spPr>
                    <a:xfrm>
                      <a:off x="0" y="0"/>
                      <a:ext cx="1393507" cy="329374"/>
                    </a:xfrm>
                    <a:prstGeom prst="rect">
                      <a:avLst/>
                    </a:prstGeom>
                  </pic:spPr>
                </pic:pic>
              </a:graphicData>
            </a:graphic>
          </wp:anchor>
        </w:drawing>
      </w:r>
    </w:p>
    <w:sectPr>
      <w:pgSz w:w="11900" w:h="16840"/>
      <w:pgMar w:header="971" w:footer="0" w:top="116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2000">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9284480"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7632">
              <wp:simplePos x="0" y="0"/>
              <wp:positionH relativeFrom="page">
                <wp:posOffset>4703826</wp:posOffset>
              </wp:positionH>
              <wp:positionV relativeFrom="page">
                <wp:posOffset>2301773</wp:posOffset>
              </wp:positionV>
              <wp:extent cx="4254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9278848" from="370.380005pt,181.242004pt" to="373.716005pt,181.2420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038144">
              <wp:simplePos x="0" y="0"/>
              <wp:positionH relativeFrom="page">
                <wp:posOffset>6278473</wp:posOffset>
              </wp:positionH>
              <wp:positionV relativeFrom="page">
                <wp:posOffset>617496</wp:posOffset>
              </wp:positionV>
              <wp:extent cx="347980" cy="1390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9278336" type="#_x0000_t202" id="docshape2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4038656">
              <wp:simplePos x="0" y="0"/>
              <wp:positionH relativeFrom="page">
                <wp:posOffset>1642516</wp:posOffset>
              </wp:positionH>
              <wp:positionV relativeFrom="page">
                <wp:posOffset>991846</wp:posOffset>
              </wp:positionV>
              <wp:extent cx="4267835" cy="20173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267835" cy="2017395"/>
                      </a:xfrm>
                      <a:prstGeom prst="rect">
                        <a:avLst/>
                      </a:prstGeom>
                    </wps:spPr>
                    <wps:txbx>
                      <w:txbxContent>
                        <w:p>
                          <w:pPr>
                            <w:spacing w:before="11"/>
                            <w:ind w:left="3" w:right="3"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3" w:right="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3" w:right="0" w:firstLine="0"/>
                            <w:jc w:val="center"/>
                            <w:rPr>
                              <w:rFonts w:ascii="Arial"/>
                              <w:b/>
                              <w:position w:val="11"/>
                              <w:sz w:val="12"/>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3" w:right="3" w:firstLine="0"/>
                            <w:jc w:val="center"/>
                            <w:rPr>
                              <w:rFonts w:ascii="Arial"/>
                              <w:b/>
                              <w:sz w:val="24"/>
                            </w:rPr>
                          </w:pPr>
                          <w:r>
                            <w:rPr>
                              <w:rFonts w:ascii="Arial"/>
                              <w:b/>
                              <w:sz w:val="24"/>
                            </w:rPr>
                            <w:t>Section 4. - Contracts for the Benefit of Third </w:t>
                          </w:r>
                          <w:r>
                            <w:rPr>
                              <w:rFonts w:ascii="Arial"/>
                              <w:b/>
                              <w:spacing w:val="-2"/>
                              <w:sz w:val="24"/>
                            </w:rPr>
                            <w:t>Parties</w:t>
                          </w:r>
                        </w:p>
                        <w:p>
                          <w:pPr>
                            <w:spacing w:before="194"/>
                            <w:ind w:left="173" w:right="0" w:firstLine="0"/>
                            <w:jc w:val="left"/>
                            <w:rPr>
                              <w:rFonts w:ascii="Arial"/>
                              <w:b/>
                              <w:sz w:val="24"/>
                            </w:rPr>
                          </w:pPr>
                          <w:r>
                            <w:rPr>
                              <w:rFonts w:ascii="Arial"/>
                              <w:b/>
                              <w:sz w:val="24"/>
                            </w:rPr>
                            <w:t>(a) - Effects of a Contract for the Benefit of a Third </w:t>
                          </w:r>
                          <w:r>
                            <w:rPr>
                              <w:rFonts w:ascii="Arial"/>
                              <w:b/>
                              <w:spacing w:val="-2"/>
                              <w:sz w:val="24"/>
                            </w:rPr>
                            <w:t>Party</w:t>
                          </w:r>
                        </w:p>
                      </w:txbxContent>
                    </wps:txbx>
                    <wps:bodyPr wrap="square" lIns="0" tIns="0" rIns="0" bIns="0" rtlCol="0">
                      <a:noAutofit/>
                    </wps:bodyPr>
                  </wps:wsp>
                </a:graphicData>
              </a:graphic>
            </wp:anchor>
          </w:drawing>
        </mc:Choice>
        <mc:Fallback>
          <w:pict>
            <v:shape style="position:absolute;margin-left:129.332001pt;margin-top:78.098175pt;width:336.05pt;height:158.85pt;mso-position-horizontal-relative:page;mso-position-vertical-relative:page;z-index:-19277824" type="#_x0000_t202" id="docshape21" filled="false" stroked="false">
              <v:textbox inset="0,0,0,0">
                <w:txbxContent>
                  <w:p>
                    <w:pPr>
                      <w:spacing w:before="11"/>
                      <w:ind w:left="3" w:right="3"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3" w:right="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3" w:right="0" w:firstLine="0"/>
                      <w:jc w:val="center"/>
                      <w:rPr>
                        <w:rFonts w:ascii="Arial"/>
                        <w:b/>
                        <w:position w:val="11"/>
                        <w:sz w:val="12"/>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3" w:right="3" w:firstLine="0"/>
                      <w:jc w:val="center"/>
                      <w:rPr>
                        <w:rFonts w:ascii="Arial"/>
                        <w:b/>
                        <w:sz w:val="24"/>
                      </w:rPr>
                    </w:pPr>
                    <w:r>
                      <w:rPr>
                        <w:rFonts w:ascii="Arial"/>
                        <w:b/>
                        <w:sz w:val="24"/>
                      </w:rPr>
                      <w:t>Section 4. - Contracts for the Benefit of Third </w:t>
                    </w:r>
                    <w:r>
                      <w:rPr>
                        <w:rFonts w:ascii="Arial"/>
                        <w:b/>
                        <w:spacing w:val="-2"/>
                        <w:sz w:val="24"/>
                      </w:rPr>
                      <w:t>Parties</w:t>
                    </w:r>
                  </w:p>
                  <w:p>
                    <w:pPr>
                      <w:spacing w:before="194"/>
                      <w:ind w:left="173" w:right="0" w:firstLine="0"/>
                      <w:jc w:val="left"/>
                      <w:rPr>
                        <w:rFonts w:ascii="Arial"/>
                        <w:b/>
                        <w:sz w:val="24"/>
                      </w:rPr>
                    </w:pPr>
                    <w:r>
                      <w:rPr>
                        <w:rFonts w:ascii="Arial"/>
                        <w:b/>
                        <w:sz w:val="24"/>
                      </w:rPr>
                      <w:t>(a) - Effects of a Contract for the Benefit of a Third </w:t>
                    </w:r>
                    <w:r>
                      <w:rPr>
                        <w:rFonts w:ascii="Arial"/>
                        <w:b/>
                        <w:spacing w:val="-2"/>
                        <w:sz w:val="24"/>
                      </w:rPr>
                      <w:t>Party</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9168">
              <wp:simplePos x="0" y="0"/>
              <wp:positionH relativeFrom="page">
                <wp:posOffset>6221984</wp:posOffset>
              </wp:positionH>
              <wp:positionV relativeFrom="page">
                <wp:posOffset>617496</wp:posOffset>
              </wp:positionV>
              <wp:extent cx="442595" cy="1390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277312"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9680">
              <wp:simplePos x="0" y="0"/>
              <wp:positionH relativeFrom="page">
                <wp:posOffset>6278473</wp:posOffset>
              </wp:positionH>
              <wp:positionV relativeFrom="page">
                <wp:posOffset>617496</wp:posOffset>
              </wp:positionV>
              <wp:extent cx="386080" cy="13906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276800"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40192">
              <wp:simplePos x="0" y="0"/>
              <wp:positionH relativeFrom="page">
                <wp:posOffset>4703826</wp:posOffset>
              </wp:positionH>
              <wp:positionV relativeFrom="page">
                <wp:posOffset>2301773</wp:posOffset>
              </wp:positionV>
              <wp:extent cx="4254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9276288" from="370.380005pt,181.242004pt" to="373.716005pt,181.2420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040704">
              <wp:simplePos x="0" y="0"/>
              <wp:positionH relativeFrom="page">
                <wp:posOffset>6278473</wp:posOffset>
              </wp:positionH>
              <wp:positionV relativeFrom="page">
                <wp:posOffset>617496</wp:posOffset>
              </wp:positionV>
              <wp:extent cx="347980" cy="13906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9275776" type="#_x0000_t202" id="docshape2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4041216">
              <wp:simplePos x="0" y="0"/>
              <wp:positionH relativeFrom="page">
                <wp:posOffset>1642516</wp:posOffset>
              </wp:positionH>
              <wp:positionV relativeFrom="page">
                <wp:posOffset>991846</wp:posOffset>
              </wp:positionV>
              <wp:extent cx="4267835" cy="201739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4267835" cy="2017395"/>
                      </a:xfrm>
                      <a:prstGeom prst="rect">
                        <a:avLst/>
                      </a:prstGeom>
                    </wps:spPr>
                    <wps:txbx>
                      <w:txbxContent>
                        <w:p>
                          <w:pPr>
                            <w:spacing w:before="11"/>
                            <w:ind w:left="3" w:right="3"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3" w:right="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3" w:right="0" w:firstLine="0"/>
                            <w:jc w:val="center"/>
                            <w:rPr>
                              <w:rFonts w:ascii="Arial"/>
                              <w:b/>
                              <w:position w:val="11"/>
                              <w:sz w:val="12"/>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3" w:right="3" w:firstLine="0"/>
                            <w:jc w:val="center"/>
                            <w:rPr>
                              <w:rFonts w:ascii="Arial"/>
                              <w:b/>
                              <w:sz w:val="24"/>
                            </w:rPr>
                          </w:pPr>
                          <w:r>
                            <w:rPr>
                              <w:rFonts w:ascii="Arial"/>
                              <w:b/>
                              <w:sz w:val="24"/>
                            </w:rPr>
                            <w:t>Section 4. - Contracts for the Benefit of Third </w:t>
                          </w:r>
                          <w:r>
                            <w:rPr>
                              <w:rFonts w:ascii="Arial"/>
                              <w:b/>
                              <w:spacing w:val="-2"/>
                              <w:sz w:val="24"/>
                            </w:rPr>
                            <w:t>Parties</w:t>
                          </w:r>
                        </w:p>
                        <w:p>
                          <w:pPr>
                            <w:spacing w:before="194"/>
                            <w:ind w:left="1580" w:right="0" w:firstLine="0"/>
                            <w:jc w:val="left"/>
                            <w:rPr>
                              <w:rFonts w:ascii="Arial"/>
                              <w:b/>
                              <w:sz w:val="24"/>
                            </w:rPr>
                          </w:pPr>
                          <w:r>
                            <w:rPr>
                              <w:rFonts w:ascii="Arial"/>
                              <w:b/>
                              <w:sz w:val="24"/>
                            </w:rPr>
                            <w:t>(b) - Exceptions to the </w:t>
                          </w:r>
                          <w:r>
                            <w:rPr>
                              <w:rFonts w:ascii="Arial"/>
                              <w:b/>
                              <w:spacing w:val="-2"/>
                              <w:sz w:val="24"/>
                            </w:rPr>
                            <w:t>Doctrine</w:t>
                          </w:r>
                        </w:p>
                      </w:txbxContent>
                    </wps:txbx>
                    <wps:bodyPr wrap="square" lIns="0" tIns="0" rIns="0" bIns="0" rtlCol="0">
                      <a:noAutofit/>
                    </wps:bodyPr>
                  </wps:wsp>
                </a:graphicData>
              </a:graphic>
            </wp:anchor>
          </w:drawing>
        </mc:Choice>
        <mc:Fallback>
          <w:pict>
            <v:shape style="position:absolute;margin-left:129.332001pt;margin-top:78.098175pt;width:336.05pt;height:158.85pt;mso-position-horizontal-relative:page;mso-position-vertical-relative:page;z-index:-19275264" type="#_x0000_t202" id="docshape29" filled="false" stroked="false">
              <v:textbox inset="0,0,0,0">
                <w:txbxContent>
                  <w:p>
                    <w:pPr>
                      <w:spacing w:before="11"/>
                      <w:ind w:left="3" w:right="3"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3" w:right="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3" w:right="0" w:firstLine="0"/>
                      <w:jc w:val="center"/>
                      <w:rPr>
                        <w:rFonts w:ascii="Arial"/>
                        <w:b/>
                        <w:position w:val="11"/>
                        <w:sz w:val="12"/>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3" w:right="3" w:firstLine="0"/>
                      <w:jc w:val="center"/>
                      <w:rPr>
                        <w:rFonts w:ascii="Arial"/>
                        <w:b/>
                        <w:sz w:val="24"/>
                      </w:rPr>
                    </w:pPr>
                    <w:r>
                      <w:rPr>
                        <w:rFonts w:ascii="Arial"/>
                        <w:b/>
                        <w:sz w:val="24"/>
                      </w:rPr>
                      <w:t>Section 4. - Contracts for the Benefit of Third </w:t>
                    </w:r>
                    <w:r>
                      <w:rPr>
                        <w:rFonts w:ascii="Arial"/>
                        <w:b/>
                        <w:spacing w:val="-2"/>
                        <w:sz w:val="24"/>
                      </w:rPr>
                      <w:t>Parties</w:t>
                    </w:r>
                  </w:p>
                  <w:p>
                    <w:pPr>
                      <w:spacing w:before="194"/>
                      <w:ind w:left="1580" w:right="0" w:firstLine="0"/>
                      <w:jc w:val="left"/>
                      <w:rPr>
                        <w:rFonts w:ascii="Arial"/>
                        <w:b/>
                        <w:sz w:val="24"/>
                      </w:rPr>
                    </w:pPr>
                    <w:r>
                      <w:rPr>
                        <w:rFonts w:ascii="Arial"/>
                        <w:b/>
                        <w:sz w:val="24"/>
                      </w:rPr>
                      <w:t>(b) - Exceptions to the </w:t>
                    </w:r>
                    <w:r>
                      <w:rPr>
                        <w:rFonts w:ascii="Arial"/>
                        <w:b/>
                        <w:spacing w:val="-2"/>
                        <w:sz w:val="24"/>
                      </w:rPr>
                      <w:t>Doctrine</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41728">
              <wp:simplePos x="0" y="0"/>
              <wp:positionH relativeFrom="page">
                <wp:posOffset>6278473</wp:posOffset>
              </wp:positionH>
              <wp:positionV relativeFrom="page">
                <wp:posOffset>617496</wp:posOffset>
              </wp:positionV>
              <wp:extent cx="386080" cy="13906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274752" type="#_x0000_t202" id="docshape3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42240">
              <wp:simplePos x="0" y="0"/>
              <wp:positionH relativeFrom="page">
                <wp:posOffset>6221984</wp:posOffset>
              </wp:positionH>
              <wp:positionV relativeFrom="page">
                <wp:posOffset>617496</wp:posOffset>
              </wp:positionV>
              <wp:extent cx="442595" cy="13906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274240" type="#_x0000_t202" id="docshape3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42752">
              <wp:simplePos x="0" y="0"/>
              <wp:positionH relativeFrom="page">
                <wp:posOffset>6278473</wp:posOffset>
              </wp:positionH>
              <wp:positionV relativeFrom="page">
                <wp:posOffset>617496</wp:posOffset>
              </wp:positionV>
              <wp:extent cx="386080" cy="13906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273728" type="#_x0000_t202" id="docshape3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43264">
              <wp:simplePos x="0" y="0"/>
              <wp:positionH relativeFrom="page">
                <wp:posOffset>6221984</wp:posOffset>
              </wp:positionH>
              <wp:positionV relativeFrom="page">
                <wp:posOffset>617496</wp:posOffset>
              </wp:positionV>
              <wp:extent cx="442595" cy="13906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273216" type="#_x0000_t202" id="docshape3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2512">
              <wp:simplePos x="0" y="0"/>
              <wp:positionH relativeFrom="page">
                <wp:posOffset>4703826</wp:posOffset>
              </wp:positionH>
              <wp:positionV relativeFrom="page">
                <wp:posOffset>2301773</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9283968" from="370.380005pt,181.242004pt" to="373.716005pt,181.24200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4033024">
              <wp:simplePos x="0" y="0"/>
              <wp:positionH relativeFrom="page">
                <wp:posOffset>6278473</wp:posOffset>
              </wp:positionH>
              <wp:positionV relativeFrom="page">
                <wp:posOffset>617496</wp:posOffset>
              </wp:positionV>
              <wp:extent cx="347980" cy="1390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9283456"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4033536">
              <wp:simplePos x="0" y="0"/>
              <wp:positionH relativeFrom="page">
                <wp:posOffset>1642516</wp:posOffset>
              </wp:positionH>
              <wp:positionV relativeFrom="page">
                <wp:posOffset>991846</wp:posOffset>
              </wp:positionV>
              <wp:extent cx="4267835" cy="171894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267835" cy="1718945"/>
                      </a:xfrm>
                      <a:prstGeom prst="rect">
                        <a:avLst/>
                      </a:prstGeom>
                    </wps:spPr>
                    <wps:txbx>
                      <w:txbxContent>
                        <w:p>
                          <w:pPr>
                            <w:spacing w:before="11"/>
                            <w:ind w:left="3" w:right="3"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3" w:right="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3" w:right="0" w:firstLine="0"/>
                            <w:jc w:val="center"/>
                            <w:rPr>
                              <w:rFonts w:ascii="Arial"/>
                              <w:b/>
                              <w:position w:val="11"/>
                              <w:sz w:val="12"/>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3" w:right="3" w:firstLine="0"/>
                            <w:jc w:val="center"/>
                            <w:rPr>
                              <w:rFonts w:ascii="Arial"/>
                              <w:b/>
                              <w:sz w:val="24"/>
                            </w:rPr>
                          </w:pPr>
                          <w:r>
                            <w:rPr>
                              <w:rFonts w:ascii="Arial"/>
                              <w:b/>
                              <w:sz w:val="24"/>
                            </w:rPr>
                            <w:t>Section 2. - The Common Law </w:t>
                          </w:r>
                          <w:r>
                            <w:rPr>
                              <w:rFonts w:ascii="Arial"/>
                              <w:b/>
                              <w:spacing w:val="-2"/>
                              <w:sz w:val="24"/>
                            </w:rPr>
                            <w:t>Doctrine</w:t>
                          </w:r>
                        </w:p>
                      </w:txbxContent>
                    </wps:txbx>
                    <wps:bodyPr wrap="square" lIns="0" tIns="0" rIns="0" bIns="0" rtlCol="0">
                      <a:noAutofit/>
                    </wps:bodyPr>
                  </wps:wsp>
                </a:graphicData>
              </a:graphic>
            </wp:anchor>
          </w:drawing>
        </mc:Choice>
        <mc:Fallback>
          <w:pict>
            <v:shape style="position:absolute;margin-left:129.332001pt;margin-top:78.098175pt;width:336.05pt;height:135.35pt;mso-position-horizontal-relative:page;mso-position-vertical-relative:page;z-index:-19282944" type="#_x0000_t202" id="docshape4" filled="false" stroked="false">
              <v:textbox inset="0,0,0,0">
                <w:txbxContent>
                  <w:p>
                    <w:pPr>
                      <w:spacing w:before="11"/>
                      <w:ind w:left="3" w:right="3" w:firstLine="0"/>
                      <w:jc w:val="center"/>
                      <w:rPr>
                        <w:rFonts w:ascii="Arial"/>
                        <w:b/>
                        <w:sz w:val="28"/>
                      </w:rPr>
                    </w:pPr>
                    <w:r>
                      <w:rPr>
                        <w:rFonts w:ascii="Arial"/>
                        <w:b/>
                        <w:sz w:val="28"/>
                      </w:rPr>
                      <w:t>Chitty on Contracts 32nd </w:t>
                    </w:r>
                    <w:r>
                      <w:rPr>
                        <w:rFonts w:ascii="Arial"/>
                        <w:b/>
                        <w:spacing w:val="-5"/>
                        <w:sz w:val="28"/>
                      </w:rPr>
                      <w:t>Ed.</w:t>
                    </w:r>
                  </w:p>
                  <w:p>
                    <w:pPr>
                      <w:spacing w:line="408" w:lineRule="auto" w:before="197"/>
                      <w:ind w:left="3" w:right="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2"/>
                      <w:ind w:left="3" w:right="0" w:firstLine="0"/>
                      <w:jc w:val="center"/>
                      <w:rPr>
                        <w:rFonts w:ascii="Arial"/>
                        <w:b/>
                        <w:position w:val="11"/>
                        <w:sz w:val="12"/>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18 - Third Parties </w:t>
                    </w:r>
                    <w:r>
                      <w:rPr>
                        <w:rFonts w:ascii="Arial"/>
                        <w:b/>
                        <w:color w:val="005DA1"/>
                        <w:position w:val="11"/>
                        <w:sz w:val="12"/>
                      </w:rPr>
                      <w:t>1</w:t>
                    </w:r>
                  </w:p>
                  <w:p>
                    <w:pPr>
                      <w:spacing w:before="2"/>
                      <w:ind w:left="3" w:right="3" w:firstLine="0"/>
                      <w:jc w:val="center"/>
                      <w:rPr>
                        <w:rFonts w:ascii="Arial"/>
                        <w:b/>
                        <w:sz w:val="24"/>
                      </w:rPr>
                    </w:pPr>
                    <w:r>
                      <w:rPr>
                        <w:rFonts w:ascii="Arial"/>
                        <w:b/>
                        <w:sz w:val="24"/>
                      </w:rPr>
                      <w:t>Section 2. - The Common Law </w:t>
                    </w:r>
                    <w:r>
                      <w:rPr>
                        <w:rFonts w:ascii="Arial"/>
                        <w:b/>
                        <w:spacing w:val="-2"/>
                        <w:sz w:val="24"/>
                      </w:rPr>
                      <w:t>Doctrine</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4048">
              <wp:simplePos x="0" y="0"/>
              <wp:positionH relativeFrom="page">
                <wp:posOffset>6221984</wp:posOffset>
              </wp:positionH>
              <wp:positionV relativeFrom="page">
                <wp:posOffset>617496</wp:posOffset>
              </wp:positionV>
              <wp:extent cx="442595" cy="1390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282432" type="#_x0000_t202" id="docshape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4560">
              <wp:simplePos x="0" y="0"/>
              <wp:positionH relativeFrom="page">
                <wp:posOffset>6278473</wp:posOffset>
              </wp:positionH>
              <wp:positionV relativeFrom="page">
                <wp:posOffset>617496</wp:posOffset>
              </wp:positionV>
              <wp:extent cx="386080" cy="1390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281920" type="#_x0000_t202" id="docshape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5072">
              <wp:simplePos x="0" y="0"/>
              <wp:positionH relativeFrom="page">
                <wp:posOffset>6278473</wp:posOffset>
              </wp:positionH>
              <wp:positionV relativeFrom="page">
                <wp:posOffset>617496</wp:posOffset>
              </wp:positionV>
              <wp:extent cx="386080" cy="1390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281408" type="#_x0000_t202" id="docshape1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5584">
              <wp:simplePos x="0" y="0"/>
              <wp:positionH relativeFrom="page">
                <wp:posOffset>6278473</wp:posOffset>
              </wp:positionH>
              <wp:positionV relativeFrom="page">
                <wp:posOffset>617496</wp:posOffset>
              </wp:positionV>
              <wp:extent cx="386080" cy="1390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280896" type="#_x0000_t202" id="docshape1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6096">
              <wp:simplePos x="0" y="0"/>
              <wp:positionH relativeFrom="page">
                <wp:posOffset>6221984</wp:posOffset>
              </wp:positionH>
              <wp:positionV relativeFrom="page">
                <wp:posOffset>617496</wp:posOffset>
              </wp:positionV>
              <wp:extent cx="442595" cy="1390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9280384" type="#_x0000_t202" id="docshape1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6608">
              <wp:simplePos x="0" y="0"/>
              <wp:positionH relativeFrom="page">
                <wp:posOffset>6278473</wp:posOffset>
              </wp:positionH>
              <wp:positionV relativeFrom="page">
                <wp:posOffset>617496</wp:posOffset>
              </wp:positionV>
              <wp:extent cx="386080" cy="1390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279872" type="#_x0000_t202" id="docshape1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037120">
              <wp:simplePos x="0" y="0"/>
              <wp:positionH relativeFrom="page">
                <wp:posOffset>6278473</wp:posOffset>
              </wp:positionH>
              <wp:positionV relativeFrom="page">
                <wp:posOffset>617496</wp:posOffset>
              </wp:positionV>
              <wp:extent cx="386080" cy="1390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9279360" type="#_x0000_t202" id="docshape1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35" w:hanging="271"/>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331" w:hanging="271"/>
      </w:pPr>
      <w:rPr>
        <w:rFonts w:hint="default"/>
        <w:lang w:val="en-US" w:eastAsia="en-US" w:bidi="ar-SA"/>
      </w:rPr>
    </w:lvl>
    <w:lvl w:ilvl="2">
      <w:start w:val="0"/>
      <w:numFmt w:val="bullet"/>
      <w:lvlText w:val="•"/>
      <w:lvlJc w:val="left"/>
      <w:pPr>
        <w:ind w:left="2222" w:hanging="271"/>
      </w:pPr>
      <w:rPr>
        <w:rFonts w:hint="default"/>
        <w:lang w:val="en-US" w:eastAsia="en-US" w:bidi="ar-SA"/>
      </w:rPr>
    </w:lvl>
    <w:lvl w:ilvl="3">
      <w:start w:val="0"/>
      <w:numFmt w:val="bullet"/>
      <w:lvlText w:val="•"/>
      <w:lvlJc w:val="left"/>
      <w:pPr>
        <w:ind w:left="3113" w:hanging="271"/>
      </w:pPr>
      <w:rPr>
        <w:rFonts w:hint="default"/>
        <w:lang w:val="en-US" w:eastAsia="en-US" w:bidi="ar-SA"/>
      </w:rPr>
    </w:lvl>
    <w:lvl w:ilvl="4">
      <w:start w:val="0"/>
      <w:numFmt w:val="bullet"/>
      <w:lvlText w:val="•"/>
      <w:lvlJc w:val="left"/>
      <w:pPr>
        <w:ind w:left="4004" w:hanging="271"/>
      </w:pPr>
      <w:rPr>
        <w:rFonts w:hint="default"/>
        <w:lang w:val="en-US" w:eastAsia="en-US" w:bidi="ar-SA"/>
      </w:rPr>
    </w:lvl>
    <w:lvl w:ilvl="5">
      <w:start w:val="0"/>
      <w:numFmt w:val="bullet"/>
      <w:lvlText w:val="•"/>
      <w:lvlJc w:val="left"/>
      <w:pPr>
        <w:ind w:left="4895" w:hanging="271"/>
      </w:pPr>
      <w:rPr>
        <w:rFonts w:hint="default"/>
        <w:lang w:val="en-US" w:eastAsia="en-US" w:bidi="ar-SA"/>
      </w:rPr>
    </w:lvl>
    <w:lvl w:ilvl="6">
      <w:start w:val="0"/>
      <w:numFmt w:val="bullet"/>
      <w:lvlText w:val="•"/>
      <w:lvlJc w:val="left"/>
      <w:pPr>
        <w:ind w:left="5786" w:hanging="271"/>
      </w:pPr>
      <w:rPr>
        <w:rFonts w:hint="default"/>
        <w:lang w:val="en-US" w:eastAsia="en-US" w:bidi="ar-SA"/>
      </w:rPr>
    </w:lvl>
    <w:lvl w:ilvl="7">
      <w:start w:val="0"/>
      <w:numFmt w:val="bullet"/>
      <w:lvlText w:val="•"/>
      <w:lvlJc w:val="left"/>
      <w:pPr>
        <w:ind w:left="6677" w:hanging="271"/>
      </w:pPr>
      <w:rPr>
        <w:rFonts w:hint="default"/>
        <w:lang w:val="en-US" w:eastAsia="en-US" w:bidi="ar-SA"/>
      </w:rPr>
    </w:lvl>
    <w:lvl w:ilvl="8">
      <w:start w:val="0"/>
      <w:numFmt w:val="bullet"/>
      <w:lvlText w:val="•"/>
      <w:lvlJc w:val="left"/>
      <w:pPr>
        <w:ind w:left="7568" w:hanging="271"/>
      </w:pPr>
      <w:rPr>
        <w:rFonts w:hint="default"/>
        <w:lang w:val="en-US" w:eastAsia="en-US" w:bidi="ar-SA"/>
      </w:rPr>
    </w:lvl>
  </w:abstractNum>
  <w:abstractNum w:abstractNumId="3">
    <w:multiLevelType w:val="hybridMultilevel"/>
    <w:lvl w:ilvl="0">
      <w:start w:val="1"/>
      <w:numFmt w:val="decimal"/>
      <w:lvlText w:val="(%1)"/>
      <w:lvlJc w:val="left"/>
      <w:pPr>
        <w:ind w:left="435" w:hanging="271"/>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331" w:hanging="271"/>
      </w:pPr>
      <w:rPr>
        <w:rFonts w:hint="default"/>
        <w:lang w:val="en-US" w:eastAsia="en-US" w:bidi="ar-SA"/>
      </w:rPr>
    </w:lvl>
    <w:lvl w:ilvl="2">
      <w:start w:val="0"/>
      <w:numFmt w:val="bullet"/>
      <w:lvlText w:val="•"/>
      <w:lvlJc w:val="left"/>
      <w:pPr>
        <w:ind w:left="2222" w:hanging="271"/>
      </w:pPr>
      <w:rPr>
        <w:rFonts w:hint="default"/>
        <w:lang w:val="en-US" w:eastAsia="en-US" w:bidi="ar-SA"/>
      </w:rPr>
    </w:lvl>
    <w:lvl w:ilvl="3">
      <w:start w:val="0"/>
      <w:numFmt w:val="bullet"/>
      <w:lvlText w:val="•"/>
      <w:lvlJc w:val="left"/>
      <w:pPr>
        <w:ind w:left="3113" w:hanging="271"/>
      </w:pPr>
      <w:rPr>
        <w:rFonts w:hint="default"/>
        <w:lang w:val="en-US" w:eastAsia="en-US" w:bidi="ar-SA"/>
      </w:rPr>
    </w:lvl>
    <w:lvl w:ilvl="4">
      <w:start w:val="0"/>
      <w:numFmt w:val="bullet"/>
      <w:lvlText w:val="•"/>
      <w:lvlJc w:val="left"/>
      <w:pPr>
        <w:ind w:left="4004" w:hanging="271"/>
      </w:pPr>
      <w:rPr>
        <w:rFonts w:hint="default"/>
        <w:lang w:val="en-US" w:eastAsia="en-US" w:bidi="ar-SA"/>
      </w:rPr>
    </w:lvl>
    <w:lvl w:ilvl="5">
      <w:start w:val="0"/>
      <w:numFmt w:val="bullet"/>
      <w:lvlText w:val="•"/>
      <w:lvlJc w:val="left"/>
      <w:pPr>
        <w:ind w:left="4895" w:hanging="271"/>
      </w:pPr>
      <w:rPr>
        <w:rFonts w:hint="default"/>
        <w:lang w:val="en-US" w:eastAsia="en-US" w:bidi="ar-SA"/>
      </w:rPr>
    </w:lvl>
    <w:lvl w:ilvl="6">
      <w:start w:val="0"/>
      <w:numFmt w:val="bullet"/>
      <w:lvlText w:val="•"/>
      <w:lvlJc w:val="left"/>
      <w:pPr>
        <w:ind w:left="5786" w:hanging="271"/>
      </w:pPr>
      <w:rPr>
        <w:rFonts w:hint="default"/>
        <w:lang w:val="en-US" w:eastAsia="en-US" w:bidi="ar-SA"/>
      </w:rPr>
    </w:lvl>
    <w:lvl w:ilvl="7">
      <w:start w:val="0"/>
      <w:numFmt w:val="bullet"/>
      <w:lvlText w:val="•"/>
      <w:lvlJc w:val="left"/>
      <w:pPr>
        <w:ind w:left="6677" w:hanging="271"/>
      </w:pPr>
      <w:rPr>
        <w:rFonts w:hint="default"/>
        <w:lang w:val="en-US" w:eastAsia="en-US" w:bidi="ar-SA"/>
      </w:rPr>
    </w:lvl>
    <w:lvl w:ilvl="8">
      <w:start w:val="0"/>
      <w:numFmt w:val="bullet"/>
      <w:lvlText w:val="•"/>
      <w:lvlJc w:val="left"/>
      <w:pPr>
        <w:ind w:left="7568" w:hanging="271"/>
      </w:pPr>
      <w:rPr>
        <w:rFonts w:hint="default"/>
        <w:lang w:val="en-US" w:eastAsia="en-US" w:bidi="ar-SA"/>
      </w:rPr>
    </w:lvl>
  </w:abstractNum>
  <w:abstractNum w:abstractNumId="2">
    <w:multiLevelType w:val="hybridMultilevel"/>
    <w:lvl w:ilvl="0">
      <w:start w:val="1"/>
      <w:numFmt w:val="lowerRoman"/>
      <w:lvlText w:val="(%1)"/>
      <w:lvlJc w:val="left"/>
      <w:pPr>
        <w:ind w:left="3531"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121" w:hanging="294"/>
      </w:pPr>
      <w:rPr>
        <w:rFonts w:hint="default"/>
        <w:lang w:val="en-US" w:eastAsia="en-US" w:bidi="ar-SA"/>
      </w:rPr>
    </w:lvl>
    <w:lvl w:ilvl="2">
      <w:start w:val="0"/>
      <w:numFmt w:val="bullet"/>
      <w:lvlText w:val="•"/>
      <w:lvlJc w:val="left"/>
      <w:pPr>
        <w:ind w:left="4702" w:hanging="294"/>
      </w:pPr>
      <w:rPr>
        <w:rFonts w:hint="default"/>
        <w:lang w:val="en-US" w:eastAsia="en-US" w:bidi="ar-SA"/>
      </w:rPr>
    </w:lvl>
    <w:lvl w:ilvl="3">
      <w:start w:val="0"/>
      <w:numFmt w:val="bullet"/>
      <w:lvlText w:val="•"/>
      <w:lvlJc w:val="left"/>
      <w:pPr>
        <w:ind w:left="5283" w:hanging="294"/>
      </w:pPr>
      <w:rPr>
        <w:rFonts w:hint="default"/>
        <w:lang w:val="en-US" w:eastAsia="en-US" w:bidi="ar-SA"/>
      </w:rPr>
    </w:lvl>
    <w:lvl w:ilvl="4">
      <w:start w:val="0"/>
      <w:numFmt w:val="bullet"/>
      <w:lvlText w:val="•"/>
      <w:lvlJc w:val="left"/>
      <w:pPr>
        <w:ind w:left="5864" w:hanging="294"/>
      </w:pPr>
      <w:rPr>
        <w:rFonts w:hint="default"/>
        <w:lang w:val="en-US" w:eastAsia="en-US" w:bidi="ar-SA"/>
      </w:rPr>
    </w:lvl>
    <w:lvl w:ilvl="5">
      <w:start w:val="0"/>
      <w:numFmt w:val="bullet"/>
      <w:lvlText w:val="•"/>
      <w:lvlJc w:val="left"/>
      <w:pPr>
        <w:ind w:left="6445" w:hanging="294"/>
      </w:pPr>
      <w:rPr>
        <w:rFonts w:hint="default"/>
        <w:lang w:val="en-US" w:eastAsia="en-US" w:bidi="ar-SA"/>
      </w:rPr>
    </w:lvl>
    <w:lvl w:ilvl="6">
      <w:start w:val="0"/>
      <w:numFmt w:val="bullet"/>
      <w:lvlText w:val="•"/>
      <w:lvlJc w:val="left"/>
      <w:pPr>
        <w:ind w:left="7026" w:hanging="294"/>
      </w:pPr>
      <w:rPr>
        <w:rFonts w:hint="default"/>
        <w:lang w:val="en-US" w:eastAsia="en-US" w:bidi="ar-SA"/>
      </w:rPr>
    </w:lvl>
    <w:lvl w:ilvl="7">
      <w:start w:val="0"/>
      <w:numFmt w:val="bullet"/>
      <w:lvlText w:val="•"/>
      <w:lvlJc w:val="left"/>
      <w:pPr>
        <w:ind w:left="7607" w:hanging="294"/>
      </w:pPr>
      <w:rPr>
        <w:rFonts w:hint="default"/>
        <w:lang w:val="en-US" w:eastAsia="en-US" w:bidi="ar-SA"/>
      </w:rPr>
    </w:lvl>
    <w:lvl w:ilvl="8">
      <w:start w:val="0"/>
      <w:numFmt w:val="bullet"/>
      <w:lvlText w:val="•"/>
      <w:lvlJc w:val="left"/>
      <w:pPr>
        <w:ind w:left="8188" w:hanging="294"/>
      </w:pPr>
      <w:rPr>
        <w:rFonts w:hint="default"/>
        <w:lang w:val="en-US" w:eastAsia="en-US" w:bidi="ar-SA"/>
      </w:rPr>
    </w:lvl>
  </w:abstractNum>
  <w:abstractNum w:abstractNumId="1">
    <w:multiLevelType w:val="hybridMultilevel"/>
    <w:lvl w:ilvl="0">
      <w:start w:val="1"/>
      <w:numFmt w:val="lowerLetter"/>
      <w:lvlText w:val="(%1)"/>
      <w:lvlJc w:val="left"/>
      <w:pPr>
        <w:ind w:left="259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275" w:hanging="361"/>
      </w:pPr>
      <w:rPr>
        <w:rFonts w:hint="default"/>
        <w:lang w:val="en-US" w:eastAsia="en-US" w:bidi="ar-SA"/>
      </w:rPr>
    </w:lvl>
    <w:lvl w:ilvl="2">
      <w:start w:val="0"/>
      <w:numFmt w:val="bullet"/>
      <w:lvlText w:val="•"/>
      <w:lvlJc w:val="left"/>
      <w:pPr>
        <w:ind w:left="3950" w:hanging="361"/>
      </w:pPr>
      <w:rPr>
        <w:rFonts w:hint="default"/>
        <w:lang w:val="en-US" w:eastAsia="en-US" w:bidi="ar-SA"/>
      </w:rPr>
    </w:lvl>
    <w:lvl w:ilvl="3">
      <w:start w:val="0"/>
      <w:numFmt w:val="bullet"/>
      <w:lvlText w:val="•"/>
      <w:lvlJc w:val="left"/>
      <w:pPr>
        <w:ind w:left="4625" w:hanging="361"/>
      </w:pPr>
      <w:rPr>
        <w:rFonts w:hint="default"/>
        <w:lang w:val="en-US" w:eastAsia="en-US" w:bidi="ar-SA"/>
      </w:rPr>
    </w:lvl>
    <w:lvl w:ilvl="4">
      <w:start w:val="0"/>
      <w:numFmt w:val="bullet"/>
      <w:lvlText w:val="•"/>
      <w:lvlJc w:val="left"/>
      <w:pPr>
        <w:ind w:left="5300" w:hanging="361"/>
      </w:pPr>
      <w:rPr>
        <w:rFonts w:hint="default"/>
        <w:lang w:val="en-US" w:eastAsia="en-US" w:bidi="ar-SA"/>
      </w:rPr>
    </w:lvl>
    <w:lvl w:ilvl="5">
      <w:start w:val="0"/>
      <w:numFmt w:val="bullet"/>
      <w:lvlText w:val="•"/>
      <w:lvlJc w:val="left"/>
      <w:pPr>
        <w:ind w:left="5975" w:hanging="361"/>
      </w:pPr>
      <w:rPr>
        <w:rFonts w:hint="default"/>
        <w:lang w:val="en-US" w:eastAsia="en-US" w:bidi="ar-SA"/>
      </w:rPr>
    </w:lvl>
    <w:lvl w:ilvl="6">
      <w:start w:val="0"/>
      <w:numFmt w:val="bullet"/>
      <w:lvlText w:val="•"/>
      <w:lvlJc w:val="left"/>
      <w:pPr>
        <w:ind w:left="6650" w:hanging="361"/>
      </w:pPr>
      <w:rPr>
        <w:rFonts w:hint="default"/>
        <w:lang w:val="en-US" w:eastAsia="en-US" w:bidi="ar-SA"/>
      </w:rPr>
    </w:lvl>
    <w:lvl w:ilvl="7">
      <w:start w:val="0"/>
      <w:numFmt w:val="bullet"/>
      <w:lvlText w:val="•"/>
      <w:lvlJc w:val="left"/>
      <w:pPr>
        <w:ind w:left="7325" w:hanging="361"/>
      </w:pPr>
      <w:rPr>
        <w:rFonts w:hint="default"/>
        <w:lang w:val="en-US" w:eastAsia="en-US" w:bidi="ar-SA"/>
      </w:rPr>
    </w:lvl>
    <w:lvl w:ilvl="8">
      <w:start w:val="0"/>
      <w:numFmt w:val="bullet"/>
      <w:lvlText w:val="•"/>
      <w:lvlJc w:val="left"/>
      <w:pPr>
        <w:ind w:left="8000" w:hanging="361"/>
      </w:pPr>
      <w:rPr>
        <w:rFonts w:hint="default"/>
        <w:lang w:val="en-US" w:eastAsia="en-US" w:bidi="ar-SA"/>
      </w:rPr>
    </w:lvl>
  </w:abstractNum>
  <w:abstractNum w:abstractNumId="0">
    <w:multiLevelType w:val="hybridMultilevel"/>
    <w:lvl w:ilvl="0">
      <w:start w:val="2"/>
      <w:numFmt w:val="lowerLetter"/>
      <w:lvlText w:val="(%1)"/>
      <w:lvlJc w:val="left"/>
      <w:pPr>
        <w:ind w:left="3285"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887" w:hanging="374"/>
      </w:pPr>
      <w:rPr>
        <w:rFonts w:hint="default"/>
        <w:lang w:val="en-US" w:eastAsia="en-US" w:bidi="ar-SA"/>
      </w:rPr>
    </w:lvl>
    <w:lvl w:ilvl="2">
      <w:start w:val="0"/>
      <w:numFmt w:val="bullet"/>
      <w:lvlText w:val="•"/>
      <w:lvlJc w:val="left"/>
      <w:pPr>
        <w:ind w:left="4494" w:hanging="374"/>
      </w:pPr>
      <w:rPr>
        <w:rFonts w:hint="default"/>
        <w:lang w:val="en-US" w:eastAsia="en-US" w:bidi="ar-SA"/>
      </w:rPr>
    </w:lvl>
    <w:lvl w:ilvl="3">
      <w:start w:val="0"/>
      <w:numFmt w:val="bullet"/>
      <w:lvlText w:val="•"/>
      <w:lvlJc w:val="left"/>
      <w:pPr>
        <w:ind w:left="5101" w:hanging="374"/>
      </w:pPr>
      <w:rPr>
        <w:rFonts w:hint="default"/>
        <w:lang w:val="en-US" w:eastAsia="en-US" w:bidi="ar-SA"/>
      </w:rPr>
    </w:lvl>
    <w:lvl w:ilvl="4">
      <w:start w:val="0"/>
      <w:numFmt w:val="bullet"/>
      <w:lvlText w:val="•"/>
      <w:lvlJc w:val="left"/>
      <w:pPr>
        <w:ind w:left="5708" w:hanging="374"/>
      </w:pPr>
      <w:rPr>
        <w:rFonts w:hint="default"/>
        <w:lang w:val="en-US" w:eastAsia="en-US" w:bidi="ar-SA"/>
      </w:rPr>
    </w:lvl>
    <w:lvl w:ilvl="5">
      <w:start w:val="0"/>
      <w:numFmt w:val="bullet"/>
      <w:lvlText w:val="•"/>
      <w:lvlJc w:val="left"/>
      <w:pPr>
        <w:ind w:left="6315" w:hanging="374"/>
      </w:pPr>
      <w:rPr>
        <w:rFonts w:hint="default"/>
        <w:lang w:val="en-US" w:eastAsia="en-US" w:bidi="ar-SA"/>
      </w:rPr>
    </w:lvl>
    <w:lvl w:ilvl="6">
      <w:start w:val="0"/>
      <w:numFmt w:val="bullet"/>
      <w:lvlText w:val="•"/>
      <w:lvlJc w:val="left"/>
      <w:pPr>
        <w:ind w:left="6922" w:hanging="374"/>
      </w:pPr>
      <w:rPr>
        <w:rFonts w:hint="default"/>
        <w:lang w:val="en-US" w:eastAsia="en-US" w:bidi="ar-SA"/>
      </w:rPr>
    </w:lvl>
    <w:lvl w:ilvl="7">
      <w:start w:val="0"/>
      <w:numFmt w:val="bullet"/>
      <w:lvlText w:val="•"/>
      <w:lvlJc w:val="left"/>
      <w:pPr>
        <w:ind w:left="7529" w:hanging="374"/>
      </w:pPr>
      <w:rPr>
        <w:rFonts w:hint="default"/>
        <w:lang w:val="en-US" w:eastAsia="en-US" w:bidi="ar-SA"/>
      </w:rPr>
    </w:lvl>
    <w:lvl w:ilvl="8">
      <w:start w:val="0"/>
      <w:numFmt w:val="bullet"/>
      <w:lvlText w:val="•"/>
      <w:lvlJc w:val="left"/>
      <w:pPr>
        <w:ind w:left="8136" w:hanging="37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1073" w:right="1076"/>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435" w:hanging="270"/>
    </w:pPr>
    <w:rPr>
      <w:rFonts w:ascii="Arial" w:hAnsi="Arial" w:eastAsia="Arial" w:cs="Arial"/>
      <w:lang w:val="en-US" w:eastAsia="en-US" w:bidi="ar-SA"/>
    </w:rPr>
  </w:style>
  <w:style w:styleId="TableParagraph" w:type="paragraph">
    <w:name w:val="Table Paragraph"/>
    <w:basedOn w:val="Normal"/>
    <w:uiPriority w:val="1"/>
    <w:qFormat/>
    <w:pPr>
      <w:spacing w:before="121"/>
      <w:ind w:left="13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image" Target="media/image2.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2025-03-18T09:25:31Z</dcterms:created>
  <dcterms:modified xsi:type="dcterms:W3CDTF">2025-03-18T09:25:31Z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